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1087B" w14:textId="77777777" w:rsidR="00175B77" w:rsidRDefault="00175B77" w:rsidP="00175B77">
      <w:pPr>
        <w:pStyle w:val="BasicParagraph"/>
        <w:rPr>
          <w:rFonts w:ascii="Calibri" w:hAnsi="Calibri" w:cs="Calibri"/>
          <w:b/>
          <w:bCs/>
          <w:color w:val="174883"/>
          <w:sz w:val="44"/>
          <w:szCs w:val="44"/>
        </w:rPr>
      </w:pPr>
    </w:p>
    <w:p w14:paraId="0A6F3C5D" w14:textId="77777777" w:rsidR="00175B77" w:rsidRDefault="00175B77" w:rsidP="00175B77">
      <w:pPr>
        <w:pStyle w:val="BasicParagraph"/>
        <w:rPr>
          <w:rFonts w:ascii="Calibri" w:hAnsi="Calibri" w:cs="Calibri"/>
          <w:b/>
          <w:bCs/>
          <w:color w:val="174883"/>
          <w:sz w:val="44"/>
          <w:szCs w:val="44"/>
        </w:rPr>
      </w:pPr>
    </w:p>
    <w:p w14:paraId="686B81EA" w14:textId="77777777" w:rsidR="00175B77" w:rsidRDefault="00175B77" w:rsidP="00175B77">
      <w:pPr>
        <w:pStyle w:val="BasicParagraph"/>
        <w:rPr>
          <w:rFonts w:ascii="Calibri" w:hAnsi="Calibri" w:cs="Calibri"/>
          <w:b/>
          <w:bCs/>
          <w:color w:val="174883"/>
          <w:sz w:val="44"/>
          <w:szCs w:val="44"/>
        </w:rPr>
      </w:pPr>
    </w:p>
    <w:p w14:paraId="7F63EECE" w14:textId="77777777" w:rsidR="00175B77" w:rsidRDefault="00D95FEF" w:rsidP="00175B77">
      <w:pPr>
        <w:pStyle w:val="BasicParagraph"/>
        <w:rPr>
          <w:rFonts w:ascii="Calibri" w:hAnsi="Calibri" w:cs="Calibri"/>
          <w:b/>
          <w:bCs/>
          <w:color w:val="174883"/>
          <w:sz w:val="44"/>
          <w:szCs w:val="44"/>
        </w:rPr>
      </w:pPr>
      <w:r>
        <w:rPr>
          <w:rFonts w:ascii="Calibri" w:hAnsi="Calibri" w:cs="Calibri"/>
          <w:b/>
          <w:bCs/>
          <w:noProof/>
          <w:color w:val="174883"/>
          <w:sz w:val="44"/>
          <w:szCs w:val="44"/>
        </w:rPr>
        <w:drawing>
          <wp:inline distT="0" distB="0" distL="0" distR="0" wp14:anchorId="1EBD3E55" wp14:editId="5D0CF694">
            <wp:extent cx="1223682" cy="533400"/>
            <wp:effectExtent l="0" t="0" r="0" b="0"/>
            <wp:docPr id="6" name="Picture 6" descr="Logo" title="National Environment Protecti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7-05 at 8.53.16 a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8442" cy="544193"/>
                    </a:xfrm>
                    <a:prstGeom prst="rect">
                      <a:avLst/>
                    </a:prstGeom>
                  </pic:spPr>
                </pic:pic>
              </a:graphicData>
            </a:graphic>
          </wp:inline>
        </w:drawing>
      </w:r>
    </w:p>
    <w:p w14:paraId="37CD5E41" w14:textId="77777777" w:rsidR="00D95FEF" w:rsidRDefault="00D95FEF" w:rsidP="00175B77">
      <w:pPr>
        <w:pStyle w:val="BasicParagraph"/>
        <w:rPr>
          <w:rFonts w:ascii="Calibri" w:hAnsi="Calibri" w:cs="Calibri"/>
          <w:b/>
          <w:bCs/>
          <w:color w:val="174883"/>
          <w:sz w:val="44"/>
          <w:szCs w:val="44"/>
        </w:rPr>
      </w:pPr>
    </w:p>
    <w:p w14:paraId="5CA5C28C" w14:textId="77777777" w:rsidR="00175B77" w:rsidRPr="00175B77" w:rsidRDefault="00175B77" w:rsidP="00175B77">
      <w:pPr>
        <w:pStyle w:val="BasicParagraph"/>
        <w:rPr>
          <w:rFonts w:ascii="Calibri" w:hAnsi="Calibri" w:cs="Calibri"/>
          <w:b/>
          <w:bCs/>
          <w:color w:val="174883"/>
          <w:sz w:val="44"/>
          <w:szCs w:val="44"/>
        </w:rPr>
      </w:pPr>
      <w:r w:rsidRPr="00175B77">
        <w:rPr>
          <w:rFonts w:ascii="Calibri" w:hAnsi="Calibri" w:cs="Calibri"/>
          <w:b/>
          <w:bCs/>
          <w:color w:val="174883"/>
          <w:sz w:val="44"/>
          <w:szCs w:val="44"/>
        </w:rPr>
        <w:t>National Environment Protection Council</w:t>
      </w:r>
    </w:p>
    <w:p w14:paraId="5E255404" w14:textId="77777777" w:rsidR="00175B77" w:rsidRPr="00175B77" w:rsidRDefault="00175B77" w:rsidP="00175B77">
      <w:pPr>
        <w:pStyle w:val="BasicParagraph"/>
        <w:rPr>
          <w:rFonts w:ascii="Calibri" w:hAnsi="Calibri" w:cs="Calibri"/>
          <w:color w:val="F19639"/>
          <w:spacing w:val="20"/>
          <w:sz w:val="58"/>
          <w:szCs w:val="58"/>
        </w:rPr>
      </w:pPr>
      <w:proofErr w:type="spellStart"/>
      <w:r w:rsidRPr="00175B77">
        <w:rPr>
          <w:rFonts w:ascii="Calibri" w:hAnsi="Calibri" w:cs="Calibri"/>
          <w:color w:val="174883"/>
          <w:spacing w:val="20"/>
          <w:sz w:val="58"/>
          <w:szCs w:val="58"/>
        </w:rPr>
        <w:t>annual</w:t>
      </w:r>
      <w:r w:rsidRPr="00134EA2">
        <w:rPr>
          <w:rFonts w:ascii="Calibri" w:hAnsi="Calibri" w:cs="Calibri"/>
          <w:color w:val="C45911" w:themeColor="accent2" w:themeShade="BF"/>
          <w:spacing w:val="20"/>
          <w:sz w:val="58"/>
          <w:szCs w:val="58"/>
        </w:rPr>
        <w:t>report</w:t>
      </w:r>
      <w:proofErr w:type="spellEnd"/>
    </w:p>
    <w:p w14:paraId="59151184" w14:textId="57C9678E" w:rsidR="00175B77" w:rsidRDefault="00175B77" w:rsidP="00175B77">
      <w:pPr>
        <w:pStyle w:val="BasicParagraph"/>
        <w:rPr>
          <w:rFonts w:ascii="Calibri" w:hAnsi="Calibri" w:cs="Calibri"/>
          <w:spacing w:val="78"/>
          <w:sz w:val="36"/>
          <w:szCs w:val="36"/>
        </w:rPr>
      </w:pPr>
      <w:r w:rsidRPr="00175B77">
        <w:rPr>
          <w:rFonts w:ascii="Calibri" w:hAnsi="Calibri" w:cs="Calibri"/>
          <w:spacing w:val="78"/>
          <w:sz w:val="36"/>
          <w:szCs w:val="36"/>
        </w:rPr>
        <w:t>201</w:t>
      </w:r>
      <w:r w:rsidR="007D495D">
        <w:rPr>
          <w:rFonts w:ascii="Calibri" w:hAnsi="Calibri" w:cs="Calibri"/>
          <w:spacing w:val="78"/>
          <w:sz w:val="36"/>
          <w:szCs w:val="36"/>
        </w:rPr>
        <w:t>8</w:t>
      </w:r>
      <w:r w:rsidRPr="00175B77">
        <w:rPr>
          <w:rFonts w:ascii="Calibri" w:hAnsi="Calibri" w:cs="Calibri"/>
          <w:spacing w:val="78"/>
          <w:sz w:val="36"/>
          <w:szCs w:val="36"/>
        </w:rPr>
        <w:t>–1</w:t>
      </w:r>
      <w:r w:rsidR="007D495D">
        <w:rPr>
          <w:rFonts w:ascii="Calibri" w:hAnsi="Calibri" w:cs="Calibri"/>
          <w:spacing w:val="78"/>
          <w:sz w:val="36"/>
          <w:szCs w:val="36"/>
        </w:rPr>
        <w:t>9</w:t>
      </w:r>
    </w:p>
    <w:p w14:paraId="07D727C5" w14:textId="3F21BCE2" w:rsidR="007D495D" w:rsidRPr="007D495D" w:rsidRDefault="007D495D" w:rsidP="007D495D">
      <w:pPr>
        <w:pStyle w:val="10Versodetails"/>
        <w:spacing w:before="2800"/>
        <w:rPr>
          <w:rFonts w:ascii="Times" w:hAnsi="Times" w:cs="Times"/>
          <w:sz w:val="15"/>
          <w:szCs w:val="15"/>
        </w:rPr>
      </w:pPr>
      <w:r w:rsidRPr="007D495D">
        <w:rPr>
          <w:rFonts w:ascii="Times" w:hAnsi="Times" w:cs="Times"/>
          <w:sz w:val="15"/>
          <w:szCs w:val="15"/>
        </w:rPr>
        <w:t>Annual Report 2018–19</w:t>
      </w:r>
    </w:p>
    <w:p w14:paraId="641D5761" w14:textId="335110B9" w:rsidR="007D495D" w:rsidRPr="007D495D" w:rsidRDefault="007D495D" w:rsidP="007D495D">
      <w:pPr>
        <w:suppressAutoHyphens/>
        <w:autoSpaceDE w:val="0"/>
        <w:autoSpaceDN w:val="0"/>
        <w:adjustRightInd w:val="0"/>
        <w:spacing w:after="170" w:line="288" w:lineRule="auto"/>
        <w:textAlignment w:val="center"/>
        <w:rPr>
          <w:rFonts w:ascii="Times" w:hAnsi="Times" w:cs="Times"/>
          <w:color w:val="000000"/>
          <w:sz w:val="15"/>
          <w:szCs w:val="15"/>
        </w:rPr>
      </w:pPr>
      <w:r w:rsidRPr="007D495D">
        <w:rPr>
          <w:rFonts w:ascii="Times" w:hAnsi="Times" w:cs="Times"/>
          <w:color w:val="000000"/>
          <w:sz w:val="15"/>
          <w:szCs w:val="15"/>
        </w:rPr>
        <w:t>© Commonwealth of Australia and each Australian state and territory, 202</w:t>
      </w:r>
      <w:r w:rsidR="003D62FC">
        <w:rPr>
          <w:rFonts w:ascii="Times" w:hAnsi="Times" w:cs="Times"/>
          <w:color w:val="000000"/>
          <w:sz w:val="15"/>
          <w:szCs w:val="15"/>
        </w:rPr>
        <w:t>1</w:t>
      </w:r>
    </w:p>
    <w:p w14:paraId="54AE0186" w14:textId="77777777" w:rsidR="007D495D" w:rsidRPr="007D495D" w:rsidRDefault="007D495D" w:rsidP="007D495D">
      <w:pPr>
        <w:suppressAutoHyphens/>
        <w:autoSpaceDE w:val="0"/>
        <w:autoSpaceDN w:val="0"/>
        <w:adjustRightInd w:val="0"/>
        <w:spacing w:after="170" w:line="288" w:lineRule="auto"/>
        <w:textAlignment w:val="center"/>
        <w:rPr>
          <w:rFonts w:ascii="Times" w:hAnsi="Times" w:cs="Times"/>
          <w:color w:val="000000"/>
          <w:sz w:val="15"/>
          <w:szCs w:val="15"/>
        </w:rPr>
      </w:pPr>
      <w:r w:rsidRPr="007D495D">
        <w:rPr>
          <w:rFonts w:ascii="Times" w:hAnsi="Times" w:cs="Times"/>
          <w:color w:val="000000"/>
          <w:sz w:val="15"/>
          <w:szCs w:val="15"/>
        </w:rPr>
        <w:t>ISBN: 978–1–921069-17-8</w:t>
      </w:r>
    </w:p>
    <w:p w14:paraId="327D50FD" w14:textId="77777777" w:rsidR="007D495D" w:rsidRPr="007D495D" w:rsidRDefault="007D495D" w:rsidP="007D495D">
      <w:pPr>
        <w:suppressAutoHyphens/>
        <w:autoSpaceDE w:val="0"/>
        <w:autoSpaceDN w:val="0"/>
        <w:adjustRightInd w:val="0"/>
        <w:spacing w:after="170" w:line="288" w:lineRule="auto"/>
        <w:textAlignment w:val="center"/>
        <w:rPr>
          <w:rFonts w:ascii="Times" w:hAnsi="Times" w:cs="Times"/>
          <w:color w:val="000000"/>
          <w:sz w:val="15"/>
          <w:szCs w:val="15"/>
        </w:rPr>
      </w:pPr>
      <w:r w:rsidRPr="007D495D">
        <w:rPr>
          <w:rFonts w:ascii="Times" w:hAnsi="Times" w:cs="Times"/>
          <w:color w:val="000000"/>
          <w:sz w:val="15"/>
          <w:szCs w:val="15"/>
        </w:rPr>
        <w:t xml:space="preserve">This work is copyright. It has been produced by the National Environment Protection Council (NEPC). Apart from any use as permitted under the </w:t>
      </w:r>
      <w:r w:rsidRPr="007D495D">
        <w:rPr>
          <w:rFonts w:ascii="Times" w:hAnsi="Times" w:cs="Times"/>
          <w:i/>
          <w:iCs/>
          <w:color w:val="000000"/>
          <w:sz w:val="15"/>
          <w:szCs w:val="15"/>
        </w:rPr>
        <w:t>Copyright Act 1968</w:t>
      </w:r>
      <w:r w:rsidRPr="007D495D">
        <w:rPr>
          <w:rFonts w:ascii="Times" w:hAnsi="Times" w:cs="Times"/>
          <w:color w:val="000000"/>
          <w:sz w:val="15"/>
          <w:szCs w:val="15"/>
        </w:rPr>
        <w:t>, no part may be reproduced by any process without prior permission from the NEPC.</w:t>
      </w:r>
    </w:p>
    <w:p w14:paraId="0C98D58D" w14:textId="77777777" w:rsidR="007D495D" w:rsidRPr="007D495D" w:rsidRDefault="007D495D" w:rsidP="007D495D">
      <w:pPr>
        <w:suppressAutoHyphens/>
        <w:autoSpaceDE w:val="0"/>
        <w:autoSpaceDN w:val="0"/>
        <w:adjustRightInd w:val="0"/>
        <w:spacing w:after="170" w:line="288" w:lineRule="auto"/>
        <w:textAlignment w:val="center"/>
        <w:rPr>
          <w:rFonts w:ascii="Times" w:hAnsi="Times" w:cs="Times"/>
          <w:color w:val="000000"/>
          <w:sz w:val="15"/>
          <w:szCs w:val="15"/>
        </w:rPr>
      </w:pPr>
      <w:r w:rsidRPr="007D495D">
        <w:rPr>
          <w:rFonts w:ascii="Times" w:hAnsi="Times" w:cs="Times"/>
          <w:color w:val="000000"/>
          <w:sz w:val="15"/>
          <w:szCs w:val="15"/>
        </w:rPr>
        <w:t>Requests and enquiries concerning reproduction and rights should be addressed to:</w:t>
      </w:r>
    </w:p>
    <w:p w14:paraId="5E453B51" w14:textId="77777777" w:rsidR="007D495D" w:rsidRPr="007D495D" w:rsidRDefault="007D495D" w:rsidP="007D495D">
      <w:pPr>
        <w:suppressAutoHyphens/>
        <w:autoSpaceDE w:val="0"/>
        <w:autoSpaceDN w:val="0"/>
        <w:adjustRightInd w:val="0"/>
        <w:spacing w:after="170" w:line="288" w:lineRule="auto"/>
        <w:textAlignment w:val="center"/>
        <w:rPr>
          <w:rFonts w:ascii="Times" w:hAnsi="Times" w:cs="Times"/>
          <w:color w:val="000000"/>
          <w:sz w:val="15"/>
          <w:szCs w:val="15"/>
        </w:rPr>
      </w:pPr>
      <w:r w:rsidRPr="007D495D">
        <w:rPr>
          <w:rFonts w:ascii="Times" w:hAnsi="Times" w:cs="Times"/>
          <w:color w:val="000000"/>
          <w:sz w:val="15"/>
          <w:szCs w:val="15"/>
        </w:rPr>
        <w:t>Executive Officer</w:t>
      </w:r>
      <w:r w:rsidRPr="007D495D">
        <w:rPr>
          <w:rFonts w:ascii="Times" w:hAnsi="Times" w:cs="Times"/>
          <w:color w:val="000000"/>
          <w:sz w:val="15"/>
          <w:szCs w:val="15"/>
        </w:rPr>
        <w:br/>
        <w:t>NEPC Business Services</w:t>
      </w:r>
      <w:r w:rsidRPr="007D495D">
        <w:rPr>
          <w:rFonts w:ascii="Times" w:hAnsi="Times" w:cs="Times"/>
          <w:color w:val="000000"/>
          <w:sz w:val="15"/>
          <w:szCs w:val="15"/>
        </w:rPr>
        <w:br/>
        <w:t>GPO Box 858</w:t>
      </w:r>
      <w:r w:rsidRPr="007D495D">
        <w:rPr>
          <w:rFonts w:ascii="Times" w:hAnsi="Times" w:cs="Times"/>
          <w:color w:val="000000"/>
          <w:sz w:val="15"/>
          <w:szCs w:val="15"/>
        </w:rPr>
        <w:br/>
        <w:t>Canberra ACT 2601</w:t>
      </w:r>
    </w:p>
    <w:p w14:paraId="48AEA890" w14:textId="354A0250" w:rsidR="007D495D" w:rsidRDefault="007D495D" w:rsidP="007D495D">
      <w:pPr>
        <w:suppressAutoHyphens/>
        <w:autoSpaceDE w:val="0"/>
        <w:autoSpaceDN w:val="0"/>
        <w:adjustRightInd w:val="0"/>
        <w:spacing w:after="170" w:line="288" w:lineRule="auto"/>
        <w:textAlignment w:val="center"/>
      </w:pPr>
      <w:r w:rsidRPr="007D495D">
        <w:rPr>
          <w:rFonts w:ascii="Times" w:hAnsi="Times" w:cs="Times"/>
          <w:color w:val="000000"/>
          <w:sz w:val="15"/>
          <w:szCs w:val="15"/>
        </w:rPr>
        <w:t>All photos © Department of Agriculture, Water and the Environment</w:t>
      </w:r>
      <w:r w:rsidRPr="007D495D">
        <w:rPr>
          <w:rFonts w:ascii="Times" w:hAnsi="Times" w:cs="Times"/>
          <w:color w:val="000000"/>
          <w:sz w:val="15"/>
          <w:szCs w:val="15"/>
        </w:rPr>
        <w:br/>
      </w:r>
    </w:p>
    <w:p w14:paraId="6F8566CA" w14:textId="386F4383" w:rsidR="00BB425B" w:rsidRPr="00BB425B" w:rsidRDefault="00BB425B" w:rsidP="00B752C4">
      <w:pPr>
        <w:pStyle w:val="10Versodetails"/>
        <w:rPr>
          <w:sz w:val="16"/>
          <w:szCs w:val="16"/>
        </w:rPr>
      </w:pPr>
      <w:r>
        <w:br w:type="page"/>
      </w:r>
    </w:p>
    <w:p w14:paraId="1A689377" w14:textId="77777777" w:rsidR="00CB0DA6" w:rsidRPr="009408AB" w:rsidRDefault="00CB0DA6" w:rsidP="00CB0DA6">
      <w:pPr>
        <w:pStyle w:val="Heading1"/>
      </w:pPr>
      <w:bookmarkStart w:id="0" w:name="_Toc58254357"/>
      <w:bookmarkStart w:id="1" w:name="_Toc56784616"/>
      <w:bookmarkStart w:id="2" w:name="_Toc17208206"/>
      <w:bookmarkStart w:id="3" w:name="_Toc17209911"/>
      <w:r w:rsidRPr="009408AB">
        <w:lastRenderedPageBreak/>
        <w:t>Chair’s foreword</w:t>
      </w:r>
      <w:bookmarkEnd w:id="0"/>
      <w:r w:rsidRPr="009408AB">
        <w:t xml:space="preserve"> </w:t>
      </w:r>
    </w:p>
    <w:p w14:paraId="38EE01EA" w14:textId="77777777" w:rsidR="00CB0DA6" w:rsidRPr="007D495D" w:rsidRDefault="00CB0DA6" w:rsidP="00CB0DA6">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It is my privilege to be appointed as the Chair of the National Environment Protection Council (the Council). I would like to acknowledge and thank my predecessor, the Hon Melissa Price MP, who chaired the Council for most of the 2018-19 reporting year.</w:t>
      </w:r>
    </w:p>
    <w:p w14:paraId="1DCC4501" w14:textId="77777777" w:rsidR="00CB0DA6" w:rsidRPr="007D495D" w:rsidRDefault="00CB0DA6" w:rsidP="00CB0DA6">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The Council works to implement the </w:t>
      </w:r>
      <w:r w:rsidRPr="007D495D">
        <w:rPr>
          <w:rFonts w:ascii="Times" w:hAnsi="Times" w:cs="Times"/>
          <w:i/>
          <w:iCs/>
          <w:color w:val="000000"/>
          <w:sz w:val="16"/>
          <w:szCs w:val="16"/>
        </w:rPr>
        <w:t>National Environment Protection Council Act 1994</w:t>
      </w:r>
      <w:r w:rsidRPr="007D495D">
        <w:rPr>
          <w:rFonts w:ascii="Times" w:hAnsi="Times" w:cs="Times"/>
          <w:color w:val="000000"/>
          <w:sz w:val="16"/>
          <w:szCs w:val="16"/>
        </w:rPr>
        <w:t xml:space="preserve">, to ensure that Australians are protected from air, water, soil and noise pollution, wherever they live in Australia. The key means for achieving this are through the National Environment Protection Measures. These provide national environment standards, guidelines and protocols covering air, site contamination, hazardous waste, pollutants and used packaging. </w:t>
      </w:r>
    </w:p>
    <w:p w14:paraId="407FE66B" w14:textId="77777777" w:rsidR="00CB0DA6" w:rsidRPr="007D495D" w:rsidRDefault="00CB0DA6" w:rsidP="00CB0DA6">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During 2018-19, Victoria (with support from an inter-jurisdictional working group) continued to lead work to review the reporting standards for ozone, nitrogen dioxide and </w:t>
      </w:r>
      <w:proofErr w:type="spellStart"/>
      <w:r w:rsidRPr="007D495D">
        <w:rPr>
          <w:rFonts w:ascii="Times" w:hAnsi="Times" w:cs="Times"/>
          <w:color w:val="000000"/>
          <w:sz w:val="16"/>
          <w:szCs w:val="16"/>
        </w:rPr>
        <w:t>sulfur</w:t>
      </w:r>
      <w:proofErr w:type="spellEnd"/>
      <w:r w:rsidRPr="007D495D">
        <w:rPr>
          <w:rFonts w:ascii="Times" w:hAnsi="Times" w:cs="Times"/>
          <w:color w:val="000000"/>
          <w:sz w:val="16"/>
          <w:szCs w:val="16"/>
        </w:rPr>
        <w:t xml:space="preserve"> dioxide. The Council signalled our intention to vary the National Environment Protection (Ambient Air Quality) Measure, to reflect the latest scientific understanding for health protection from the impacts of air pollution from these pollutants for the Australian community. Public consultation for the impact statement and draft varied measure opened in May 2019, providing the opportunity for the community to review and comment on the supporting evidence to vary these standards. </w:t>
      </w:r>
    </w:p>
    <w:p w14:paraId="05B77369" w14:textId="77777777" w:rsidR="00CB0DA6" w:rsidRPr="007D495D" w:rsidRDefault="00CB0DA6" w:rsidP="00CB0DA6">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The National Pollutant Inventory was also reviewed during the reporting period. A discussion paper was </w:t>
      </w:r>
      <w:proofErr w:type="gramStart"/>
      <w:r w:rsidRPr="007D495D">
        <w:rPr>
          <w:rFonts w:ascii="Times" w:hAnsi="Times" w:cs="Times"/>
          <w:color w:val="000000"/>
          <w:sz w:val="16"/>
          <w:szCs w:val="16"/>
        </w:rPr>
        <w:t>released</w:t>
      </w:r>
      <w:proofErr w:type="gramEnd"/>
      <w:r w:rsidRPr="007D495D">
        <w:rPr>
          <w:rFonts w:ascii="Times" w:hAnsi="Times" w:cs="Times"/>
          <w:color w:val="000000"/>
          <w:sz w:val="16"/>
          <w:szCs w:val="16"/>
        </w:rPr>
        <w:t xml:space="preserve"> and 374 submissions received. The review will help to enhance the operations of the measure and improve pollution tracking across the country. Since 1998, the National Pollutant Inventory has provided the community, industry and government with free information about substance emissions in Australia. It provides emission estimates for 93 substances and the source and location of these emissions. Emissions and transfers of pollutants reported can relate to air, water or land.</w:t>
      </w:r>
    </w:p>
    <w:p w14:paraId="69D34322" w14:textId="77777777" w:rsidR="00CB0DA6" w:rsidRPr="007D495D" w:rsidRDefault="00CB0DA6" w:rsidP="00CB0DA6">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I would like to thank all Council members and those who have supported the Council for their work in 2018-19 and look forward to working with the Council in 2019-20.</w:t>
      </w:r>
    </w:p>
    <w:p w14:paraId="68C34DD5" w14:textId="77777777" w:rsidR="00CB0DA6" w:rsidRPr="007D495D" w:rsidRDefault="00CB0DA6" w:rsidP="00CB0DA6">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 </w:t>
      </w:r>
    </w:p>
    <w:p w14:paraId="278DE675" w14:textId="77777777" w:rsidR="00CB0DA6" w:rsidRDefault="00CB0DA6" w:rsidP="00CB0DA6">
      <w:pPr>
        <w:suppressAutoHyphens/>
        <w:autoSpaceDE w:val="0"/>
        <w:autoSpaceDN w:val="0"/>
        <w:adjustRightInd w:val="0"/>
        <w:spacing w:after="113" w:line="288" w:lineRule="auto"/>
        <w:textAlignment w:val="center"/>
        <w:rPr>
          <w:rFonts w:ascii="Times" w:hAnsi="Times" w:cs="Times"/>
          <w:color w:val="000000"/>
          <w:sz w:val="16"/>
          <w:szCs w:val="16"/>
        </w:rPr>
      </w:pPr>
      <w:proofErr w:type="spellStart"/>
      <w:r w:rsidRPr="007D495D">
        <w:rPr>
          <w:rFonts w:ascii="Times" w:hAnsi="Times" w:cs="Times"/>
          <w:b/>
          <w:bCs/>
          <w:color w:val="000000"/>
          <w:sz w:val="16"/>
          <w:szCs w:val="16"/>
        </w:rPr>
        <w:t>Sussan</w:t>
      </w:r>
      <w:proofErr w:type="spellEnd"/>
      <w:r w:rsidRPr="007D495D">
        <w:rPr>
          <w:rFonts w:ascii="Times" w:hAnsi="Times" w:cs="Times"/>
          <w:b/>
          <w:bCs/>
          <w:color w:val="000000"/>
          <w:sz w:val="16"/>
          <w:szCs w:val="16"/>
        </w:rPr>
        <w:t xml:space="preserve"> Ley </w:t>
      </w:r>
      <w:r>
        <w:rPr>
          <w:rFonts w:ascii="Times" w:hAnsi="Times" w:cs="Times"/>
          <w:b/>
          <w:bCs/>
          <w:color w:val="000000"/>
          <w:sz w:val="16"/>
          <w:szCs w:val="16"/>
        </w:rPr>
        <w:br/>
      </w:r>
      <w:r w:rsidRPr="007D495D">
        <w:rPr>
          <w:rFonts w:ascii="Times" w:hAnsi="Times" w:cs="Times"/>
          <w:color w:val="000000"/>
          <w:sz w:val="16"/>
          <w:szCs w:val="16"/>
        </w:rPr>
        <w:t xml:space="preserve">Chair </w:t>
      </w:r>
      <w:r>
        <w:rPr>
          <w:rFonts w:ascii="Times" w:hAnsi="Times" w:cs="Times"/>
          <w:color w:val="000000"/>
          <w:sz w:val="16"/>
          <w:szCs w:val="16"/>
        </w:rPr>
        <w:br/>
      </w:r>
      <w:r w:rsidRPr="007D495D">
        <w:rPr>
          <w:rFonts w:ascii="Times" w:hAnsi="Times" w:cs="Times"/>
          <w:color w:val="000000"/>
          <w:sz w:val="16"/>
          <w:szCs w:val="16"/>
        </w:rPr>
        <w:t>National Environment Protection Council</w:t>
      </w:r>
    </w:p>
    <w:p w14:paraId="09CED692" w14:textId="77777777" w:rsidR="00CB0DA6" w:rsidRDefault="00CB0DA6" w:rsidP="00CB0DA6">
      <w:pPr>
        <w:rPr>
          <w:rFonts w:ascii="Times" w:hAnsi="Times" w:cs="Times"/>
          <w:color w:val="000000"/>
          <w:sz w:val="16"/>
          <w:szCs w:val="16"/>
        </w:rPr>
      </w:pPr>
      <w:r>
        <w:rPr>
          <w:rFonts w:ascii="Times" w:hAnsi="Times" w:cs="Times"/>
          <w:color w:val="000000"/>
          <w:sz w:val="16"/>
          <w:szCs w:val="16"/>
        </w:rPr>
        <w:br w:type="page"/>
      </w:r>
    </w:p>
    <w:p w14:paraId="5F0A5E21" w14:textId="77777777" w:rsidR="00CB0DA6" w:rsidRPr="009408AB" w:rsidRDefault="00CB0DA6" w:rsidP="00CB0DA6">
      <w:pPr>
        <w:pStyle w:val="Heading1"/>
      </w:pPr>
      <w:bookmarkStart w:id="4" w:name="_Toc58254358"/>
      <w:r w:rsidRPr="009408AB">
        <w:lastRenderedPageBreak/>
        <w:t>Members of the National Environment Protection Council</w:t>
      </w:r>
      <w:bookmarkEnd w:id="4"/>
    </w:p>
    <w:p w14:paraId="2BC9EF95" w14:textId="77777777" w:rsidR="00CB0DA6" w:rsidRPr="007D495D" w:rsidRDefault="00CB0DA6" w:rsidP="00CB0DA6">
      <w:pPr>
        <w:keepNext/>
        <w:tabs>
          <w:tab w:val="left" w:pos="426"/>
        </w:tabs>
        <w:suppressAutoHyphens/>
        <w:autoSpaceDE w:val="0"/>
        <w:autoSpaceDN w:val="0"/>
        <w:adjustRightInd w:val="0"/>
        <w:spacing w:before="113" w:after="170" w:line="288" w:lineRule="auto"/>
        <w:textAlignment w:val="center"/>
        <w:rPr>
          <w:rFonts w:ascii="Calibri Light" w:hAnsi="Calibri Light" w:cs="Calibri Light"/>
          <w:color w:val="000000"/>
          <w:sz w:val="20"/>
          <w:szCs w:val="20"/>
        </w:rPr>
      </w:pPr>
      <w:r w:rsidRPr="007D495D">
        <w:rPr>
          <w:rFonts w:ascii="Calibri Light" w:hAnsi="Calibri Light" w:cs="Calibri Light"/>
          <w:color w:val="000000"/>
          <w:sz w:val="20"/>
          <w:szCs w:val="20"/>
        </w:rPr>
        <w:t>From 1 July 2018 to 30 June 2019</w:t>
      </w:r>
    </w:p>
    <w:tbl>
      <w:tblPr>
        <w:tblW w:w="0" w:type="auto"/>
        <w:tblInd w:w="-5" w:type="dxa"/>
        <w:tblLayout w:type="fixed"/>
        <w:tblCellMar>
          <w:left w:w="0" w:type="dxa"/>
          <w:right w:w="0" w:type="dxa"/>
        </w:tblCellMar>
        <w:tblLook w:val="0000" w:firstRow="0" w:lastRow="0" w:firstColumn="0" w:lastColumn="0" w:noHBand="0" w:noVBand="0"/>
      </w:tblPr>
      <w:tblGrid>
        <w:gridCol w:w="1554"/>
        <w:gridCol w:w="3686"/>
        <w:gridCol w:w="2304"/>
      </w:tblGrid>
      <w:tr w:rsidR="00CB0DA6" w:rsidRPr="007D495D" w14:paraId="5E28ABA6" w14:textId="77777777" w:rsidTr="002506CA">
        <w:trPr>
          <w:trHeight w:val="60"/>
          <w:tblHeader/>
        </w:trPr>
        <w:tc>
          <w:tcPr>
            <w:tcW w:w="155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center"/>
          </w:tcPr>
          <w:p w14:paraId="7CF8E790" w14:textId="77777777" w:rsidR="00CB0DA6" w:rsidRPr="007D495D" w:rsidRDefault="00CB0DA6" w:rsidP="002506CA">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 xml:space="preserve">Jurisdiction </w:t>
            </w:r>
          </w:p>
        </w:tc>
        <w:tc>
          <w:tcPr>
            <w:tcW w:w="3686"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center"/>
          </w:tcPr>
          <w:p w14:paraId="73D8879B" w14:textId="77777777" w:rsidR="00CB0DA6" w:rsidRPr="007D495D" w:rsidRDefault="00CB0DA6" w:rsidP="002506CA">
            <w:pPr>
              <w:suppressAutoHyphens/>
              <w:autoSpaceDE w:val="0"/>
              <w:autoSpaceDN w:val="0"/>
              <w:adjustRightInd w:val="0"/>
              <w:spacing w:before="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Member</w:t>
            </w:r>
          </w:p>
        </w:tc>
        <w:tc>
          <w:tcPr>
            <w:tcW w:w="230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center"/>
          </w:tcPr>
          <w:p w14:paraId="54D72EBB" w14:textId="77777777" w:rsidR="00CB0DA6" w:rsidRPr="007D495D" w:rsidRDefault="00CB0DA6" w:rsidP="002506CA">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Duration of membership</w:t>
            </w:r>
          </w:p>
        </w:tc>
      </w:tr>
      <w:tr w:rsidR="00CB0DA6" w:rsidRPr="007D495D" w14:paraId="7E2455FD" w14:textId="77777777" w:rsidTr="002506CA">
        <w:trPr>
          <w:trHeight w:val="581"/>
        </w:trPr>
        <w:tc>
          <w:tcPr>
            <w:tcW w:w="1554" w:type="dxa"/>
            <w:vMerge w:val="restart"/>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594DF8D6"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Commonwealth</w:t>
            </w:r>
          </w:p>
        </w:tc>
        <w:tc>
          <w:tcPr>
            <w:tcW w:w="3686"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1F501B69"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 xml:space="preserve">The Hon </w:t>
            </w:r>
            <w:proofErr w:type="spellStart"/>
            <w:r w:rsidRPr="007D495D">
              <w:rPr>
                <w:rFonts w:ascii="Times" w:hAnsi="Times" w:cs="Times"/>
                <w:color w:val="000000"/>
                <w:sz w:val="16"/>
                <w:szCs w:val="16"/>
              </w:rPr>
              <w:t>Sussan</w:t>
            </w:r>
            <w:proofErr w:type="spellEnd"/>
            <w:r w:rsidRPr="007D495D">
              <w:rPr>
                <w:rFonts w:ascii="Times" w:hAnsi="Times" w:cs="Times"/>
                <w:color w:val="000000"/>
                <w:sz w:val="16"/>
                <w:szCs w:val="16"/>
              </w:rPr>
              <w:t xml:space="preserve"> Ley MP </w:t>
            </w:r>
          </w:p>
          <w:p w14:paraId="5F3853AC"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Minister for the Environment</w:t>
            </w:r>
          </w:p>
        </w:tc>
        <w:tc>
          <w:tcPr>
            <w:tcW w:w="230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0EEEE719"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29 May 2019–30 June 2019</w:t>
            </w:r>
          </w:p>
        </w:tc>
      </w:tr>
      <w:tr w:rsidR="00CB0DA6" w:rsidRPr="007D495D" w14:paraId="32E1810B" w14:textId="77777777" w:rsidTr="002506CA">
        <w:trPr>
          <w:trHeight w:val="360"/>
        </w:trPr>
        <w:tc>
          <w:tcPr>
            <w:tcW w:w="1554" w:type="dxa"/>
            <w:vMerge/>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303B5AF" w14:textId="77777777" w:rsidR="00CB0DA6" w:rsidRPr="007D495D" w:rsidRDefault="00CB0DA6" w:rsidP="002506CA">
            <w:pPr>
              <w:autoSpaceDE w:val="0"/>
              <w:autoSpaceDN w:val="0"/>
              <w:adjustRightInd w:val="0"/>
              <w:rPr>
                <w:rFonts w:ascii="Calibri Light" w:hAnsi="Calibri Light" w:cs="Calibri Light"/>
                <w:lang w:val="en-GB"/>
              </w:rPr>
            </w:pPr>
          </w:p>
        </w:tc>
        <w:tc>
          <w:tcPr>
            <w:tcW w:w="3686"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505DCE45"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 xml:space="preserve">The Hon Melissa Price MP </w:t>
            </w:r>
          </w:p>
          <w:p w14:paraId="39BF02C9"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Minister of the Environment</w:t>
            </w:r>
          </w:p>
        </w:tc>
        <w:tc>
          <w:tcPr>
            <w:tcW w:w="230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6FDAAB10"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28 August 2018–28 May 2019</w:t>
            </w:r>
          </w:p>
        </w:tc>
      </w:tr>
      <w:tr w:rsidR="00CB0DA6" w:rsidRPr="007D495D" w14:paraId="12A0DE68" w14:textId="77777777" w:rsidTr="002506CA">
        <w:trPr>
          <w:trHeight w:val="360"/>
        </w:trPr>
        <w:tc>
          <w:tcPr>
            <w:tcW w:w="1554" w:type="dxa"/>
            <w:vMerge/>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0206322" w14:textId="77777777" w:rsidR="00CB0DA6" w:rsidRPr="007D495D" w:rsidRDefault="00CB0DA6" w:rsidP="002506CA">
            <w:pPr>
              <w:autoSpaceDE w:val="0"/>
              <w:autoSpaceDN w:val="0"/>
              <w:adjustRightInd w:val="0"/>
              <w:rPr>
                <w:rFonts w:ascii="Calibri Light" w:hAnsi="Calibri Light" w:cs="Calibri Light"/>
                <w:lang w:val="en-GB"/>
              </w:rPr>
            </w:pPr>
          </w:p>
        </w:tc>
        <w:tc>
          <w:tcPr>
            <w:tcW w:w="3686"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4587C48D"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The Hon Josh Frydenberg MP</w:t>
            </w:r>
          </w:p>
          <w:p w14:paraId="048C2DB8"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Minister for the Environment and Energy</w:t>
            </w:r>
          </w:p>
        </w:tc>
        <w:tc>
          <w:tcPr>
            <w:tcW w:w="230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10C28CD1"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19 July 2016–27 August 2018</w:t>
            </w:r>
          </w:p>
        </w:tc>
      </w:tr>
      <w:tr w:rsidR="00CB0DA6" w:rsidRPr="007D495D" w14:paraId="4CDBD12D" w14:textId="77777777" w:rsidTr="002506CA">
        <w:trPr>
          <w:trHeight w:val="339"/>
        </w:trPr>
        <w:tc>
          <w:tcPr>
            <w:tcW w:w="1554" w:type="dxa"/>
            <w:vMerge w:val="restart"/>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40810343"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New South Wales</w:t>
            </w:r>
          </w:p>
        </w:tc>
        <w:tc>
          <w:tcPr>
            <w:tcW w:w="3686"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3067061F"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The Hon Matt Kean MP</w:t>
            </w:r>
          </w:p>
          <w:p w14:paraId="7B62927F"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 xml:space="preserve">Minister for Energy and Environment </w:t>
            </w:r>
          </w:p>
        </w:tc>
        <w:tc>
          <w:tcPr>
            <w:tcW w:w="230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0F9B1E08"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2 April 2019–30 June 2019</w:t>
            </w:r>
          </w:p>
        </w:tc>
      </w:tr>
      <w:tr w:rsidR="00CB0DA6" w:rsidRPr="007D495D" w14:paraId="551CDDD1" w14:textId="77777777" w:rsidTr="002506CA">
        <w:trPr>
          <w:trHeight w:val="338"/>
        </w:trPr>
        <w:tc>
          <w:tcPr>
            <w:tcW w:w="1554" w:type="dxa"/>
            <w:vMerge/>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7F49500" w14:textId="77777777" w:rsidR="00CB0DA6" w:rsidRPr="007D495D" w:rsidRDefault="00CB0DA6" w:rsidP="002506CA">
            <w:pPr>
              <w:autoSpaceDE w:val="0"/>
              <w:autoSpaceDN w:val="0"/>
              <w:adjustRightInd w:val="0"/>
              <w:rPr>
                <w:rFonts w:ascii="Calibri Light" w:hAnsi="Calibri Light" w:cs="Calibri Light"/>
                <w:lang w:val="en-GB"/>
              </w:rPr>
            </w:pPr>
          </w:p>
        </w:tc>
        <w:tc>
          <w:tcPr>
            <w:tcW w:w="3686"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6D04D8D2"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The Hon Gabrielle Upton MP</w:t>
            </w:r>
          </w:p>
          <w:p w14:paraId="6DFED67D"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Minister for Environment</w:t>
            </w:r>
          </w:p>
        </w:tc>
        <w:tc>
          <w:tcPr>
            <w:tcW w:w="230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64777052"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30 January 2017–1 April 2019</w:t>
            </w:r>
          </w:p>
        </w:tc>
      </w:tr>
      <w:tr w:rsidR="00CB0DA6" w:rsidRPr="007D495D" w14:paraId="0337A856" w14:textId="77777777" w:rsidTr="002506CA">
        <w:trPr>
          <w:trHeight w:val="60"/>
        </w:trPr>
        <w:tc>
          <w:tcPr>
            <w:tcW w:w="155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4F768792"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Victoria</w:t>
            </w:r>
          </w:p>
        </w:tc>
        <w:tc>
          <w:tcPr>
            <w:tcW w:w="3686"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113BD46B"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 xml:space="preserve">The Hon Lily </w:t>
            </w:r>
            <w:proofErr w:type="spellStart"/>
            <w:r w:rsidRPr="007D495D">
              <w:rPr>
                <w:rFonts w:ascii="Times" w:hAnsi="Times" w:cs="Times"/>
                <w:color w:val="000000"/>
                <w:sz w:val="16"/>
                <w:szCs w:val="16"/>
              </w:rPr>
              <w:t>D’Ambrosio</w:t>
            </w:r>
            <w:proofErr w:type="spellEnd"/>
            <w:r w:rsidRPr="007D495D">
              <w:rPr>
                <w:rFonts w:ascii="Times" w:hAnsi="Times" w:cs="Times"/>
                <w:color w:val="000000"/>
                <w:sz w:val="16"/>
                <w:szCs w:val="16"/>
              </w:rPr>
              <w:t xml:space="preserve"> MP</w:t>
            </w:r>
          </w:p>
          <w:p w14:paraId="3F50C152"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 xml:space="preserve">Minister for Energy, Environment and Climate Change </w:t>
            </w:r>
          </w:p>
        </w:tc>
        <w:tc>
          <w:tcPr>
            <w:tcW w:w="230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18154653"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Full year</w:t>
            </w:r>
          </w:p>
        </w:tc>
      </w:tr>
      <w:tr w:rsidR="00CB0DA6" w:rsidRPr="007D495D" w14:paraId="64DFBED9" w14:textId="77777777" w:rsidTr="002506CA">
        <w:trPr>
          <w:trHeight w:val="60"/>
        </w:trPr>
        <w:tc>
          <w:tcPr>
            <w:tcW w:w="155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094197FA"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 xml:space="preserve">Queensland </w:t>
            </w:r>
          </w:p>
        </w:tc>
        <w:tc>
          <w:tcPr>
            <w:tcW w:w="3686"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34701629" w14:textId="346ED0A1"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The Hon L</w:t>
            </w:r>
            <w:r w:rsidR="00562829">
              <w:rPr>
                <w:rFonts w:ascii="Times" w:hAnsi="Times" w:cs="Times"/>
                <w:color w:val="000000"/>
                <w:sz w:val="16"/>
                <w:szCs w:val="16"/>
              </w:rPr>
              <w:t>e</w:t>
            </w:r>
            <w:r w:rsidRPr="007D495D">
              <w:rPr>
                <w:rFonts w:ascii="Times" w:hAnsi="Times" w:cs="Times"/>
                <w:color w:val="000000"/>
                <w:sz w:val="16"/>
                <w:szCs w:val="16"/>
              </w:rPr>
              <w:t>eanne Enoch MP</w:t>
            </w:r>
          </w:p>
          <w:p w14:paraId="4B0EE02D"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Minister for Environment and Great Barrier Reef</w:t>
            </w:r>
          </w:p>
        </w:tc>
        <w:tc>
          <w:tcPr>
            <w:tcW w:w="230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14BAFF45"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Full year</w:t>
            </w:r>
          </w:p>
        </w:tc>
      </w:tr>
      <w:tr w:rsidR="00CB0DA6" w:rsidRPr="007D495D" w14:paraId="73C6406A" w14:textId="77777777" w:rsidTr="002506CA">
        <w:trPr>
          <w:trHeight w:val="60"/>
        </w:trPr>
        <w:tc>
          <w:tcPr>
            <w:tcW w:w="155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76A9814A"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Western Australia</w:t>
            </w:r>
          </w:p>
        </w:tc>
        <w:tc>
          <w:tcPr>
            <w:tcW w:w="3686"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5FD1FAC1"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The Hon Stephen Dawson MLC Minister for Environment</w:t>
            </w:r>
          </w:p>
        </w:tc>
        <w:tc>
          <w:tcPr>
            <w:tcW w:w="230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158D9628"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Full year</w:t>
            </w:r>
          </w:p>
        </w:tc>
      </w:tr>
      <w:tr w:rsidR="00CB0DA6" w:rsidRPr="007D495D" w14:paraId="2D3B6B92" w14:textId="77777777" w:rsidTr="002506CA">
        <w:trPr>
          <w:trHeight w:val="60"/>
        </w:trPr>
        <w:tc>
          <w:tcPr>
            <w:tcW w:w="155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17A21214"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 xml:space="preserve">South Australia </w:t>
            </w:r>
          </w:p>
        </w:tc>
        <w:tc>
          <w:tcPr>
            <w:tcW w:w="3686"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3F9C4E93"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The Hon David Speirs MP</w:t>
            </w:r>
          </w:p>
          <w:p w14:paraId="6A7F37EA"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Minister for Sustainability, Environment and Conservation</w:t>
            </w:r>
          </w:p>
        </w:tc>
        <w:tc>
          <w:tcPr>
            <w:tcW w:w="230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2D90F608"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Full year</w:t>
            </w:r>
          </w:p>
        </w:tc>
      </w:tr>
      <w:tr w:rsidR="00CB0DA6" w:rsidRPr="007D495D" w14:paraId="08F8EBCE" w14:textId="77777777" w:rsidTr="002506CA">
        <w:trPr>
          <w:trHeight w:val="226"/>
        </w:trPr>
        <w:tc>
          <w:tcPr>
            <w:tcW w:w="155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5B9A91A2"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Tasmania</w:t>
            </w:r>
          </w:p>
        </w:tc>
        <w:tc>
          <w:tcPr>
            <w:tcW w:w="3686"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53D1ECA3"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The Hon Elise Archer MP</w:t>
            </w:r>
          </w:p>
          <w:p w14:paraId="376FFB90"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Minister for Environment</w:t>
            </w:r>
          </w:p>
        </w:tc>
        <w:tc>
          <w:tcPr>
            <w:tcW w:w="230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5E128EB0"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 xml:space="preserve">Full year </w:t>
            </w:r>
          </w:p>
        </w:tc>
      </w:tr>
      <w:tr w:rsidR="00CB0DA6" w:rsidRPr="007D495D" w14:paraId="69F2333E" w14:textId="77777777" w:rsidTr="002506CA">
        <w:trPr>
          <w:trHeight w:val="60"/>
        </w:trPr>
        <w:tc>
          <w:tcPr>
            <w:tcW w:w="155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507AE699"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Australian Capital Territory</w:t>
            </w:r>
          </w:p>
        </w:tc>
        <w:tc>
          <w:tcPr>
            <w:tcW w:w="3686"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15ED4E3B"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Mr Mick Gentleman MLA</w:t>
            </w:r>
          </w:p>
          <w:p w14:paraId="4BDEEE52"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Minister for the Environment and Heritage</w:t>
            </w:r>
          </w:p>
        </w:tc>
        <w:tc>
          <w:tcPr>
            <w:tcW w:w="230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4269A52B"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Full year</w:t>
            </w:r>
          </w:p>
        </w:tc>
      </w:tr>
      <w:tr w:rsidR="00CB0DA6" w:rsidRPr="007D495D" w14:paraId="3FE3AAA6" w14:textId="77777777" w:rsidTr="002506CA">
        <w:trPr>
          <w:trHeight w:val="60"/>
        </w:trPr>
        <w:tc>
          <w:tcPr>
            <w:tcW w:w="155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0BA4BC73"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 xml:space="preserve">Northern Territory </w:t>
            </w:r>
          </w:p>
        </w:tc>
        <w:tc>
          <w:tcPr>
            <w:tcW w:w="3686"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49DE42F8" w14:textId="77777777" w:rsidR="00CB0DA6" w:rsidRPr="007D495D" w:rsidRDefault="00CB0DA6" w:rsidP="002506CA">
            <w:pPr>
              <w:suppressAutoHyphens/>
              <w:autoSpaceDE w:val="0"/>
              <w:autoSpaceDN w:val="0"/>
              <w:adjustRightInd w:val="0"/>
              <w:spacing w:line="180" w:lineRule="atLeast"/>
              <w:textAlignment w:val="center"/>
              <w:rPr>
                <w:rFonts w:ascii="Times" w:hAnsi="Times" w:cs="Times"/>
                <w:color w:val="000000"/>
                <w:sz w:val="16"/>
                <w:szCs w:val="16"/>
              </w:rPr>
            </w:pPr>
            <w:r w:rsidRPr="007D495D">
              <w:rPr>
                <w:rFonts w:ascii="Times" w:hAnsi="Times" w:cs="Times"/>
                <w:color w:val="000000"/>
                <w:sz w:val="16"/>
                <w:szCs w:val="16"/>
              </w:rPr>
              <w:t>The Hon Eva Lawler MLA Minister for Environment and Natural Resources</w:t>
            </w:r>
          </w:p>
        </w:tc>
        <w:tc>
          <w:tcPr>
            <w:tcW w:w="230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Mar>
              <w:top w:w="80" w:type="dxa"/>
              <w:left w:w="80" w:type="dxa"/>
              <w:bottom w:w="80" w:type="dxa"/>
              <w:right w:w="80" w:type="dxa"/>
            </w:tcMar>
            <w:vAlign w:val="center"/>
          </w:tcPr>
          <w:p w14:paraId="6EBC10F6" w14:textId="77777777" w:rsidR="00CB0DA6" w:rsidRPr="007D495D" w:rsidRDefault="00CB0DA6" w:rsidP="002506CA">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Full year</w:t>
            </w:r>
          </w:p>
        </w:tc>
      </w:tr>
    </w:tbl>
    <w:p w14:paraId="1C1670C2" w14:textId="77777777" w:rsidR="00CB0DA6" w:rsidRPr="007D495D" w:rsidRDefault="00CB0DA6" w:rsidP="00CB0DA6">
      <w:pPr>
        <w:suppressAutoHyphens/>
        <w:autoSpaceDE w:val="0"/>
        <w:autoSpaceDN w:val="0"/>
        <w:adjustRightInd w:val="0"/>
        <w:spacing w:after="113" w:line="288" w:lineRule="auto"/>
        <w:textAlignment w:val="center"/>
        <w:rPr>
          <w:rFonts w:ascii="Times" w:hAnsi="Times" w:cs="Times"/>
          <w:color w:val="000000"/>
          <w:sz w:val="16"/>
          <w:szCs w:val="16"/>
        </w:rPr>
      </w:pPr>
    </w:p>
    <w:p w14:paraId="7A03287B" w14:textId="23F07CC6" w:rsidR="00CB0DA6" w:rsidRDefault="00CB0DA6">
      <w:pPr>
        <w:rPr>
          <w:rFonts w:ascii="Calibri" w:hAnsi="Calibri" w:cs="Calibri"/>
          <w:color w:val="000000" w:themeColor="text1"/>
          <w:spacing w:val="16"/>
          <w:sz w:val="40"/>
          <w:szCs w:val="40"/>
          <w:lang w:val="en-GB"/>
        </w:rPr>
      </w:pPr>
      <w:r>
        <w:br w:type="page"/>
      </w:r>
    </w:p>
    <w:p w14:paraId="6715BF91" w14:textId="5CEFE3CD" w:rsidR="00687596" w:rsidRDefault="00687596" w:rsidP="00430022">
      <w:pPr>
        <w:pStyle w:val="Heading1"/>
      </w:pPr>
      <w:bookmarkStart w:id="5" w:name="_Toc58254359"/>
      <w:r>
        <w:lastRenderedPageBreak/>
        <w:t>Table of Contents</w:t>
      </w:r>
      <w:bookmarkEnd w:id="1"/>
      <w:bookmarkEnd w:id="5"/>
    </w:p>
    <w:p w14:paraId="618DD873" w14:textId="138A4F97" w:rsidR="00CB0DA6" w:rsidRDefault="00CC4679">
      <w:pPr>
        <w:pStyle w:val="TOC1"/>
        <w:rPr>
          <w:rFonts w:eastAsiaTheme="minorEastAsia" w:cstheme="minorBidi"/>
          <w:b w:val="0"/>
          <w:bCs w:val="0"/>
          <w:iCs w:val="0"/>
          <w:sz w:val="24"/>
          <w:szCs w:val="24"/>
          <w:lang w:eastAsia="en-GB"/>
        </w:rPr>
      </w:pPr>
      <w:r>
        <w:fldChar w:fldCharType="begin"/>
      </w:r>
      <w:r>
        <w:instrText xml:space="preserve"> TOC \o "1-2" \h \z \u </w:instrText>
      </w:r>
      <w:r>
        <w:fldChar w:fldCharType="separate"/>
      </w:r>
      <w:hyperlink w:anchor="_Toc58254357" w:history="1">
        <w:r w:rsidR="00CB0DA6" w:rsidRPr="004F71EC">
          <w:rPr>
            <w:rStyle w:val="Hyperlink"/>
          </w:rPr>
          <w:t>Chair’s foreword</w:t>
        </w:r>
        <w:r w:rsidR="00CB0DA6">
          <w:rPr>
            <w:webHidden/>
          </w:rPr>
          <w:tab/>
        </w:r>
        <w:r w:rsidR="00CB0DA6">
          <w:rPr>
            <w:webHidden/>
          </w:rPr>
          <w:fldChar w:fldCharType="begin"/>
        </w:r>
        <w:r w:rsidR="00CB0DA6">
          <w:rPr>
            <w:webHidden/>
          </w:rPr>
          <w:instrText xml:space="preserve"> PAGEREF _Toc58254357 \h </w:instrText>
        </w:r>
        <w:r w:rsidR="00CB0DA6">
          <w:rPr>
            <w:webHidden/>
          </w:rPr>
        </w:r>
        <w:r w:rsidR="00CB0DA6">
          <w:rPr>
            <w:webHidden/>
          </w:rPr>
          <w:fldChar w:fldCharType="separate"/>
        </w:r>
        <w:r w:rsidR="00CB0DA6">
          <w:rPr>
            <w:webHidden/>
          </w:rPr>
          <w:t>2</w:t>
        </w:r>
        <w:r w:rsidR="00CB0DA6">
          <w:rPr>
            <w:webHidden/>
          </w:rPr>
          <w:fldChar w:fldCharType="end"/>
        </w:r>
      </w:hyperlink>
    </w:p>
    <w:p w14:paraId="19B59736" w14:textId="395E9E41" w:rsidR="00CB0DA6" w:rsidRDefault="003F26A6">
      <w:pPr>
        <w:pStyle w:val="TOC1"/>
        <w:rPr>
          <w:rFonts w:eastAsiaTheme="minorEastAsia" w:cstheme="minorBidi"/>
          <w:b w:val="0"/>
          <w:bCs w:val="0"/>
          <w:iCs w:val="0"/>
          <w:sz w:val="24"/>
          <w:szCs w:val="24"/>
          <w:lang w:eastAsia="en-GB"/>
        </w:rPr>
      </w:pPr>
      <w:hyperlink w:anchor="_Toc58254358" w:history="1">
        <w:r w:rsidR="00CB0DA6" w:rsidRPr="004F71EC">
          <w:rPr>
            <w:rStyle w:val="Hyperlink"/>
          </w:rPr>
          <w:t>Members of the National Environment Protection Council</w:t>
        </w:r>
        <w:r w:rsidR="00CB0DA6">
          <w:rPr>
            <w:webHidden/>
          </w:rPr>
          <w:tab/>
        </w:r>
        <w:r w:rsidR="00CB0DA6">
          <w:rPr>
            <w:webHidden/>
          </w:rPr>
          <w:fldChar w:fldCharType="begin"/>
        </w:r>
        <w:r w:rsidR="00CB0DA6">
          <w:rPr>
            <w:webHidden/>
          </w:rPr>
          <w:instrText xml:space="preserve"> PAGEREF _Toc58254358 \h </w:instrText>
        </w:r>
        <w:r w:rsidR="00CB0DA6">
          <w:rPr>
            <w:webHidden/>
          </w:rPr>
        </w:r>
        <w:r w:rsidR="00CB0DA6">
          <w:rPr>
            <w:webHidden/>
          </w:rPr>
          <w:fldChar w:fldCharType="separate"/>
        </w:r>
        <w:r w:rsidR="00CB0DA6">
          <w:rPr>
            <w:webHidden/>
          </w:rPr>
          <w:t>3</w:t>
        </w:r>
        <w:r w:rsidR="00CB0DA6">
          <w:rPr>
            <w:webHidden/>
          </w:rPr>
          <w:fldChar w:fldCharType="end"/>
        </w:r>
      </w:hyperlink>
    </w:p>
    <w:p w14:paraId="710555EE" w14:textId="57498659" w:rsidR="00CB0DA6" w:rsidRDefault="003F26A6">
      <w:pPr>
        <w:pStyle w:val="TOC1"/>
        <w:rPr>
          <w:rFonts w:eastAsiaTheme="minorEastAsia" w:cstheme="minorBidi"/>
          <w:b w:val="0"/>
          <w:bCs w:val="0"/>
          <w:iCs w:val="0"/>
          <w:sz w:val="24"/>
          <w:szCs w:val="24"/>
          <w:lang w:eastAsia="en-GB"/>
        </w:rPr>
      </w:pPr>
      <w:hyperlink w:anchor="_Toc58254360" w:history="1">
        <w:r w:rsidR="00CB0DA6" w:rsidRPr="004F71EC">
          <w:rPr>
            <w:rStyle w:val="Hyperlink"/>
          </w:rPr>
          <w:t>Overview</w:t>
        </w:r>
        <w:r w:rsidR="00CB0DA6">
          <w:rPr>
            <w:webHidden/>
          </w:rPr>
          <w:tab/>
        </w:r>
        <w:r w:rsidR="00CB0DA6">
          <w:rPr>
            <w:webHidden/>
          </w:rPr>
          <w:fldChar w:fldCharType="begin"/>
        </w:r>
        <w:r w:rsidR="00CB0DA6">
          <w:rPr>
            <w:webHidden/>
          </w:rPr>
          <w:instrText xml:space="preserve"> PAGEREF _Toc58254360 \h </w:instrText>
        </w:r>
        <w:r w:rsidR="00CB0DA6">
          <w:rPr>
            <w:webHidden/>
          </w:rPr>
        </w:r>
        <w:r w:rsidR="00CB0DA6">
          <w:rPr>
            <w:webHidden/>
          </w:rPr>
          <w:fldChar w:fldCharType="separate"/>
        </w:r>
        <w:r w:rsidR="00CB0DA6">
          <w:rPr>
            <w:webHidden/>
          </w:rPr>
          <w:t>7</w:t>
        </w:r>
        <w:r w:rsidR="00CB0DA6">
          <w:rPr>
            <w:webHidden/>
          </w:rPr>
          <w:fldChar w:fldCharType="end"/>
        </w:r>
      </w:hyperlink>
    </w:p>
    <w:p w14:paraId="74BE89A3" w14:textId="1027D30B" w:rsidR="00CB0DA6" w:rsidRDefault="003F26A6">
      <w:pPr>
        <w:pStyle w:val="TOC1"/>
        <w:rPr>
          <w:rFonts w:eastAsiaTheme="minorEastAsia" w:cstheme="minorBidi"/>
          <w:b w:val="0"/>
          <w:bCs w:val="0"/>
          <w:iCs w:val="0"/>
          <w:sz w:val="24"/>
          <w:szCs w:val="24"/>
          <w:lang w:eastAsia="en-GB"/>
        </w:rPr>
      </w:pPr>
      <w:hyperlink w:anchor="_Toc58254361" w:history="1">
        <w:r w:rsidR="00CB0DA6" w:rsidRPr="004F71EC">
          <w:rPr>
            <w:rStyle w:val="Hyperlink"/>
          </w:rPr>
          <w:t>National Environment Protection  (Air Toxics) Measure</w:t>
        </w:r>
        <w:r w:rsidR="00CB0DA6">
          <w:rPr>
            <w:webHidden/>
          </w:rPr>
          <w:tab/>
        </w:r>
        <w:r w:rsidR="00CB0DA6">
          <w:rPr>
            <w:webHidden/>
          </w:rPr>
          <w:fldChar w:fldCharType="begin"/>
        </w:r>
        <w:r w:rsidR="00CB0DA6">
          <w:rPr>
            <w:webHidden/>
          </w:rPr>
          <w:instrText xml:space="preserve"> PAGEREF _Toc58254361 \h </w:instrText>
        </w:r>
        <w:r w:rsidR="00CB0DA6">
          <w:rPr>
            <w:webHidden/>
          </w:rPr>
        </w:r>
        <w:r w:rsidR="00CB0DA6">
          <w:rPr>
            <w:webHidden/>
          </w:rPr>
          <w:fldChar w:fldCharType="separate"/>
        </w:r>
        <w:r w:rsidR="00CB0DA6">
          <w:rPr>
            <w:webHidden/>
          </w:rPr>
          <w:t>9</w:t>
        </w:r>
        <w:r w:rsidR="00CB0DA6">
          <w:rPr>
            <w:webHidden/>
          </w:rPr>
          <w:fldChar w:fldCharType="end"/>
        </w:r>
      </w:hyperlink>
    </w:p>
    <w:p w14:paraId="4CB32DEC" w14:textId="105695C3" w:rsidR="00CB0DA6" w:rsidRDefault="003F26A6">
      <w:pPr>
        <w:pStyle w:val="TOC1"/>
        <w:rPr>
          <w:rFonts w:eastAsiaTheme="minorEastAsia" w:cstheme="minorBidi"/>
          <w:b w:val="0"/>
          <w:bCs w:val="0"/>
          <w:iCs w:val="0"/>
          <w:sz w:val="24"/>
          <w:szCs w:val="24"/>
          <w:lang w:eastAsia="en-GB"/>
        </w:rPr>
      </w:pPr>
      <w:hyperlink w:anchor="_Toc58254362" w:history="1">
        <w:r w:rsidR="00CB0DA6" w:rsidRPr="004F71EC">
          <w:rPr>
            <w:rStyle w:val="Hyperlink"/>
          </w:rPr>
          <w:t>National Environment Protection (Ambient Air Quality) Measure</w:t>
        </w:r>
        <w:r w:rsidR="00CB0DA6">
          <w:rPr>
            <w:webHidden/>
          </w:rPr>
          <w:tab/>
        </w:r>
        <w:r w:rsidR="00CB0DA6">
          <w:rPr>
            <w:webHidden/>
          </w:rPr>
          <w:fldChar w:fldCharType="begin"/>
        </w:r>
        <w:r w:rsidR="00CB0DA6">
          <w:rPr>
            <w:webHidden/>
          </w:rPr>
          <w:instrText xml:space="preserve"> PAGEREF _Toc58254362 \h </w:instrText>
        </w:r>
        <w:r w:rsidR="00CB0DA6">
          <w:rPr>
            <w:webHidden/>
          </w:rPr>
        </w:r>
        <w:r w:rsidR="00CB0DA6">
          <w:rPr>
            <w:webHidden/>
          </w:rPr>
          <w:fldChar w:fldCharType="separate"/>
        </w:r>
        <w:r w:rsidR="00CB0DA6">
          <w:rPr>
            <w:webHidden/>
          </w:rPr>
          <w:t>13</w:t>
        </w:r>
        <w:r w:rsidR="00CB0DA6">
          <w:rPr>
            <w:webHidden/>
          </w:rPr>
          <w:fldChar w:fldCharType="end"/>
        </w:r>
      </w:hyperlink>
    </w:p>
    <w:p w14:paraId="10F58C61" w14:textId="53106EFC" w:rsidR="00CB0DA6" w:rsidRDefault="003F26A6">
      <w:pPr>
        <w:pStyle w:val="TOC1"/>
        <w:rPr>
          <w:rFonts w:eastAsiaTheme="minorEastAsia" w:cstheme="minorBidi"/>
          <w:b w:val="0"/>
          <w:bCs w:val="0"/>
          <w:iCs w:val="0"/>
          <w:sz w:val="24"/>
          <w:szCs w:val="24"/>
          <w:lang w:eastAsia="en-GB"/>
        </w:rPr>
      </w:pPr>
      <w:hyperlink w:anchor="_Toc58254363" w:history="1">
        <w:r w:rsidR="00CB0DA6" w:rsidRPr="004F71EC">
          <w:rPr>
            <w:rStyle w:val="Hyperlink"/>
          </w:rPr>
          <w:t>National Environment Protection (Assessment of Site Contamination) Measure</w:t>
        </w:r>
        <w:r w:rsidR="00CB0DA6">
          <w:rPr>
            <w:webHidden/>
          </w:rPr>
          <w:tab/>
        </w:r>
        <w:r w:rsidR="00CB0DA6">
          <w:rPr>
            <w:webHidden/>
          </w:rPr>
          <w:fldChar w:fldCharType="begin"/>
        </w:r>
        <w:r w:rsidR="00CB0DA6">
          <w:rPr>
            <w:webHidden/>
          </w:rPr>
          <w:instrText xml:space="preserve"> PAGEREF _Toc58254363 \h </w:instrText>
        </w:r>
        <w:r w:rsidR="00CB0DA6">
          <w:rPr>
            <w:webHidden/>
          </w:rPr>
        </w:r>
        <w:r w:rsidR="00CB0DA6">
          <w:rPr>
            <w:webHidden/>
          </w:rPr>
          <w:fldChar w:fldCharType="separate"/>
        </w:r>
        <w:r w:rsidR="00CB0DA6">
          <w:rPr>
            <w:webHidden/>
          </w:rPr>
          <w:t>16</w:t>
        </w:r>
        <w:r w:rsidR="00CB0DA6">
          <w:rPr>
            <w:webHidden/>
          </w:rPr>
          <w:fldChar w:fldCharType="end"/>
        </w:r>
      </w:hyperlink>
    </w:p>
    <w:p w14:paraId="37173051" w14:textId="430C303B" w:rsidR="00CB0DA6" w:rsidRDefault="003F26A6">
      <w:pPr>
        <w:pStyle w:val="TOC1"/>
        <w:rPr>
          <w:rFonts w:eastAsiaTheme="minorEastAsia" w:cstheme="minorBidi"/>
          <w:b w:val="0"/>
          <w:bCs w:val="0"/>
          <w:iCs w:val="0"/>
          <w:sz w:val="24"/>
          <w:szCs w:val="24"/>
          <w:lang w:eastAsia="en-GB"/>
        </w:rPr>
      </w:pPr>
      <w:hyperlink w:anchor="_Toc58254364" w:history="1">
        <w:r w:rsidR="00CB0DA6" w:rsidRPr="004F71EC">
          <w:rPr>
            <w:rStyle w:val="Hyperlink"/>
          </w:rPr>
          <w:t>National Environment Protection (Diesel Vehicles Emissions) Measure</w:t>
        </w:r>
        <w:r w:rsidR="00CB0DA6">
          <w:rPr>
            <w:webHidden/>
          </w:rPr>
          <w:tab/>
        </w:r>
        <w:r w:rsidR="00CB0DA6">
          <w:rPr>
            <w:webHidden/>
          </w:rPr>
          <w:fldChar w:fldCharType="begin"/>
        </w:r>
        <w:r w:rsidR="00CB0DA6">
          <w:rPr>
            <w:webHidden/>
          </w:rPr>
          <w:instrText xml:space="preserve"> PAGEREF _Toc58254364 \h </w:instrText>
        </w:r>
        <w:r w:rsidR="00CB0DA6">
          <w:rPr>
            <w:webHidden/>
          </w:rPr>
        </w:r>
        <w:r w:rsidR="00CB0DA6">
          <w:rPr>
            <w:webHidden/>
          </w:rPr>
          <w:fldChar w:fldCharType="separate"/>
        </w:r>
        <w:r w:rsidR="00CB0DA6">
          <w:rPr>
            <w:webHidden/>
          </w:rPr>
          <w:t>20</w:t>
        </w:r>
        <w:r w:rsidR="00CB0DA6">
          <w:rPr>
            <w:webHidden/>
          </w:rPr>
          <w:fldChar w:fldCharType="end"/>
        </w:r>
      </w:hyperlink>
    </w:p>
    <w:p w14:paraId="0FA56D6B" w14:textId="1D718A3E" w:rsidR="00CB0DA6" w:rsidRDefault="003F26A6">
      <w:pPr>
        <w:pStyle w:val="TOC1"/>
        <w:rPr>
          <w:rFonts w:eastAsiaTheme="minorEastAsia" w:cstheme="minorBidi"/>
          <w:b w:val="0"/>
          <w:bCs w:val="0"/>
          <w:iCs w:val="0"/>
          <w:sz w:val="24"/>
          <w:szCs w:val="24"/>
          <w:lang w:eastAsia="en-GB"/>
        </w:rPr>
      </w:pPr>
      <w:hyperlink w:anchor="_Toc58254365" w:history="1">
        <w:r w:rsidR="00CB0DA6" w:rsidRPr="004F71EC">
          <w:rPr>
            <w:rStyle w:val="Hyperlink"/>
          </w:rPr>
          <w:t>National Environment Protection (Movement of Controlled Waste between States and Territories) Measure</w:t>
        </w:r>
        <w:r w:rsidR="00CB0DA6">
          <w:rPr>
            <w:webHidden/>
          </w:rPr>
          <w:tab/>
        </w:r>
        <w:r w:rsidR="00CB0DA6">
          <w:rPr>
            <w:webHidden/>
          </w:rPr>
          <w:fldChar w:fldCharType="begin"/>
        </w:r>
        <w:r w:rsidR="00CB0DA6">
          <w:rPr>
            <w:webHidden/>
          </w:rPr>
          <w:instrText xml:space="preserve"> PAGEREF _Toc58254365 \h </w:instrText>
        </w:r>
        <w:r w:rsidR="00CB0DA6">
          <w:rPr>
            <w:webHidden/>
          </w:rPr>
        </w:r>
        <w:r w:rsidR="00CB0DA6">
          <w:rPr>
            <w:webHidden/>
          </w:rPr>
          <w:fldChar w:fldCharType="separate"/>
        </w:r>
        <w:r w:rsidR="00CB0DA6">
          <w:rPr>
            <w:webHidden/>
          </w:rPr>
          <w:t>23</w:t>
        </w:r>
        <w:r w:rsidR="00CB0DA6">
          <w:rPr>
            <w:webHidden/>
          </w:rPr>
          <w:fldChar w:fldCharType="end"/>
        </w:r>
      </w:hyperlink>
    </w:p>
    <w:p w14:paraId="58635B1D" w14:textId="6C9374D9" w:rsidR="00CB0DA6" w:rsidRDefault="003F26A6">
      <w:pPr>
        <w:pStyle w:val="TOC1"/>
        <w:rPr>
          <w:rFonts w:eastAsiaTheme="minorEastAsia" w:cstheme="minorBidi"/>
          <w:b w:val="0"/>
          <w:bCs w:val="0"/>
          <w:iCs w:val="0"/>
          <w:sz w:val="24"/>
          <w:szCs w:val="24"/>
          <w:lang w:eastAsia="en-GB"/>
        </w:rPr>
      </w:pPr>
      <w:hyperlink w:anchor="_Toc58254366" w:history="1">
        <w:r w:rsidR="00CB0DA6" w:rsidRPr="004F71EC">
          <w:rPr>
            <w:rStyle w:val="Hyperlink"/>
          </w:rPr>
          <w:t>National Environment Protection (National Pollutant Inventory) Measure</w:t>
        </w:r>
        <w:r w:rsidR="00CB0DA6">
          <w:rPr>
            <w:webHidden/>
          </w:rPr>
          <w:tab/>
        </w:r>
        <w:r w:rsidR="00CB0DA6">
          <w:rPr>
            <w:webHidden/>
          </w:rPr>
          <w:fldChar w:fldCharType="begin"/>
        </w:r>
        <w:r w:rsidR="00CB0DA6">
          <w:rPr>
            <w:webHidden/>
          </w:rPr>
          <w:instrText xml:space="preserve"> PAGEREF _Toc58254366 \h </w:instrText>
        </w:r>
        <w:r w:rsidR="00CB0DA6">
          <w:rPr>
            <w:webHidden/>
          </w:rPr>
        </w:r>
        <w:r w:rsidR="00CB0DA6">
          <w:rPr>
            <w:webHidden/>
          </w:rPr>
          <w:fldChar w:fldCharType="separate"/>
        </w:r>
        <w:r w:rsidR="00CB0DA6">
          <w:rPr>
            <w:webHidden/>
          </w:rPr>
          <w:t>29</w:t>
        </w:r>
        <w:r w:rsidR="00CB0DA6">
          <w:rPr>
            <w:webHidden/>
          </w:rPr>
          <w:fldChar w:fldCharType="end"/>
        </w:r>
      </w:hyperlink>
    </w:p>
    <w:p w14:paraId="76AB5F0B" w14:textId="417E3F43" w:rsidR="00CB0DA6" w:rsidRDefault="003F26A6">
      <w:pPr>
        <w:pStyle w:val="TOC1"/>
        <w:rPr>
          <w:rFonts w:eastAsiaTheme="minorEastAsia" w:cstheme="minorBidi"/>
          <w:b w:val="0"/>
          <w:bCs w:val="0"/>
          <w:iCs w:val="0"/>
          <w:sz w:val="24"/>
          <w:szCs w:val="24"/>
          <w:lang w:eastAsia="en-GB"/>
        </w:rPr>
      </w:pPr>
      <w:hyperlink w:anchor="_Toc58254367" w:history="1">
        <w:r w:rsidR="00CB0DA6" w:rsidRPr="004F71EC">
          <w:rPr>
            <w:rStyle w:val="Hyperlink"/>
          </w:rPr>
          <w:t>National Environment Protection (Used Packaging Materials) Measure</w:t>
        </w:r>
        <w:r w:rsidR="00CB0DA6">
          <w:rPr>
            <w:webHidden/>
          </w:rPr>
          <w:tab/>
        </w:r>
        <w:r w:rsidR="00CB0DA6">
          <w:rPr>
            <w:webHidden/>
          </w:rPr>
          <w:fldChar w:fldCharType="begin"/>
        </w:r>
        <w:r w:rsidR="00CB0DA6">
          <w:rPr>
            <w:webHidden/>
          </w:rPr>
          <w:instrText xml:space="preserve"> PAGEREF _Toc58254367 \h </w:instrText>
        </w:r>
        <w:r w:rsidR="00CB0DA6">
          <w:rPr>
            <w:webHidden/>
          </w:rPr>
        </w:r>
        <w:r w:rsidR="00CB0DA6">
          <w:rPr>
            <w:webHidden/>
          </w:rPr>
          <w:fldChar w:fldCharType="separate"/>
        </w:r>
        <w:r w:rsidR="00CB0DA6">
          <w:rPr>
            <w:webHidden/>
          </w:rPr>
          <w:t>33</w:t>
        </w:r>
        <w:r w:rsidR="00CB0DA6">
          <w:rPr>
            <w:webHidden/>
          </w:rPr>
          <w:fldChar w:fldCharType="end"/>
        </w:r>
      </w:hyperlink>
    </w:p>
    <w:p w14:paraId="276A1E56" w14:textId="2F18D25A" w:rsidR="00CB0DA6" w:rsidRDefault="003F26A6">
      <w:pPr>
        <w:pStyle w:val="TOC1"/>
        <w:rPr>
          <w:rFonts w:eastAsiaTheme="minorEastAsia" w:cstheme="minorBidi"/>
          <w:b w:val="0"/>
          <w:bCs w:val="0"/>
          <w:iCs w:val="0"/>
          <w:sz w:val="24"/>
          <w:szCs w:val="24"/>
          <w:lang w:eastAsia="en-GB"/>
        </w:rPr>
      </w:pPr>
      <w:hyperlink w:anchor="_Toc58254368" w:history="1">
        <w:r w:rsidR="00CB0DA6" w:rsidRPr="004F71EC">
          <w:rPr>
            <w:rStyle w:val="Hyperlink"/>
          </w:rPr>
          <w:t>Appendix 1:  Jurisdictional reports on the implementation and effectiveness of the Air Toxics National Environment Protection Measure</w:t>
        </w:r>
        <w:r w:rsidR="00CB0DA6">
          <w:rPr>
            <w:webHidden/>
          </w:rPr>
          <w:tab/>
        </w:r>
        <w:r w:rsidR="00CB0DA6">
          <w:rPr>
            <w:webHidden/>
          </w:rPr>
          <w:fldChar w:fldCharType="begin"/>
        </w:r>
        <w:r w:rsidR="00CB0DA6">
          <w:rPr>
            <w:webHidden/>
          </w:rPr>
          <w:instrText xml:space="preserve"> PAGEREF _Toc58254368 \h </w:instrText>
        </w:r>
        <w:r w:rsidR="00CB0DA6">
          <w:rPr>
            <w:webHidden/>
          </w:rPr>
        </w:r>
        <w:r w:rsidR="00CB0DA6">
          <w:rPr>
            <w:webHidden/>
          </w:rPr>
          <w:fldChar w:fldCharType="separate"/>
        </w:r>
        <w:r w:rsidR="00CB0DA6">
          <w:rPr>
            <w:webHidden/>
          </w:rPr>
          <w:t>36</w:t>
        </w:r>
        <w:r w:rsidR="00CB0DA6">
          <w:rPr>
            <w:webHidden/>
          </w:rPr>
          <w:fldChar w:fldCharType="end"/>
        </w:r>
      </w:hyperlink>
    </w:p>
    <w:p w14:paraId="2D1A8E1A" w14:textId="04FCCA54" w:rsidR="00CB0DA6" w:rsidRDefault="003F26A6">
      <w:pPr>
        <w:pStyle w:val="TOC2"/>
        <w:rPr>
          <w:rFonts w:eastAsiaTheme="minorEastAsia" w:cstheme="minorBidi"/>
          <w:bCs w:val="0"/>
          <w:sz w:val="24"/>
          <w:szCs w:val="24"/>
          <w:lang w:eastAsia="en-GB"/>
        </w:rPr>
      </w:pPr>
      <w:hyperlink w:anchor="_Toc58254369" w:history="1">
        <w:r w:rsidR="00CB0DA6" w:rsidRPr="004F71EC">
          <w:rPr>
            <w:rStyle w:val="Hyperlink"/>
          </w:rPr>
          <w:t>Commonwealth</w:t>
        </w:r>
        <w:r w:rsidR="00CB0DA6">
          <w:rPr>
            <w:webHidden/>
          </w:rPr>
          <w:tab/>
        </w:r>
        <w:r w:rsidR="00CB0DA6">
          <w:rPr>
            <w:webHidden/>
          </w:rPr>
          <w:fldChar w:fldCharType="begin"/>
        </w:r>
        <w:r w:rsidR="00CB0DA6">
          <w:rPr>
            <w:webHidden/>
          </w:rPr>
          <w:instrText xml:space="preserve"> PAGEREF _Toc58254369 \h </w:instrText>
        </w:r>
        <w:r w:rsidR="00CB0DA6">
          <w:rPr>
            <w:webHidden/>
          </w:rPr>
        </w:r>
        <w:r w:rsidR="00CB0DA6">
          <w:rPr>
            <w:webHidden/>
          </w:rPr>
          <w:fldChar w:fldCharType="separate"/>
        </w:r>
        <w:r w:rsidR="00CB0DA6">
          <w:rPr>
            <w:webHidden/>
          </w:rPr>
          <w:t>36</w:t>
        </w:r>
        <w:r w:rsidR="00CB0DA6">
          <w:rPr>
            <w:webHidden/>
          </w:rPr>
          <w:fldChar w:fldCharType="end"/>
        </w:r>
      </w:hyperlink>
    </w:p>
    <w:p w14:paraId="6ECA5282" w14:textId="62BE6224" w:rsidR="00CB0DA6" w:rsidRDefault="003F26A6">
      <w:pPr>
        <w:pStyle w:val="TOC2"/>
        <w:rPr>
          <w:rFonts w:eastAsiaTheme="minorEastAsia" w:cstheme="minorBidi"/>
          <w:bCs w:val="0"/>
          <w:sz w:val="24"/>
          <w:szCs w:val="24"/>
          <w:lang w:eastAsia="en-GB"/>
        </w:rPr>
      </w:pPr>
      <w:hyperlink w:anchor="_Toc58254370" w:history="1">
        <w:r w:rsidR="00CB0DA6" w:rsidRPr="004F71EC">
          <w:rPr>
            <w:rStyle w:val="Hyperlink"/>
          </w:rPr>
          <w:t>New South Wales</w:t>
        </w:r>
        <w:r w:rsidR="00CB0DA6">
          <w:rPr>
            <w:webHidden/>
          </w:rPr>
          <w:tab/>
        </w:r>
        <w:r w:rsidR="00CB0DA6">
          <w:rPr>
            <w:webHidden/>
          </w:rPr>
          <w:fldChar w:fldCharType="begin"/>
        </w:r>
        <w:r w:rsidR="00CB0DA6">
          <w:rPr>
            <w:webHidden/>
          </w:rPr>
          <w:instrText xml:space="preserve"> PAGEREF _Toc58254370 \h </w:instrText>
        </w:r>
        <w:r w:rsidR="00CB0DA6">
          <w:rPr>
            <w:webHidden/>
          </w:rPr>
        </w:r>
        <w:r w:rsidR="00CB0DA6">
          <w:rPr>
            <w:webHidden/>
          </w:rPr>
          <w:fldChar w:fldCharType="separate"/>
        </w:r>
        <w:r w:rsidR="00CB0DA6">
          <w:rPr>
            <w:webHidden/>
          </w:rPr>
          <w:t>36</w:t>
        </w:r>
        <w:r w:rsidR="00CB0DA6">
          <w:rPr>
            <w:webHidden/>
          </w:rPr>
          <w:fldChar w:fldCharType="end"/>
        </w:r>
      </w:hyperlink>
    </w:p>
    <w:p w14:paraId="62CC47FA" w14:textId="1ADDE77E" w:rsidR="00CB0DA6" w:rsidRDefault="003F26A6">
      <w:pPr>
        <w:pStyle w:val="TOC2"/>
        <w:rPr>
          <w:rFonts w:eastAsiaTheme="minorEastAsia" w:cstheme="minorBidi"/>
          <w:bCs w:val="0"/>
          <w:sz w:val="24"/>
          <w:szCs w:val="24"/>
          <w:lang w:eastAsia="en-GB"/>
        </w:rPr>
      </w:pPr>
      <w:hyperlink w:anchor="_Toc58254371" w:history="1">
        <w:r w:rsidR="00CB0DA6" w:rsidRPr="004F71EC">
          <w:rPr>
            <w:rStyle w:val="Hyperlink"/>
          </w:rPr>
          <w:t>Victoria</w:t>
        </w:r>
        <w:r w:rsidR="00CB0DA6">
          <w:rPr>
            <w:webHidden/>
          </w:rPr>
          <w:tab/>
        </w:r>
        <w:r w:rsidR="00CB0DA6">
          <w:rPr>
            <w:webHidden/>
          </w:rPr>
          <w:fldChar w:fldCharType="begin"/>
        </w:r>
        <w:r w:rsidR="00CB0DA6">
          <w:rPr>
            <w:webHidden/>
          </w:rPr>
          <w:instrText xml:space="preserve"> PAGEREF _Toc58254371 \h </w:instrText>
        </w:r>
        <w:r w:rsidR="00CB0DA6">
          <w:rPr>
            <w:webHidden/>
          </w:rPr>
        </w:r>
        <w:r w:rsidR="00CB0DA6">
          <w:rPr>
            <w:webHidden/>
          </w:rPr>
          <w:fldChar w:fldCharType="separate"/>
        </w:r>
        <w:r w:rsidR="00CB0DA6">
          <w:rPr>
            <w:webHidden/>
          </w:rPr>
          <w:t>39</w:t>
        </w:r>
        <w:r w:rsidR="00CB0DA6">
          <w:rPr>
            <w:webHidden/>
          </w:rPr>
          <w:fldChar w:fldCharType="end"/>
        </w:r>
      </w:hyperlink>
    </w:p>
    <w:p w14:paraId="51F21A4F" w14:textId="137D8263" w:rsidR="00CB0DA6" w:rsidRDefault="003F26A6">
      <w:pPr>
        <w:pStyle w:val="TOC2"/>
        <w:rPr>
          <w:rFonts w:eastAsiaTheme="minorEastAsia" w:cstheme="minorBidi"/>
          <w:bCs w:val="0"/>
          <w:sz w:val="24"/>
          <w:szCs w:val="24"/>
          <w:lang w:eastAsia="en-GB"/>
        </w:rPr>
      </w:pPr>
      <w:hyperlink w:anchor="_Toc58254372" w:history="1">
        <w:r w:rsidR="00CB0DA6" w:rsidRPr="004F71EC">
          <w:rPr>
            <w:rStyle w:val="Hyperlink"/>
          </w:rPr>
          <w:t>Queensland</w:t>
        </w:r>
        <w:r w:rsidR="00CB0DA6">
          <w:rPr>
            <w:webHidden/>
          </w:rPr>
          <w:tab/>
        </w:r>
        <w:r w:rsidR="00CB0DA6">
          <w:rPr>
            <w:webHidden/>
          </w:rPr>
          <w:fldChar w:fldCharType="begin"/>
        </w:r>
        <w:r w:rsidR="00CB0DA6">
          <w:rPr>
            <w:webHidden/>
          </w:rPr>
          <w:instrText xml:space="preserve"> PAGEREF _Toc58254372 \h </w:instrText>
        </w:r>
        <w:r w:rsidR="00CB0DA6">
          <w:rPr>
            <w:webHidden/>
          </w:rPr>
        </w:r>
        <w:r w:rsidR="00CB0DA6">
          <w:rPr>
            <w:webHidden/>
          </w:rPr>
          <w:fldChar w:fldCharType="separate"/>
        </w:r>
        <w:r w:rsidR="00CB0DA6">
          <w:rPr>
            <w:webHidden/>
          </w:rPr>
          <w:t>39</w:t>
        </w:r>
        <w:r w:rsidR="00CB0DA6">
          <w:rPr>
            <w:webHidden/>
          </w:rPr>
          <w:fldChar w:fldCharType="end"/>
        </w:r>
      </w:hyperlink>
    </w:p>
    <w:p w14:paraId="4FE83665" w14:textId="31F0AE78" w:rsidR="00CB0DA6" w:rsidRDefault="003F26A6">
      <w:pPr>
        <w:pStyle w:val="TOC2"/>
        <w:rPr>
          <w:rFonts w:eastAsiaTheme="minorEastAsia" w:cstheme="minorBidi"/>
          <w:bCs w:val="0"/>
          <w:sz w:val="24"/>
          <w:szCs w:val="24"/>
          <w:lang w:eastAsia="en-GB"/>
        </w:rPr>
      </w:pPr>
      <w:hyperlink w:anchor="_Toc58254373" w:history="1">
        <w:r w:rsidR="00CB0DA6" w:rsidRPr="004F71EC">
          <w:rPr>
            <w:rStyle w:val="Hyperlink"/>
          </w:rPr>
          <w:t>Western Australia</w:t>
        </w:r>
        <w:r w:rsidR="00CB0DA6">
          <w:rPr>
            <w:webHidden/>
          </w:rPr>
          <w:tab/>
        </w:r>
        <w:r w:rsidR="00CB0DA6">
          <w:rPr>
            <w:webHidden/>
          </w:rPr>
          <w:fldChar w:fldCharType="begin"/>
        </w:r>
        <w:r w:rsidR="00CB0DA6">
          <w:rPr>
            <w:webHidden/>
          </w:rPr>
          <w:instrText xml:space="preserve"> PAGEREF _Toc58254373 \h </w:instrText>
        </w:r>
        <w:r w:rsidR="00CB0DA6">
          <w:rPr>
            <w:webHidden/>
          </w:rPr>
        </w:r>
        <w:r w:rsidR="00CB0DA6">
          <w:rPr>
            <w:webHidden/>
          </w:rPr>
          <w:fldChar w:fldCharType="separate"/>
        </w:r>
        <w:r w:rsidR="00CB0DA6">
          <w:rPr>
            <w:webHidden/>
          </w:rPr>
          <w:t>42</w:t>
        </w:r>
        <w:r w:rsidR="00CB0DA6">
          <w:rPr>
            <w:webHidden/>
          </w:rPr>
          <w:fldChar w:fldCharType="end"/>
        </w:r>
      </w:hyperlink>
    </w:p>
    <w:p w14:paraId="1A7B9789" w14:textId="7710E3A0" w:rsidR="00CB0DA6" w:rsidRDefault="003F26A6">
      <w:pPr>
        <w:pStyle w:val="TOC2"/>
        <w:rPr>
          <w:rFonts w:eastAsiaTheme="minorEastAsia" w:cstheme="minorBidi"/>
          <w:bCs w:val="0"/>
          <w:sz w:val="24"/>
          <w:szCs w:val="24"/>
          <w:lang w:eastAsia="en-GB"/>
        </w:rPr>
      </w:pPr>
      <w:hyperlink w:anchor="_Toc58254374" w:history="1">
        <w:r w:rsidR="00CB0DA6" w:rsidRPr="004F71EC">
          <w:rPr>
            <w:rStyle w:val="Hyperlink"/>
          </w:rPr>
          <w:t>South Australia</w:t>
        </w:r>
        <w:r w:rsidR="00CB0DA6">
          <w:rPr>
            <w:webHidden/>
          </w:rPr>
          <w:tab/>
        </w:r>
        <w:r w:rsidR="00CB0DA6">
          <w:rPr>
            <w:webHidden/>
          </w:rPr>
          <w:fldChar w:fldCharType="begin"/>
        </w:r>
        <w:r w:rsidR="00CB0DA6">
          <w:rPr>
            <w:webHidden/>
          </w:rPr>
          <w:instrText xml:space="preserve"> PAGEREF _Toc58254374 \h </w:instrText>
        </w:r>
        <w:r w:rsidR="00CB0DA6">
          <w:rPr>
            <w:webHidden/>
          </w:rPr>
        </w:r>
        <w:r w:rsidR="00CB0DA6">
          <w:rPr>
            <w:webHidden/>
          </w:rPr>
          <w:fldChar w:fldCharType="separate"/>
        </w:r>
        <w:r w:rsidR="00CB0DA6">
          <w:rPr>
            <w:webHidden/>
          </w:rPr>
          <w:t>43</w:t>
        </w:r>
        <w:r w:rsidR="00CB0DA6">
          <w:rPr>
            <w:webHidden/>
          </w:rPr>
          <w:fldChar w:fldCharType="end"/>
        </w:r>
      </w:hyperlink>
    </w:p>
    <w:p w14:paraId="12712A41" w14:textId="0B36D520" w:rsidR="00CB0DA6" w:rsidRDefault="003F26A6">
      <w:pPr>
        <w:pStyle w:val="TOC2"/>
        <w:rPr>
          <w:rFonts w:eastAsiaTheme="minorEastAsia" w:cstheme="minorBidi"/>
          <w:bCs w:val="0"/>
          <w:sz w:val="24"/>
          <w:szCs w:val="24"/>
          <w:lang w:eastAsia="en-GB"/>
        </w:rPr>
      </w:pPr>
      <w:hyperlink w:anchor="_Toc58254375" w:history="1">
        <w:r w:rsidR="00CB0DA6" w:rsidRPr="004F71EC">
          <w:rPr>
            <w:rStyle w:val="Hyperlink"/>
          </w:rPr>
          <w:t>Tasmania</w:t>
        </w:r>
        <w:r w:rsidR="00CB0DA6">
          <w:rPr>
            <w:webHidden/>
          </w:rPr>
          <w:tab/>
        </w:r>
        <w:r w:rsidR="00CB0DA6">
          <w:rPr>
            <w:webHidden/>
          </w:rPr>
          <w:fldChar w:fldCharType="begin"/>
        </w:r>
        <w:r w:rsidR="00CB0DA6">
          <w:rPr>
            <w:webHidden/>
          </w:rPr>
          <w:instrText xml:space="preserve"> PAGEREF _Toc58254375 \h </w:instrText>
        </w:r>
        <w:r w:rsidR="00CB0DA6">
          <w:rPr>
            <w:webHidden/>
          </w:rPr>
        </w:r>
        <w:r w:rsidR="00CB0DA6">
          <w:rPr>
            <w:webHidden/>
          </w:rPr>
          <w:fldChar w:fldCharType="separate"/>
        </w:r>
        <w:r w:rsidR="00CB0DA6">
          <w:rPr>
            <w:webHidden/>
          </w:rPr>
          <w:t>44</w:t>
        </w:r>
        <w:r w:rsidR="00CB0DA6">
          <w:rPr>
            <w:webHidden/>
          </w:rPr>
          <w:fldChar w:fldCharType="end"/>
        </w:r>
      </w:hyperlink>
    </w:p>
    <w:p w14:paraId="1A6EBE08" w14:textId="711B8911" w:rsidR="00CB0DA6" w:rsidRDefault="003F26A6">
      <w:pPr>
        <w:pStyle w:val="TOC2"/>
        <w:rPr>
          <w:rFonts w:eastAsiaTheme="minorEastAsia" w:cstheme="minorBidi"/>
          <w:bCs w:val="0"/>
          <w:sz w:val="24"/>
          <w:szCs w:val="24"/>
          <w:lang w:eastAsia="en-GB"/>
        </w:rPr>
      </w:pPr>
      <w:hyperlink w:anchor="_Toc58254376" w:history="1">
        <w:r w:rsidR="00CB0DA6" w:rsidRPr="004F71EC">
          <w:rPr>
            <w:rStyle w:val="Hyperlink"/>
          </w:rPr>
          <w:t>Australian Capital Territory</w:t>
        </w:r>
        <w:r w:rsidR="00CB0DA6">
          <w:rPr>
            <w:webHidden/>
          </w:rPr>
          <w:tab/>
        </w:r>
        <w:r w:rsidR="00CB0DA6">
          <w:rPr>
            <w:webHidden/>
          </w:rPr>
          <w:fldChar w:fldCharType="begin"/>
        </w:r>
        <w:r w:rsidR="00CB0DA6">
          <w:rPr>
            <w:webHidden/>
          </w:rPr>
          <w:instrText xml:space="preserve"> PAGEREF _Toc58254376 \h </w:instrText>
        </w:r>
        <w:r w:rsidR="00CB0DA6">
          <w:rPr>
            <w:webHidden/>
          </w:rPr>
        </w:r>
        <w:r w:rsidR="00CB0DA6">
          <w:rPr>
            <w:webHidden/>
          </w:rPr>
          <w:fldChar w:fldCharType="separate"/>
        </w:r>
        <w:r w:rsidR="00CB0DA6">
          <w:rPr>
            <w:webHidden/>
          </w:rPr>
          <w:t>45</w:t>
        </w:r>
        <w:r w:rsidR="00CB0DA6">
          <w:rPr>
            <w:webHidden/>
          </w:rPr>
          <w:fldChar w:fldCharType="end"/>
        </w:r>
      </w:hyperlink>
    </w:p>
    <w:p w14:paraId="257CF826" w14:textId="2468A65E" w:rsidR="00CB0DA6" w:rsidRDefault="003F26A6">
      <w:pPr>
        <w:pStyle w:val="TOC2"/>
        <w:rPr>
          <w:rFonts w:eastAsiaTheme="minorEastAsia" w:cstheme="minorBidi"/>
          <w:bCs w:val="0"/>
          <w:sz w:val="24"/>
          <w:szCs w:val="24"/>
          <w:lang w:eastAsia="en-GB"/>
        </w:rPr>
      </w:pPr>
      <w:hyperlink w:anchor="_Toc58254377" w:history="1">
        <w:r w:rsidR="00CB0DA6" w:rsidRPr="004F71EC">
          <w:rPr>
            <w:rStyle w:val="Hyperlink"/>
          </w:rPr>
          <w:t>Northern Territory</w:t>
        </w:r>
        <w:r w:rsidR="00CB0DA6">
          <w:rPr>
            <w:webHidden/>
          </w:rPr>
          <w:tab/>
        </w:r>
        <w:r w:rsidR="00CB0DA6">
          <w:rPr>
            <w:webHidden/>
          </w:rPr>
          <w:fldChar w:fldCharType="begin"/>
        </w:r>
        <w:r w:rsidR="00CB0DA6">
          <w:rPr>
            <w:webHidden/>
          </w:rPr>
          <w:instrText xml:space="preserve"> PAGEREF _Toc58254377 \h </w:instrText>
        </w:r>
        <w:r w:rsidR="00CB0DA6">
          <w:rPr>
            <w:webHidden/>
          </w:rPr>
        </w:r>
        <w:r w:rsidR="00CB0DA6">
          <w:rPr>
            <w:webHidden/>
          </w:rPr>
          <w:fldChar w:fldCharType="separate"/>
        </w:r>
        <w:r w:rsidR="00CB0DA6">
          <w:rPr>
            <w:webHidden/>
          </w:rPr>
          <w:t>45</w:t>
        </w:r>
        <w:r w:rsidR="00CB0DA6">
          <w:rPr>
            <w:webHidden/>
          </w:rPr>
          <w:fldChar w:fldCharType="end"/>
        </w:r>
      </w:hyperlink>
    </w:p>
    <w:p w14:paraId="464888F8" w14:textId="581EF60F" w:rsidR="00CB0DA6" w:rsidRDefault="003F26A6">
      <w:pPr>
        <w:pStyle w:val="TOC1"/>
        <w:rPr>
          <w:rFonts w:eastAsiaTheme="minorEastAsia" w:cstheme="minorBidi"/>
          <w:b w:val="0"/>
          <w:bCs w:val="0"/>
          <w:iCs w:val="0"/>
          <w:sz w:val="24"/>
          <w:szCs w:val="24"/>
          <w:lang w:eastAsia="en-GB"/>
        </w:rPr>
      </w:pPr>
      <w:hyperlink w:anchor="_Toc58254378" w:history="1">
        <w:r w:rsidR="00CB0DA6" w:rsidRPr="004F71EC">
          <w:rPr>
            <w:rStyle w:val="Hyperlink"/>
          </w:rPr>
          <w:t>Appendix 2: Jurisdictional reports on the implementation and effectiveness of the Ambient Air Quality National Environment Protection Measure</w:t>
        </w:r>
        <w:r w:rsidR="00CB0DA6">
          <w:rPr>
            <w:webHidden/>
          </w:rPr>
          <w:tab/>
        </w:r>
        <w:r w:rsidR="00CB0DA6">
          <w:rPr>
            <w:webHidden/>
          </w:rPr>
          <w:fldChar w:fldCharType="begin"/>
        </w:r>
        <w:r w:rsidR="00CB0DA6">
          <w:rPr>
            <w:webHidden/>
          </w:rPr>
          <w:instrText xml:space="preserve"> PAGEREF _Toc58254378 \h </w:instrText>
        </w:r>
        <w:r w:rsidR="00CB0DA6">
          <w:rPr>
            <w:webHidden/>
          </w:rPr>
        </w:r>
        <w:r w:rsidR="00CB0DA6">
          <w:rPr>
            <w:webHidden/>
          </w:rPr>
          <w:fldChar w:fldCharType="separate"/>
        </w:r>
        <w:r w:rsidR="00CB0DA6">
          <w:rPr>
            <w:webHidden/>
          </w:rPr>
          <w:t>46</w:t>
        </w:r>
        <w:r w:rsidR="00CB0DA6">
          <w:rPr>
            <w:webHidden/>
          </w:rPr>
          <w:fldChar w:fldCharType="end"/>
        </w:r>
      </w:hyperlink>
    </w:p>
    <w:p w14:paraId="67BB70A7" w14:textId="1DDC1FDC" w:rsidR="00CB0DA6" w:rsidRDefault="003F26A6">
      <w:pPr>
        <w:pStyle w:val="TOC2"/>
        <w:rPr>
          <w:rFonts w:eastAsiaTheme="minorEastAsia" w:cstheme="minorBidi"/>
          <w:bCs w:val="0"/>
          <w:sz w:val="24"/>
          <w:szCs w:val="24"/>
          <w:lang w:eastAsia="en-GB"/>
        </w:rPr>
      </w:pPr>
      <w:hyperlink w:anchor="_Toc58254379" w:history="1">
        <w:r w:rsidR="00CB0DA6" w:rsidRPr="004F71EC">
          <w:rPr>
            <w:rStyle w:val="Hyperlink"/>
          </w:rPr>
          <w:t>Commonwealth</w:t>
        </w:r>
        <w:r w:rsidR="00CB0DA6">
          <w:rPr>
            <w:webHidden/>
          </w:rPr>
          <w:tab/>
        </w:r>
        <w:r w:rsidR="00CB0DA6">
          <w:rPr>
            <w:webHidden/>
          </w:rPr>
          <w:fldChar w:fldCharType="begin"/>
        </w:r>
        <w:r w:rsidR="00CB0DA6">
          <w:rPr>
            <w:webHidden/>
          </w:rPr>
          <w:instrText xml:space="preserve"> PAGEREF _Toc58254379 \h </w:instrText>
        </w:r>
        <w:r w:rsidR="00CB0DA6">
          <w:rPr>
            <w:webHidden/>
          </w:rPr>
        </w:r>
        <w:r w:rsidR="00CB0DA6">
          <w:rPr>
            <w:webHidden/>
          </w:rPr>
          <w:fldChar w:fldCharType="separate"/>
        </w:r>
        <w:r w:rsidR="00CB0DA6">
          <w:rPr>
            <w:webHidden/>
          </w:rPr>
          <w:t>46</w:t>
        </w:r>
        <w:r w:rsidR="00CB0DA6">
          <w:rPr>
            <w:webHidden/>
          </w:rPr>
          <w:fldChar w:fldCharType="end"/>
        </w:r>
      </w:hyperlink>
    </w:p>
    <w:p w14:paraId="1CDD995A" w14:textId="6219BEA0" w:rsidR="00CB0DA6" w:rsidRDefault="003F26A6">
      <w:pPr>
        <w:pStyle w:val="TOC2"/>
        <w:rPr>
          <w:rFonts w:eastAsiaTheme="minorEastAsia" w:cstheme="minorBidi"/>
          <w:bCs w:val="0"/>
          <w:sz w:val="24"/>
          <w:szCs w:val="24"/>
          <w:lang w:eastAsia="en-GB"/>
        </w:rPr>
      </w:pPr>
      <w:hyperlink w:anchor="_Toc58254380" w:history="1">
        <w:r w:rsidR="00CB0DA6" w:rsidRPr="004F71EC">
          <w:rPr>
            <w:rStyle w:val="Hyperlink"/>
          </w:rPr>
          <w:t>New South Wales</w:t>
        </w:r>
        <w:r w:rsidR="00CB0DA6">
          <w:rPr>
            <w:webHidden/>
          </w:rPr>
          <w:tab/>
        </w:r>
        <w:r w:rsidR="00CB0DA6">
          <w:rPr>
            <w:webHidden/>
          </w:rPr>
          <w:fldChar w:fldCharType="begin"/>
        </w:r>
        <w:r w:rsidR="00CB0DA6">
          <w:rPr>
            <w:webHidden/>
          </w:rPr>
          <w:instrText xml:space="preserve"> PAGEREF _Toc58254380 \h </w:instrText>
        </w:r>
        <w:r w:rsidR="00CB0DA6">
          <w:rPr>
            <w:webHidden/>
          </w:rPr>
        </w:r>
        <w:r w:rsidR="00CB0DA6">
          <w:rPr>
            <w:webHidden/>
          </w:rPr>
          <w:fldChar w:fldCharType="separate"/>
        </w:r>
        <w:r w:rsidR="00CB0DA6">
          <w:rPr>
            <w:webHidden/>
          </w:rPr>
          <w:t>47</w:t>
        </w:r>
        <w:r w:rsidR="00CB0DA6">
          <w:rPr>
            <w:webHidden/>
          </w:rPr>
          <w:fldChar w:fldCharType="end"/>
        </w:r>
      </w:hyperlink>
    </w:p>
    <w:p w14:paraId="7C50CDA2" w14:textId="5BA893E0" w:rsidR="00CB0DA6" w:rsidRDefault="003F26A6">
      <w:pPr>
        <w:pStyle w:val="TOC2"/>
        <w:rPr>
          <w:rFonts w:eastAsiaTheme="minorEastAsia" w:cstheme="minorBidi"/>
          <w:bCs w:val="0"/>
          <w:sz w:val="24"/>
          <w:szCs w:val="24"/>
          <w:lang w:eastAsia="en-GB"/>
        </w:rPr>
      </w:pPr>
      <w:hyperlink w:anchor="_Toc58254381" w:history="1">
        <w:r w:rsidR="00CB0DA6" w:rsidRPr="004F71EC">
          <w:rPr>
            <w:rStyle w:val="Hyperlink"/>
          </w:rPr>
          <w:t>Victoria</w:t>
        </w:r>
        <w:r w:rsidR="00CB0DA6">
          <w:rPr>
            <w:webHidden/>
          </w:rPr>
          <w:tab/>
        </w:r>
        <w:r w:rsidR="00CB0DA6">
          <w:rPr>
            <w:webHidden/>
          </w:rPr>
          <w:fldChar w:fldCharType="begin"/>
        </w:r>
        <w:r w:rsidR="00CB0DA6">
          <w:rPr>
            <w:webHidden/>
          </w:rPr>
          <w:instrText xml:space="preserve"> PAGEREF _Toc58254381 \h </w:instrText>
        </w:r>
        <w:r w:rsidR="00CB0DA6">
          <w:rPr>
            <w:webHidden/>
          </w:rPr>
        </w:r>
        <w:r w:rsidR="00CB0DA6">
          <w:rPr>
            <w:webHidden/>
          </w:rPr>
          <w:fldChar w:fldCharType="separate"/>
        </w:r>
        <w:r w:rsidR="00CB0DA6">
          <w:rPr>
            <w:webHidden/>
          </w:rPr>
          <w:t>61</w:t>
        </w:r>
        <w:r w:rsidR="00CB0DA6">
          <w:rPr>
            <w:webHidden/>
          </w:rPr>
          <w:fldChar w:fldCharType="end"/>
        </w:r>
      </w:hyperlink>
    </w:p>
    <w:p w14:paraId="42EDCC0B" w14:textId="73CC4834" w:rsidR="00CB0DA6" w:rsidRDefault="003F26A6">
      <w:pPr>
        <w:pStyle w:val="TOC2"/>
        <w:rPr>
          <w:rFonts w:eastAsiaTheme="minorEastAsia" w:cstheme="minorBidi"/>
          <w:bCs w:val="0"/>
          <w:sz w:val="24"/>
          <w:szCs w:val="24"/>
          <w:lang w:eastAsia="en-GB"/>
        </w:rPr>
      </w:pPr>
      <w:hyperlink w:anchor="_Toc58254382" w:history="1">
        <w:r w:rsidR="00CB0DA6" w:rsidRPr="004F71EC">
          <w:rPr>
            <w:rStyle w:val="Hyperlink"/>
          </w:rPr>
          <w:t>Queensland</w:t>
        </w:r>
        <w:r w:rsidR="00CB0DA6">
          <w:rPr>
            <w:webHidden/>
          </w:rPr>
          <w:tab/>
        </w:r>
        <w:r w:rsidR="00CB0DA6">
          <w:rPr>
            <w:webHidden/>
          </w:rPr>
          <w:fldChar w:fldCharType="begin"/>
        </w:r>
        <w:r w:rsidR="00CB0DA6">
          <w:rPr>
            <w:webHidden/>
          </w:rPr>
          <w:instrText xml:space="preserve"> PAGEREF _Toc58254382 \h </w:instrText>
        </w:r>
        <w:r w:rsidR="00CB0DA6">
          <w:rPr>
            <w:webHidden/>
          </w:rPr>
        </w:r>
        <w:r w:rsidR="00CB0DA6">
          <w:rPr>
            <w:webHidden/>
          </w:rPr>
          <w:fldChar w:fldCharType="separate"/>
        </w:r>
        <w:r w:rsidR="00CB0DA6">
          <w:rPr>
            <w:webHidden/>
          </w:rPr>
          <w:t>65</w:t>
        </w:r>
        <w:r w:rsidR="00CB0DA6">
          <w:rPr>
            <w:webHidden/>
          </w:rPr>
          <w:fldChar w:fldCharType="end"/>
        </w:r>
      </w:hyperlink>
    </w:p>
    <w:p w14:paraId="37B99624" w14:textId="233CAC8A" w:rsidR="00CB0DA6" w:rsidRDefault="003F26A6">
      <w:pPr>
        <w:pStyle w:val="TOC2"/>
        <w:rPr>
          <w:rFonts w:eastAsiaTheme="minorEastAsia" w:cstheme="minorBidi"/>
          <w:bCs w:val="0"/>
          <w:sz w:val="24"/>
          <w:szCs w:val="24"/>
          <w:lang w:eastAsia="en-GB"/>
        </w:rPr>
      </w:pPr>
      <w:hyperlink w:anchor="_Toc58254383" w:history="1">
        <w:r w:rsidR="00CB0DA6" w:rsidRPr="004F71EC">
          <w:rPr>
            <w:rStyle w:val="Hyperlink"/>
          </w:rPr>
          <w:t>Western Australia</w:t>
        </w:r>
        <w:r w:rsidR="00CB0DA6">
          <w:rPr>
            <w:webHidden/>
          </w:rPr>
          <w:tab/>
        </w:r>
        <w:r w:rsidR="00CB0DA6">
          <w:rPr>
            <w:webHidden/>
          </w:rPr>
          <w:fldChar w:fldCharType="begin"/>
        </w:r>
        <w:r w:rsidR="00CB0DA6">
          <w:rPr>
            <w:webHidden/>
          </w:rPr>
          <w:instrText xml:space="preserve"> PAGEREF _Toc58254383 \h </w:instrText>
        </w:r>
        <w:r w:rsidR="00CB0DA6">
          <w:rPr>
            <w:webHidden/>
          </w:rPr>
        </w:r>
        <w:r w:rsidR="00CB0DA6">
          <w:rPr>
            <w:webHidden/>
          </w:rPr>
          <w:fldChar w:fldCharType="separate"/>
        </w:r>
        <w:r w:rsidR="00CB0DA6">
          <w:rPr>
            <w:webHidden/>
          </w:rPr>
          <w:t>70</w:t>
        </w:r>
        <w:r w:rsidR="00CB0DA6">
          <w:rPr>
            <w:webHidden/>
          </w:rPr>
          <w:fldChar w:fldCharType="end"/>
        </w:r>
      </w:hyperlink>
    </w:p>
    <w:p w14:paraId="65C1BC3E" w14:textId="5152A195" w:rsidR="00CB0DA6" w:rsidRDefault="003F26A6">
      <w:pPr>
        <w:pStyle w:val="TOC2"/>
        <w:rPr>
          <w:rFonts w:eastAsiaTheme="minorEastAsia" w:cstheme="minorBidi"/>
          <w:bCs w:val="0"/>
          <w:sz w:val="24"/>
          <w:szCs w:val="24"/>
          <w:lang w:eastAsia="en-GB"/>
        </w:rPr>
      </w:pPr>
      <w:hyperlink w:anchor="_Toc58254384" w:history="1">
        <w:r w:rsidR="00CB0DA6" w:rsidRPr="004F71EC">
          <w:rPr>
            <w:rStyle w:val="Hyperlink"/>
          </w:rPr>
          <w:t>South Australia</w:t>
        </w:r>
        <w:r w:rsidR="00CB0DA6">
          <w:rPr>
            <w:webHidden/>
          </w:rPr>
          <w:tab/>
        </w:r>
        <w:r w:rsidR="00CB0DA6">
          <w:rPr>
            <w:webHidden/>
          </w:rPr>
          <w:fldChar w:fldCharType="begin"/>
        </w:r>
        <w:r w:rsidR="00CB0DA6">
          <w:rPr>
            <w:webHidden/>
          </w:rPr>
          <w:instrText xml:space="preserve"> PAGEREF _Toc58254384 \h </w:instrText>
        </w:r>
        <w:r w:rsidR="00CB0DA6">
          <w:rPr>
            <w:webHidden/>
          </w:rPr>
        </w:r>
        <w:r w:rsidR="00CB0DA6">
          <w:rPr>
            <w:webHidden/>
          </w:rPr>
          <w:fldChar w:fldCharType="separate"/>
        </w:r>
        <w:r w:rsidR="00CB0DA6">
          <w:rPr>
            <w:webHidden/>
          </w:rPr>
          <w:t>74</w:t>
        </w:r>
        <w:r w:rsidR="00CB0DA6">
          <w:rPr>
            <w:webHidden/>
          </w:rPr>
          <w:fldChar w:fldCharType="end"/>
        </w:r>
      </w:hyperlink>
    </w:p>
    <w:p w14:paraId="545F7635" w14:textId="7DCAF7F1" w:rsidR="00CB0DA6" w:rsidRDefault="003F26A6">
      <w:pPr>
        <w:pStyle w:val="TOC2"/>
        <w:rPr>
          <w:rFonts w:eastAsiaTheme="minorEastAsia" w:cstheme="minorBidi"/>
          <w:bCs w:val="0"/>
          <w:sz w:val="24"/>
          <w:szCs w:val="24"/>
          <w:lang w:eastAsia="en-GB"/>
        </w:rPr>
      </w:pPr>
      <w:hyperlink w:anchor="_Toc58254385" w:history="1">
        <w:r w:rsidR="00CB0DA6" w:rsidRPr="004F71EC">
          <w:rPr>
            <w:rStyle w:val="Hyperlink"/>
          </w:rPr>
          <w:t>Tasmania</w:t>
        </w:r>
        <w:r w:rsidR="00CB0DA6">
          <w:rPr>
            <w:webHidden/>
          </w:rPr>
          <w:tab/>
        </w:r>
        <w:r w:rsidR="00CB0DA6">
          <w:rPr>
            <w:webHidden/>
          </w:rPr>
          <w:fldChar w:fldCharType="begin"/>
        </w:r>
        <w:r w:rsidR="00CB0DA6">
          <w:rPr>
            <w:webHidden/>
          </w:rPr>
          <w:instrText xml:space="preserve"> PAGEREF _Toc58254385 \h </w:instrText>
        </w:r>
        <w:r w:rsidR="00CB0DA6">
          <w:rPr>
            <w:webHidden/>
          </w:rPr>
        </w:r>
        <w:r w:rsidR="00CB0DA6">
          <w:rPr>
            <w:webHidden/>
          </w:rPr>
          <w:fldChar w:fldCharType="separate"/>
        </w:r>
        <w:r w:rsidR="00CB0DA6">
          <w:rPr>
            <w:webHidden/>
          </w:rPr>
          <w:t>79</w:t>
        </w:r>
        <w:r w:rsidR="00CB0DA6">
          <w:rPr>
            <w:webHidden/>
          </w:rPr>
          <w:fldChar w:fldCharType="end"/>
        </w:r>
      </w:hyperlink>
    </w:p>
    <w:p w14:paraId="6D46A75E" w14:textId="0BF2BA0D" w:rsidR="00CB0DA6" w:rsidRDefault="003F26A6">
      <w:pPr>
        <w:pStyle w:val="TOC2"/>
        <w:rPr>
          <w:rFonts w:eastAsiaTheme="minorEastAsia" w:cstheme="minorBidi"/>
          <w:bCs w:val="0"/>
          <w:sz w:val="24"/>
          <w:szCs w:val="24"/>
          <w:lang w:eastAsia="en-GB"/>
        </w:rPr>
      </w:pPr>
      <w:hyperlink w:anchor="_Toc58254386" w:history="1">
        <w:r w:rsidR="00CB0DA6" w:rsidRPr="004F71EC">
          <w:rPr>
            <w:rStyle w:val="Hyperlink"/>
          </w:rPr>
          <w:t>Australian Capital Territory</w:t>
        </w:r>
        <w:r w:rsidR="00CB0DA6">
          <w:rPr>
            <w:webHidden/>
          </w:rPr>
          <w:tab/>
        </w:r>
        <w:r w:rsidR="00CB0DA6">
          <w:rPr>
            <w:webHidden/>
          </w:rPr>
          <w:fldChar w:fldCharType="begin"/>
        </w:r>
        <w:r w:rsidR="00CB0DA6">
          <w:rPr>
            <w:webHidden/>
          </w:rPr>
          <w:instrText xml:space="preserve"> PAGEREF _Toc58254386 \h </w:instrText>
        </w:r>
        <w:r w:rsidR="00CB0DA6">
          <w:rPr>
            <w:webHidden/>
          </w:rPr>
        </w:r>
        <w:r w:rsidR="00CB0DA6">
          <w:rPr>
            <w:webHidden/>
          </w:rPr>
          <w:fldChar w:fldCharType="separate"/>
        </w:r>
        <w:r w:rsidR="00CB0DA6">
          <w:rPr>
            <w:webHidden/>
          </w:rPr>
          <w:t>82</w:t>
        </w:r>
        <w:r w:rsidR="00CB0DA6">
          <w:rPr>
            <w:webHidden/>
          </w:rPr>
          <w:fldChar w:fldCharType="end"/>
        </w:r>
      </w:hyperlink>
    </w:p>
    <w:p w14:paraId="4A8FB25D" w14:textId="198A907B" w:rsidR="00CB0DA6" w:rsidRDefault="003F26A6">
      <w:pPr>
        <w:pStyle w:val="TOC2"/>
        <w:rPr>
          <w:rFonts w:eastAsiaTheme="minorEastAsia" w:cstheme="minorBidi"/>
          <w:bCs w:val="0"/>
          <w:sz w:val="24"/>
          <w:szCs w:val="24"/>
          <w:lang w:eastAsia="en-GB"/>
        </w:rPr>
      </w:pPr>
      <w:hyperlink w:anchor="_Toc58254387" w:history="1">
        <w:r w:rsidR="00CB0DA6" w:rsidRPr="004F71EC">
          <w:rPr>
            <w:rStyle w:val="Hyperlink"/>
          </w:rPr>
          <w:t>Northern Territory</w:t>
        </w:r>
        <w:r w:rsidR="00CB0DA6">
          <w:rPr>
            <w:webHidden/>
          </w:rPr>
          <w:tab/>
        </w:r>
        <w:r w:rsidR="00CB0DA6">
          <w:rPr>
            <w:webHidden/>
          </w:rPr>
          <w:fldChar w:fldCharType="begin"/>
        </w:r>
        <w:r w:rsidR="00CB0DA6">
          <w:rPr>
            <w:webHidden/>
          </w:rPr>
          <w:instrText xml:space="preserve"> PAGEREF _Toc58254387 \h </w:instrText>
        </w:r>
        <w:r w:rsidR="00CB0DA6">
          <w:rPr>
            <w:webHidden/>
          </w:rPr>
        </w:r>
        <w:r w:rsidR="00CB0DA6">
          <w:rPr>
            <w:webHidden/>
          </w:rPr>
          <w:fldChar w:fldCharType="separate"/>
        </w:r>
        <w:r w:rsidR="00CB0DA6">
          <w:rPr>
            <w:webHidden/>
          </w:rPr>
          <w:t>84</w:t>
        </w:r>
        <w:r w:rsidR="00CB0DA6">
          <w:rPr>
            <w:webHidden/>
          </w:rPr>
          <w:fldChar w:fldCharType="end"/>
        </w:r>
      </w:hyperlink>
    </w:p>
    <w:p w14:paraId="05BA8550" w14:textId="24A004EA" w:rsidR="00CB0DA6" w:rsidRDefault="003F26A6">
      <w:pPr>
        <w:pStyle w:val="TOC1"/>
        <w:rPr>
          <w:rFonts w:eastAsiaTheme="minorEastAsia" w:cstheme="minorBidi"/>
          <w:b w:val="0"/>
          <w:bCs w:val="0"/>
          <w:iCs w:val="0"/>
          <w:sz w:val="24"/>
          <w:szCs w:val="24"/>
          <w:lang w:eastAsia="en-GB"/>
        </w:rPr>
      </w:pPr>
      <w:hyperlink w:anchor="_Toc58254388" w:history="1">
        <w:r w:rsidR="00CB0DA6" w:rsidRPr="004F71EC">
          <w:rPr>
            <w:rStyle w:val="Hyperlink"/>
          </w:rPr>
          <w:t>Appendix 3: Jurisdictional reports on the implementation and effectiveness of the Assessment of Site Contamination National Environment Protection Measure</w:t>
        </w:r>
        <w:r w:rsidR="00CB0DA6">
          <w:rPr>
            <w:webHidden/>
          </w:rPr>
          <w:tab/>
        </w:r>
        <w:r w:rsidR="00CB0DA6">
          <w:rPr>
            <w:webHidden/>
          </w:rPr>
          <w:fldChar w:fldCharType="begin"/>
        </w:r>
        <w:r w:rsidR="00CB0DA6">
          <w:rPr>
            <w:webHidden/>
          </w:rPr>
          <w:instrText xml:space="preserve"> PAGEREF _Toc58254388 \h </w:instrText>
        </w:r>
        <w:r w:rsidR="00CB0DA6">
          <w:rPr>
            <w:webHidden/>
          </w:rPr>
        </w:r>
        <w:r w:rsidR="00CB0DA6">
          <w:rPr>
            <w:webHidden/>
          </w:rPr>
          <w:fldChar w:fldCharType="separate"/>
        </w:r>
        <w:r w:rsidR="00CB0DA6">
          <w:rPr>
            <w:webHidden/>
          </w:rPr>
          <w:t>88</w:t>
        </w:r>
        <w:r w:rsidR="00CB0DA6">
          <w:rPr>
            <w:webHidden/>
          </w:rPr>
          <w:fldChar w:fldCharType="end"/>
        </w:r>
      </w:hyperlink>
    </w:p>
    <w:p w14:paraId="5F98F446" w14:textId="2440AB74" w:rsidR="00CB0DA6" w:rsidRDefault="003F26A6">
      <w:pPr>
        <w:pStyle w:val="TOC2"/>
        <w:rPr>
          <w:rFonts w:eastAsiaTheme="minorEastAsia" w:cstheme="minorBidi"/>
          <w:bCs w:val="0"/>
          <w:sz w:val="24"/>
          <w:szCs w:val="24"/>
          <w:lang w:eastAsia="en-GB"/>
        </w:rPr>
      </w:pPr>
      <w:hyperlink w:anchor="_Toc58254389" w:history="1">
        <w:r w:rsidR="00CB0DA6" w:rsidRPr="004F71EC">
          <w:rPr>
            <w:rStyle w:val="Hyperlink"/>
          </w:rPr>
          <w:t>Commonwealth</w:t>
        </w:r>
        <w:r w:rsidR="00CB0DA6">
          <w:rPr>
            <w:webHidden/>
          </w:rPr>
          <w:tab/>
        </w:r>
        <w:r w:rsidR="00CB0DA6">
          <w:rPr>
            <w:webHidden/>
          </w:rPr>
          <w:fldChar w:fldCharType="begin"/>
        </w:r>
        <w:r w:rsidR="00CB0DA6">
          <w:rPr>
            <w:webHidden/>
          </w:rPr>
          <w:instrText xml:space="preserve"> PAGEREF _Toc58254389 \h </w:instrText>
        </w:r>
        <w:r w:rsidR="00CB0DA6">
          <w:rPr>
            <w:webHidden/>
          </w:rPr>
        </w:r>
        <w:r w:rsidR="00CB0DA6">
          <w:rPr>
            <w:webHidden/>
          </w:rPr>
          <w:fldChar w:fldCharType="separate"/>
        </w:r>
        <w:r w:rsidR="00CB0DA6">
          <w:rPr>
            <w:webHidden/>
          </w:rPr>
          <w:t>88</w:t>
        </w:r>
        <w:r w:rsidR="00CB0DA6">
          <w:rPr>
            <w:webHidden/>
          </w:rPr>
          <w:fldChar w:fldCharType="end"/>
        </w:r>
      </w:hyperlink>
    </w:p>
    <w:p w14:paraId="09E013B3" w14:textId="5DABCB73" w:rsidR="00CB0DA6" w:rsidRDefault="003F26A6">
      <w:pPr>
        <w:pStyle w:val="TOC2"/>
        <w:rPr>
          <w:rFonts w:eastAsiaTheme="minorEastAsia" w:cstheme="minorBidi"/>
          <w:bCs w:val="0"/>
          <w:sz w:val="24"/>
          <w:szCs w:val="24"/>
          <w:lang w:eastAsia="en-GB"/>
        </w:rPr>
      </w:pPr>
      <w:hyperlink w:anchor="_Toc58254390" w:history="1">
        <w:r w:rsidR="00CB0DA6" w:rsidRPr="004F71EC">
          <w:rPr>
            <w:rStyle w:val="Hyperlink"/>
          </w:rPr>
          <w:t>New South Wales</w:t>
        </w:r>
        <w:r w:rsidR="00CB0DA6">
          <w:rPr>
            <w:webHidden/>
          </w:rPr>
          <w:tab/>
        </w:r>
        <w:r w:rsidR="00CB0DA6">
          <w:rPr>
            <w:webHidden/>
          </w:rPr>
          <w:fldChar w:fldCharType="begin"/>
        </w:r>
        <w:r w:rsidR="00CB0DA6">
          <w:rPr>
            <w:webHidden/>
          </w:rPr>
          <w:instrText xml:space="preserve"> PAGEREF _Toc58254390 \h </w:instrText>
        </w:r>
        <w:r w:rsidR="00CB0DA6">
          <w:rPr>
            <w:webHidden/>
          </w:rPr>
        </w:r>
        <w:r w:rsidR="00CB0DA6">
          <w:rPr>
            <w:webHidden/>
          </w:rPr>
          <w:fldChar w:fldCharType="separate"/>
        </w:r>
        <w:r w:rsidR="00CB0DA6">
          <w:rPr>
            <w:webHidden/>
          </w:rPr>
          <w:t>88</w:t>
        </w:r>
        <w:r w:rsidR="00CB0DA6">
          <w:rPr>
            <w:webHidden/>
          </w:rPr>
          <w:fldChar w:fldCharType="end"/>
        </w:r>
      </w:hyperlink>
    </w:p>
    <w:p w14:paraId="74606D93" w14:textId="2BFA71F3" w:rsidR="00CB0DA6" w:rsidRDefault="003F26A6">
      <w:pPr>
        <w:pStyle w:val="TOC2"/>
        <w:rPr>
          <w:rFonts w:eastAsiaTheme="minorEastAsia" w:cstheme="minorBidi"/>
          <w:bCs w:val="0"/>
          <w:sz w:val="24"/>
          <w:szCs w:val="24"/>
          <w:lang w:eastAsia="en-GB"/>
        </w:rPr>
      </w:pPr>
      <w:hyperlink w:anchor="_Toc58254391" w:history="1">
        <w:r w:rsidR="00CB0DA6" w:rsidRPr="004F71EC">
          <w:rPr>
            <w:rStyle w:val="Hyperlink"/>
          </w:rPr>
          <w:t>Victoria</w:t>
        </w:r>
        <w:r w:rsidR="00CB0DA6">
          <w:rPr>
            <w:webHidden/>
          </w:rPr>
          <w:tab/>
        </w:r>
        <w:r w:rsidR="00CB0DA6">
          <w:rPr>
            <w:webHidden/>
          </w:rPr>
          <w:fldChar w:fldCharType="begin"/>
        </w:r>
        <w:r w:rsidR="00CB0DA6">
          <w:rPr>
            <w:webHidden/>
          </w:rPr>
          <w:instrText xml:space="preserve"> PAGEREF _Toc58254391 \h </w:instrText>
        </w:r>
        <w:r w:rsidR="00CB0DA6">
          <w:rPr>
            <w:webHidden/>
          </w:rPr>
        </w:r>
        <w:r w:rsidR="00CB0DA6">
          <w:rPr>
            <w:webHidden/>
          </w:rPr>
          <w:fldChar w:fldCharType="separate"/>
        </w:r>
        <w:r w:rsidR="00CB0DA6">
          <w:rPr>
            <w:webHidden/>
          </w:rPr>
          <w:t>89</w:t>
        </w:r>
        <w:r w:rsidR="00CB0DA6">
          <w:rPr>
            <w:webHidden/>
          </w:rPr>
          <w:fldChar w:fldCharType="end"/>
        </w:r>
      </w:hyperlink>
    </w:p>
    <w:p w14:paraId="32589F68" w14:textId="1C7D74E3" w:rsidR="00CB0DA6" w:rsidRDefault="003F26A6">
      <w:pPr>
        <w:pStyle w:val="TOC2"/>
        <w:rPr>
          <w:rFonts w:eastAsiaTheme="minorEastAsia" w:cstheme="minorBidi"/>
          <w:bCs w:val="0"/>
          <w:sz w:val="24"/>
          <w:szCs w:val="24"/>
          <w:lang w:eastAsia="en-GB"/>
        </w:rPr>
      </w:pPr>
      <w:hyperlink w:anchor="_Toc58254392" w:history="1">
        <w:r w:rsidR="00CB0DA6" w:rsidRPr="004F71EC">
          <w:rPr>
            <w:rStyle w:val="Hyperlink"/>
          </w:rPr>
          <w:t>Queensland</w:t>
        </w:r>
        <w:r w:rsidR="00CB0DA6">
          <w:rPr>
            <w:webHidden/>
          </w:rPr>
          <w:tab/>
        </w:r>
        <w:r w:rsidR="00CB0DA6">
          <w:rPr>
            <w:webHidden/>
          </w:rPr>
          <w:fldChar w:fldCharType="begin"/>
        </w:r>
        <w:r w:rsidR="00CB0DA6">
          <w:rPr>
            <w:webHidden/>
          </w:rPr>
          <w:instrText xml:space="preserve"> PAGEREF _Toc58254392 \h </w:instrText>
        </w:r>
        <w:r w:rsidR="00CB0DA6">
          <w:rPr>
            <w:webHidden/>
          </w:rPr>
        </w:r>
        <w:r w:rsidR="00CB0DA6">
          <w:rPr>
            <w:webHidden/>
          </w:rPr>
          <w:fldChar w:fldCharType="separate"/>
        </w:r>
        <w:r w:rsidR="00CB0DA6">
          <w:rPr>
            <w:webHidden/>
          </w:rPr>
          <w:t>90</w:t>
        </w:r>
        <w:r w:rsidR="00CB0DA6">
          <w:rPr>
            <w:webHidden/>
          </w:rPr>
          <w:fldChar w:fldCharType="end"/>
        </w:r>
      </w:hyperlink>
    </w:p>
    <w:p w14:paraId="0CE82E21" w14:textId="0C156C91" w:rsidR="00CB0DA6" w:rsidRDefault="003F26A6">
      <w:pPr>
        <w:pStyle w:val="TOC2"/>
        <w:rPr>
          <w:rFonts w:eastAsiaTheme="minorEastAsia" w:cstheme="minorBidi"/>
          <w:bCs w:val="0"/>
          <w:sz w:val="24"/>
          <w:szCs w:val="24"/>
          <w:lang w:eastAsia="en-GB"/>
        </w:rPr>
      </w:pPr>
      <w:hyperlink w:anchor="_Toc58254393" w:history="1">
        <w:r w:rsidR="00CB0DA6" w:rsidRPr="004F71EC">
          <w:rPr>
            <w:rStyle w:val="Hyperlink"/>
          </w:rPr>
          <w:t>Western Australia</w:t>
        </w:r>
        <w:r w:rsidR="00CB0DA6">
          <w:rPr>
            <w:webHidden/>
          </w:rPr>
          <w:tab/>
        </w:r>
        <w:r w:rsidR="00CB0DA6">
          <w:rPr>
            <w:webHidden/>
          </w:rPr>
          <w:fldChar w:fldCharType="begin"/>
        </w:r>
        <w:r w:rsidR="00CB0DA6">
          <w:rPr>
            <w:webHidden/>
          </w:rPr>
          <w:instrText xml:space="preserve"> PAGEREF _Toc58254393 \h </w:instrText>
        </w:r>
        <w:r w:rsidR="00CB0DA6">
          <w:rPr>
            <w:webHidden/>
          </w:rPr>
        </w:r>
        <w:r w:rsidR="00CB0DA6">
          <w:rPr>
            <w:webHidden/>
          </w:rPr>
          <w:fldChar w:fldCharType="separate"/>
        </w:r>
        <w:r w:rsidR="00CB0DA6">
          <w:rPr>
            <w:webHidden/>
          </w:rPr>
          <w:t>91</w:t>
        </w:r>
        <w:r w:rsidR="00CB0DA6">
          <w:rPr>
            <w:webHidden/>
          </w:rPr>
          <w:fldChar w:fldCharType="end"/>
        </w:r>
      </w:hyperlink>
    </w:p>
    <w:p w14:paraId="423E5731" w14:textId="74D8FE02" w:rsidR="00CB0DA6" w:rsidRDefault="003F26A6">
      <w:pPr>
        <w:pStyle w:val="TOC2"/>
        <w:rPr>
          <w:rFonts w:eastAsiaTheme="minorEastAsia" w:cstheme="minorBidi"/>
          <w:bCs w:val="0"/>
          <w:sz w:val="24"/>
          <w:szCs w:val="24"/>
          <w:lang w:eastAsia="en-GB"/>
        </w:rPr>
      </w:pPr>
      <w:hyperlink w:anchor="_Toc58254394" w:history="1">
        <w:r w:rsidR="00CB0DA6" w:rsidRPr="004F71EC">
          <w:rPr>
            <w:rStyle w:val="Hyperlink"/>
          </w:rPr>
          <w:t>South Australia</w:t>
        </w:r>
        <w:r w:rsidR="00CB0DA6">
          <w:rPr>
            <w:webHidden/>
          </w:rPr>
          <w:tab/>
        </w:r>
        <w:r w:rsidR="00CB0DA6">
          <w:rPr>
            <w:webHidden/>
          </w:rPr>
          <w:fldChar w:fldCharType="begin"/>
        </w:r>
        <w:r w:rsidR="00CB0DA6">
          <w:rPr>
            <w:webHidden/>
          </w:rPr>
          <w:instrText xml:space="preserve"> PAGEREF _Toc58254394 \h </w:instrText>
        </w:r>
        <w:r w:rsidR="00CB0DA6">
          <w:rPr>
            <w:webHidden/>
          </w:rPr>
        </w:r>
        <w:r w:rsidR="00CB0DA6">
          <w:rPr>
            <w:webHidden/>
          </w:rPr>
          <w:fldChar w:fldCharType="separate"/>
        </w:r>
        <w:r w:rsidR="00CB0DA6">
          <w:rPr>
            <w:webHidden/>
          </w:rPr>
          <w:t>92</w:t>
        </w:r>
        <w:r w:rsidR="00CB0DA6">
          <w:rPr>
            <w:webHidden/>
          </w:rPr>
          <w:fldChar w:fldCharType="end"/>
        </w:r>
      </w:hyperlink>
    </w:p>
    <w:p w14:paraId="6CA3DD45" w14:textId="1FBA4496" w:rsidR="00CB0DA6" w:rsidRDefault="003F26A6">
      <w:pPr>
        <w:pStyle w:val="TOC2"/>
        <w:rPr>
          <w:rFonts w:eastAsiaTheme="minorEastAsia" w:cstheme="minorBidi"/>
          <w:bCs w:val="0"/>
          <w:sz w:val="24"/>
          <w:szCs w:val="24"/>
          <w:lang w:eastAsia="en-GB"/>
        </w:rPr>
      </w:pPr>
      <w:hyperlink w:anchor="_Toc58254395" w:history="1">
        <w:r w:rsidR="00CB0DA6" w:rsidRPr="004F71EC">
          <w:rPr>
            <w:rStyle w:val="Hyperlink"/>
          </w:rPr>
          <w:t>Tasmania</w:t>
        </w:r>
        <w:r w:rsidR="00CB0DA6">
          <w:rPr>
            <w:webHidden/>
          </w:rPr>
          <w:tab/>
        </w:r>
        <w:r w:rsidR="00CB0DA6">
          <w:rPr>
            <w:webHidden/>
          </w:rPr>
          <w:fldChar w:fldCharType="begin"/>
        </w:r>
        <w:r w:rsidR="00CB0DA6">
          <w:rPr>
            <w:webHidden/>
          </w:rPr>
          <w:instrText xml:space="preserve"> PAGEREF _Toc58254395 \h </w:instrText>
        </w:r>
        <w:r w:rsidR="00CB0DA6">
          <w:rPr>
            <w:webHidden/>
          </w:rPr>
        </w:r>
        <w:r w:rsidR="00CB0DA6">
          <w:rPr>
            <w:webHidden/>
          </w:rPr>
          <w:fldChar w:fldCharType="separate"/>
        </w:r>
        <w:r w:rsidR="00CB0DA6">
          <w:rPr>
            <w:webHidden/>
          </w:rPr>
          <w:t>93</w:t>
        </w:r>
        <w:r w:rsidR="00CB0DA6">
          <w:rPr>
            <w:webHidden/>
          </w:rPr>
          <w:fldChar w:fldCharType="end"/>
        </w:r>
      </w:hyperlink>
    </w:p>
    <w:p w14:paraId="656CA48A" w14:textId="4158C0DA" w:rsidR="00CB0DA6" w:rsidRDefault="003F26A6">
      <w:pPr>
        <w:pStyle w:val="TOC2"/>
        <w:rPr>
          <w:rFonts w:eastAsiaTheme="minorEastAsia" w:cstheme="minorBidi"/>
          <w:bCs w:val="0"/>
          <w:sz w:val="24"/>
          <w:szCs w:val="24"/>
          <w:lang w:eastAsia="en-GB"/>
        </w:rPr>
      </w:pPr>
      <w:hyperlink w:anchor="_Toc58254396" w:history="1">
        <w:r w:rsidR="00CB0DA6" w:rsidRPr="004F71EC">
          <w:rPr>
            <w:rStyle w:val="Hyperlink"/>
          </w:rPr>
          <w:t>Australian Capital Territory</w:t>
        </w:r>
        <w:r w:rsidR="00CB0DA6">
          <w:rPr>
            <w:webHidden/>
          </w:rPr>
          <w:tab/>
        </w:r>
        <w:r w:rsidR="00CB0DA6">
          <w:rPr>
            <w:webHidden/>
          </w:rPr>
          <w:fldChar w:fldCharType="begin"/>
        </w:r>
        <w:r w:rsidR="00CB0DA6">
          <w:rPr>
            <w:webHidden/>
          </w:rPr>
          <w:instrText xml:space="preserve"> PAGEREF _Toc58254396 \h </w:instrText>
        </w:r>
        <w:r w:rsidR="00CB0DA6">
          <w:rPr>
            <w:webHidden/>
          </w:rPr>
        </w:r>
        <w:r w:rsidR="00CB0DA6">
          <w:rPr>
            <w:webHidden/>
          </w:rPr>
          <w:fldChar w:fldCharType="separate"/>
        </w:r>
        <w:r w:rsidR="00CB0DA6">
          <w:rPr>
            <w:webHidden/>
          </w:rPr>
          <w:t>94</w:t>
        </w:r>
        <w:r w:rsidR="00CB0DA6">
          <w:rPr>
            <w:webHidden/>
          </w:rPr>
          <w:fldChar w:fldCharType="end"/>
        </w:r>
      </w:hyperlink>
    </w:p>
    <w:p w14:paraId="13F1215F" w14:textId="1A58627A" w:rsidR="00CB0DA6" w:rsidRDefault="003F26A6">
      <w:pPr>
        <w:pStyle w:val="TOC2"/>
        <w:rPr>
          <w:rFonts w:eastAsiaTheme="minorEastAsia" w:cstheme="minorBidi"/>
          <w:bCs w:val="0"/>
          <w:sz w:val="24"/>
          <w:szCs w:val="24"/>
          <w:lang w:eastAsia="en-GB"/>
        </w:rPr>
      </w:pPr>
      <w:hyperlink w:anchor="_Toc58254397" w:history="1">
        <w:r w:rsidR="00CB0DA6" w:rsidRPr="004F71EC">
          <w:rPr>
            <w:rStyle w:val="Hyperlink"/>
          </w:rPr>
          <w:t>Northern Territory</w:t>
        </w:r>
        <w:r w:rsidR="00CB0DA6">
          <w:rPr>
            <w:webHidden/>
          </w:rPr>
          <w:tab/>
        </w:r>
        <w:r w:rsidR="00CB0DA6">
          <w:rPr>
            <w:webHidden/>
          </w:rPr>
          <w:fldChar w:fldCharType="begin"/>
        </w:r>
        <w:r w:rsidR="00CB0DA6">
          <w:rPr>
            <w:webHidden/>
          </w:rPr>
          <w:instrText xml:space="preserve"> PAGEREF _Toc58254397 \h </w:instrText>
        </w:r>
        <w:r w:rsidR="00CB0DA6">
          <w:rPr>
            <w:webHidden/>
          </w:rPr>
        </w:r>
        <w:r w:rsidR="00CB0DA6">
          <w:rPr>
            <w:webHidden/>
          </w:rPr>
          <w:fldChar w:fldCharType="separate"/>
        </w:r>
        <w:r w:rsidR="00CB0DA6">
          <w:rPr>
            <w:webHidden/>
          </w:rPr>
          <w:t>94</w:t>
        </w:r>
        <w:r w:rsidR="00CB0DA6">
          <w:rPr>
            <w:webHidden/>
          </w:rPr>
          <w:fldChar w:fldCharType="end"/>
        </w:r>
      </w:hyperlink>
    </w:p>
    <w:p w14:paraId="2499E7D2" w14:textId="336CF7C7" w:rsidR="00CB0DA6" w:rsidRDefault="003F26A6">
      <w:pPr>
        <w:pStyle w:val="TOC1"/>
        <w:rPr>
          <w:rFonts w:eastAsiaTheme="minorEastAsia" w:cstheme="minorBidi"/>
          <w:b w:val="0"/>
          <w:bCs w:val="0"/>
          <w:iCs w:val="0"/>
          <w:sz w:val="24"/>
          <w:szCs w:val="24"/>
          <w:lang w:eastAsia="en-GB"/>
        </w:rPr>
      </w:pPr>
      <w:hyperlink w:anchor="_Toc58254398" w:history="1">
        <w:r w:rsidR="00CB0DA6" w:rsidRPr="004F71EC">
          <w:rPr>
            <w:rStyle w:val="Hyperlink"/>
          </w:rPr>
          <w:t>Appendix 4: Jurisdictional reports on the implementation and effectiveness of the Diesel Vehicle Emissions National Environment Protection Measure</w:t>
        </w:r>
        <w:r w:rsidR="00CB0DA6">
          <w:rPr>
            <w:webHidden/>
          </w:rPr>
          <w:tab/>
        </w:r>
        <w:r w:rsidR="00CB0DA6">
          <w:rPr>
            <w:webHidden/>
          </w:rPr>
          <w:fldChar w:fldCharType="begin"/>
        </w:r>
        <w:r w:rsidR="00CB0DA6">
          <w:rPr>
            <w:webHidden/>
          </w:rPr>
          <w:instrText xml:space="preserve"> PAGEREF _Toc58254398 \h </w:instrText>
        </w:r>
        <w:r w:rsidR="00CB0DA6">
          <w:rPr>
            <w:webHidden/>
          </w:rPr>
        </w:r>
        <w:r w:rsidR="00CB0DA6">
          <w:rPr>
            <w:webHidden/>
          </w:rPr>
          <w:fldChar w:fldCharType="separate"/>
        </w:r>
        <w:r w:rsidR="00CB0DA6">
          <w:rPr>
            <w:webHidden/>
          </w:rPr>
          <w:t>96</w:t>
        </w:r>
        <w:r w:rsidR="00CB0DA6">
          <w:rPr>
            <w:webHidden/>
          </w:rPr>
          <w:fldChar w:fldCharType="end"/>
        </w:r>
      </w:hyperlink>
    </w:p>
    <w:p w14:paraId="3F5F2081" w14:textId="29CAAC81" w:rsidR="00CB0DA6" w:rsidRDefault="003F26A6">
      <w:pPr>
        <w:pStyle w:val="TOC2"/>
        <w:rPr>
          <w:rFonts w:eastAsiaTheme="minorEastAsia" w:cstheme="minorBidi"/>
          <w:bCs w:val="0"/>
          <w:sz w:val="24"/>
          <w:szCs w:val="24"/>
          <w:lang w:eastAsia="en-GB"/>
        </w:rPr>
      </w:pPr>
      <w:hyperlink w:anchor="_Toc58254399" w:history="1">
        <w:r w:rsidR="00CB0DA6" w:rsidRPr="004F71EC">
          <w:rPr>
            <w:rStyle w:val="Hyperlink"/>
          </w:rPr>
          <w:t>Commonwealth</w:t>
        </w:r>
        <w:r w:rsidR="00CB0DA6">
          <w:rPr>
            <w:webHidden/>
          </w:rPr>
          <w:tab/>
        </w:r>
        <w:r w:rsidR="00CB0DA6">
          <w:rPr>
            <w:webHidden/>
          </w:rPr>
          <w:fldChar w:fldCharType="begin"/>
        </w:r>
        <w:r w:rsidR="00CB0DA6">
          <w:rPr>
            <w:webHidden/>
          </w:rPr>
          <w:instrText xml:space="preserve"> PAGEREF _Toc58254399 \h </w:instrText>
        </w:r>
        <w:r w:rsidR="00CB0DA6">
          <w:rPr>
            <w:webHidden/>
          </w:rPr>
        </w:r>
        <w:r w:rsidR="00CB0DA6">
          <w:rPr>
            <w:webHidden/>
          </w:rPr>
          <w:fldChar w:fldCharType="separate"/>
        </w:r>
        <w:r w:rsidR="00CB0DA6">
          <w:rPr>
            <w:webHidden/>
          </w:rPr>
          <w:t>96</w:t>
        </w:r>
        <w:r w:rsidR="00CB0DA6">
          <w:rPr>
            <w:webHidden/>
          </w:rPr>
          <w:fldChar w:fldCharType="end"/>
        </w:r>
      </w:hyperlink>
    </w:p>
    <w:p w14:paraId="3F6EDE10" w14:textId="36D08BD4" w:rsidR="00CB0DA6" w:rsidRDefault="003F26A6">
      <w:pPr>
        <w:pStyle w:val="TOC2"/>
        <w:rPr>
          <w:rFonts w:eastAsiaTheme="minorEastAsia" w:cstheme="minorBidi"/>
          <w:bCs w:val="0"/>
          <w:sz w:val="24"/>
          <w:szCs w:val="24"/>
          <w:lang w:eastAsia="en-GB"/>
        </w:rPr>
      </w:pPr>
      <w:hyperlink w:anchor="_Toc58254400" w:history="1">
        <w:r w:rsidR="00CB0DA6" w:rsidRPr="004F71EC">
          <w:rPr>
            <w:rStyle w:val="Hyperlink"/>
          </w:rPr>
          <w:t>New South Wales</w:t>
        </w:r>
        <w:r w:rsidR="00CB0DA6">
          <w:rPr>
            <w:webHidden/>
          </w:rPr>
          <w:tab/>
        </w:r>
        <w:r w:rsidR="00CB0DA6">
          <w:rPr>
            <w:webHidden/>
          </w:rPr>
          <w:fldChar w:fldCharType="begin"/>
        </w:r>
        <w:r w:rsidR="00CB0DA6">
          <w:rPr>
            <w:webHidden/>
          </w:rPr>
          <w:instrText xml:space="preserve"> PAGEREF _Toc58254400 \h </w:instrText>
        </w:r>
        <w:r w:rsidR="00CB0DA6">
          <w:rPr>
            <w:webHidden/>
          </w:rPr>
        </w:r>
        <w:r w:rsidR="00CB0DA6">
          <w:rPr>
            <w:webHidden/>
          </w:rPr>
          <w:fldChar w:fldCharType="separate"/>
        </w:r>
        <w:r w:rsidR="00CB0DA6">
          <w:rPr>
            <w:webHidden/>
          </w:rPr>
          <w:t>97</w:t>
        </w:r>
        <w:r w:rsidR="00CB0DA6">
          <w:rPr>
            <w:webHidden/>
          </w:rPr>
          <w:fldChar w:fldCharType="end"/>
        </w:r>
      </w:hyperlink>
    </w:p>
    <w:p w14:paraId="1B49E68E" w14:textId="42CA1884" w:rsidR="00CB0DA6" w:rsidRDefault="003F26A6">
      <w:pPr>
        <w:pStyle w:val="TOC2"/>
        <w:rPr>
          <w:rFonts w:eastAsiaTheme="minorEastAsia" w:cstheme="minorBidi"/>
          <w:bCs w:val="0"/>
          <w:sz w:val="24"/>
          <w:szCs w:val="24"/>
          <w:lang w:eastAsia="en-GB"/>
        </w:rPr>
      </w:pPr>
      <w:hyperlink w:anchor="_Toc58254401" w:history="1">
        <w:r w:rsidR="00CB0DA6" w:rsidRPr="004F71EC">
          <w:rPr>
            <w:rStyle w:val="Hyperlink"/>
          </w:rPr>
          <w:t>Victoria</w:t>
        </w:r>
        <w:r w:rsidR="00CB0DA6">
          <w:rPr>
            <w:webHidden/>
          </w:rPr>
          <w:tab/>
        </w:r>
        <w:r w:rsidR="00CB0DA6">
          <w:rPr>
            <w:webHidden/>
          </w:rPr>
          <w:fldChar w:fldCharType="begin"/>
        </w:r>
        <w:r w:rsidR="00CB0DA6">
          <w:rPr>
            <w:webHidden/>
          </w:rPr>
          <w:instrText xml:space="preserve"> PAGEREF _Toc58254401 \h </w:instrText>
        </w:r>
        <w:r w:rsidR="00CB0DA6">
          <w:rPr>
            <w:webHidden/>
          </w:rPr>
        </w:r>
        <w:r w:rsidR="00CB0DA6">
          <w:rPr>
            <w:webHidden/>
          </w:rPr>
          <w:fldChar w:fldCharType="separate"/>
        </w:r>
        <w:r w:rsidR="00CB0DA6">
          <w:rPr>
            <w:webHidden/>
          </w:rPr>
          <w:t>101</w:t>
        </w:r>
        <w:r w:rsidR="00CB0DA6">
          <w:rPr>
            <w:webHidden/>
          </w:rPr>
          <w:fldChar w:fldCharType="end"/>
        </w:r>
      </w:hyperlink>
    </w:p>
    <w:p w14:paraId="7D1E87C9" w14:textId="31DE32BE" w:rsidR="00CB0DA6" w:rsidRDefault="003F26A6">
      <w:pPr>
        <w:pStyle w:val="TOC2"/>
        <w:rPr>
          <w:rFonts w:eastAsiaTheme="minorEastAsia" w:cstheme="minorBidi"/>
          <w:bCs w:val="0"/>
          <w:sz w:val="24"/>
          <w:szCs w:val="24"/>
          <w:lang w:eastAsia="en-GB"/>
        </w:rPr>
      </w:pPr>
      <w:hyperlink w:anchor="_Toc58254402" w:history="1">
        <w:r w:rsidR="00CB0DA6" w:rsidRPr="004F71EC">
          <w:rPr>
            <w:rStyle w:val="Hyperlink"/>
          </w:rPr>
          <w:t>Queensland</w:t>
        </w:r>
        <w:r w:rsidR="00CB0DA6">
          <w:rPr>
            <w:webHidden/>
          </w:rPr>
          <w:tab/>
        </w:r>
        <w:r w:rsidR="00CB0DA6">
          <w:rPr>
            <w:webHidden/>
          </w:rPr>
          <w:fldChar w:fldCharType="begin"/>
        </w:r>
        <w:r w:rsidR="00CB0DA6">
          <w:rPr>
            <w:webHidden/>
          </w:rPr>
          <w:instrText xml:space="preserve"> PAGEREF _Toc58254402 \h </w:instrText>
        </w:r>
        <w:r w:rsidR="00CB0DA6">
          <w:rPr>
            <w:webHidden/>
          </w:rPr>
        </w:r>
        <w:r w:rsidR="00CB0DA6">
          <w:rPr>
            <w:webHidden/>
          </w:rPr>
          <w:fldChar w:fldCharType="separate"/>
        </w:r>
        <w:r w:rsidR="00CB0DA6">
          <w:rPr>
            <w:webHidden/>
          </w:rPr>
          <w:t>102</w:t>
        </w:r>
        <w:r w:rsidR="00CB0DA6">
          <w:rPr>
            <w:webHidden/>
          </w:rPr>
          <w:fldChar w:fldCharType="end"/>
        </w:r>
      </w:hyperlink>
    </w:p>
    <w:p w14:paraId="174C1EB0" w14:textId="10BB14F3" w:rsidR="00CB0DA6" w:rsidRDefault="003F26A6">
      <w:pPr>
        <w:pStyle w:val="TOC2"/>
        <w:rPr>
          <w:rFonts w:eastAsiaTheme="minorEastAsia" w:cstheme="minorBidi"/>
          <w:bCs w:val="0"/>
          <w:sz w:val="24"/>
          <w:szCs w:val="24"/>
          <w:lang w:eastAsia="en-GB"/>
        </w:rPr>
      </w:pPr>
      <w:hyperlink w:anchor="_Toc58254403" w:history="1">
        <w:r w:rsidR="00CB0DA6" w:rsidRPr="004F71EC">
          <w:rPr>
            <w:rStyle w:val="Hyperlink"/>
          </w:rPr>
          <w:t>Western Australia</w:t>
        </w:r>
        <w:r w:rsidR="00CB0DA6">
          <w:rPr>
            <w:webHidden/>
          </w:rPr>
          <w:tab/>
        </w:r>
        <w:r w:rsidR="00CB0DA6">
          <w:rPr>
            <w:webHidden/>
          </w:rPr>
          <w:fldChar w:fldCharType="begin"/>
        </w:r>
        <w:r w:rsidR="00CB0DA6">
          <w:rPr>
            <w:webHidden/>
          </w:rPr>
          <w:instrText xml:space="preserve"> PAGEREF _Toc58254403 \h </w:instrText>
        </w:r>
        <w:r w:rsidR="00CB0DA6">
          <w:rPr>
            <w:webHidden/>
          </w:rPr>
        </w:r>
        <w:r w:rsidR="00CB0DA6">
          <w:rPr>
            <w:webHidden/>
          </w:rPr>
          <w:fldChar w:fldCharType="separate"/>
        </w:r>
        <w:r w:rsidR="00CB0DA6">
          <w:rPr>
            <w:webHidden/>
          </w:rPr>
          <w:t>104</w:t>
        </w:r>
        <w:r w:rsidR="00CB0DA6">
          <w:rPr>
            <w:webHidden/>
          </w:rPr>
          <w:fldChar w:fldCharType="end"/>
        </w:r>
      </w:hyperlink>
    </w:p>
    <w:p w14:paraId="5E41F25E" w14:textId="0FBC15C3" w:rsidR="00CB0DA6" w:rsidRDefault="003F26A6">
      <w:pPr>
        <w:pStyle w:val="TOC2"/>
        <w:rPr>
          <w:rFonts w:eastAsiaTheme="minorEastAsia" w:cstheme="minorBidi"/>
          <w:bCs w:val="0"/>
          <w:sz w:val="24"/>
          <w:szCs w:val="24"/>
          <w:lang w:eastAsia="en-GB"/>
        </w:rPr>
      </w:pPr>
      <w:hyperlink w:anchor="_Toc58254404" w:history="1">
        <w:r w:rsidR="00CB0DA6" w:rsidRPr="004F71EC">
          <w:rPr>
            <w:rStyle w:val="Hyperlink"/>
          </w:rPr>
          <w:t>South Australia</w:t>
        </w:r>
        <w:r w:rsidR="00CB0DA6">
          <w:rPr>
            <w:webHidden/>
          </w:rPr>
          <w:tab/>
        </w:r>
        <w:r w:rsidR="00CB0DA6">
          <w:rPr>
            <w:webHidden/>
          </w:rPr>
          <w:fldChar w:fldCharType="begin"/>
        </w:r>
        <w:r w:rsidR="00CB0DA6">
          <w:rPr>
            <w:webHidden/>
          </w:rPr>
          <w:instrText xml:space="preserve"> PAGEREF _Toc58254404 \h </w:instrText>
        </w:r>
        <w:r w:rsidR="00CB0DA6">
          <w:rPr>
            <w:webHidden/>
          </w:rPr>
        </w:r>
        <w:r w:rsidR="00CB0DA6">
          <w:rPr>
            <w:webHidden/>
          </w:rPr>
          <w:fldChar w:fldCharType="separate"/>
        </w:r>
        <w:r w:rsidR="00CB0DA6">
          <w:rPr>
            <w:webHidden/>
          </w:rPr>
          <w:t>106</w:t>
        </w:r>
        <w:r w:rsidR="00CB0DA6">
          <w:rPr>
            <w:webHidden/>
          </w:rPr>
          <w:fldChar w:fldCharType="end"/>
        </w:r>
      </w:hyperlink>
    </w:p>
    <w:p w14:paraId="22FBF557" w14:textId="20F368FA" w:rsidR="00CB0DA6" w:rsidRDefault="003F26A6">
      <w:pPr>
        <w:pStyle w:val="TOC2"/>
        <w:rPr>
          <w:rFonts w:eastAsiaTheme="minorEastAsia" w:cstheme="minorBidi"/>
          <w:bCs w:val="0"/>
          <w:sz w:val="24"/>
          <w:szCs w:val="24"/>
          <w:lang w:eastAsia="en-GB"/>
        </w:rPr>
      </w:pPr>
      <w:hyperlink w:anchor="_Toc58254405" w:history="1">
        <w:r w:rsidR="00CB0DA6" w:rsidRPr="004F71EC">
          <w:rPr>
            <w:rStyle w:val="Hyperlink"/>
          </w:rPr>
          <w:t>Tasmania</w:t>
        </w:r>
        <w:r w:rsidR="00CB0DA6">
          <w:rPr>
            <w:webHidden/>
          </w:rPr>
          <w:tab/>
        </w:r>
        <w:r w:rsidR="00CB0DA6">
          <w:rPr>
            <w:webHidden/>
          </w:rPr>
          <w:fldChar w:fldCharType="begin"/>
        </w:r>
        <w:r w:rsidR="00CB0DA6">
          <w:rPr>
            <w:webHidden/>
          </w:rPr>
          <w:instrText xml:space="preserve"> PAGEREF _Toc58254405 \h </w:instrText>
        </w:r>
        <w:r w:rsidR="00CB0DA6">
          <w:rPr>
            <w:webHidden/>
          </w:rPr>
        </w:r>
        <w:r w:rsidR="00CB0DA6">
          <w:rPr>
            <w:webHidden/>
          </w:rPr>
          <w:fldChar w:fldCharType="separate"/>
        </w:r>
        <w:r w:rsidR="00CB0DA6">
          <w:rPr>
            <w:webHidden/>
          </w:rPr>
          <w:t>107</w:t>
        </w:r>
        <w:r w:rsidR="00CB0DA6">
          <w:rPr>
            <w:webHidden/>
          </w:rPr>
          <w:fldChar w:fldCharType="end"/>
        </w:r>
      </w:hyperlink>
    </w:p>
    <w:p w14:paraId="36FFC161" w14:textId="1D1C0141" w:rsidR="00CB0DA6" w:rsidRDefault="003F26A6">
      <w:pPr>
        <w:pStyle w:val="TOC2"/>
        <w:rPr>
          <w:rFonts w:eastAsiaTheme="minorEastAsia" w:cstheme="minorBidi"/>
          <w:bCs w:val="0"/>
          <w:sz w:val="24"/>
          <w:szCs w:val="24"/>
          <w:lang w:eastAsia="en-GB"/>
        </w:rPr>
      </w:pPr>
      <w:hyperlink w:anchor="_Toc58254406" w:history="1">
        <w:r w:rsidR="00CB0DA6" w:rsidRPr="004F71EC">
          <w:rPr>
            <w:rStyle w:val="Hyperlink"/>
          </w:rPr>
          <w:t>Australian Capital Territory</w:t>
        </w:r>
        <w:r w:rsidR="00CB0DA6">
          <w:rPr>
            <w:webHidden/>
          </w:rPr>
          <w:tab/>
        </w:r>
        <w:r w:rsidR="00CB0DA6">
          <w:rPr>
            <w:webHidden/>
          </w:rPr>
          <w:fldChar w:fldCharType="begin"/>
        </w:r>
        <w:r w:rsidR="00CB0DA6">
          <w:rPr>
            <w:webHidden/>
          </w:rPr>
          <w:instrText xml:space="preserve"> PAGEREF _Toc58254406 \h </w:instrText>
        </w:r>
        <w:r w:rsidR="00CB0DA6">
          <w:rPr>
            <w:webHidden/>
          </w:rPr>
        </w:r>
        <w:r w:rsidR="00CB0DA6">
          <w:rPr>
            <w:webHidden/>
          </w:rPr>
          <w:fldChar w:fldCharType="separate"/>
        </w:r>
        <w:r w:rsidR="00CB0DA6">
          <w:rPr>
            <w:webHidden/>
          </w:rPr>
          <w:t>108</w:t>
        </w:r>
        <w:r w:rsidR="00CB0DA6">
          <w:rPr>
            <w:webHidden/>
          </w:rPr>
          <w:fldChar w:fldCharType="end"/>
        </w:r>
      </w:hyperlink>
    </w:p>
    <w:p w14:paraId="0CAA779D" w14:textId="0598F1B3" w:rsidR="00CB0DA6" w:rsidRDefault="003F26A6">
      <w:pPr>
        <w:pStyle w:val="TOC2"/>
        <w:rPr>
          <w:rFonts w:eastAsiaTheme="minorEastAsia" w:cstheme="minorBidi"/>
          <w:bCs w:val="0"/>
          <w:sz w:val="24"/>
          <w:szCs w:val="24"/>
          <w:lang w:eastAsia="en-GB"/>
        </w:rPr>
      </w:pPr>
      <w:hyperlink w:anchor="_Toc58254407" w:history="1">
        <w:r w:rsidR="00CB0DA6" w:rsidRPr="004F71EC">
          <w:rPr>
            <w:rStyle w:val="Hyperlink"/>
          </w:rPr>
          <w:t>Northern Territory</w:t>
        </w:r>
        <w:r w:rsidR="00CB0DA6">
          <w:rPr>
            <w:webHidden/>
          </w:rPr>
          <w:tab/>
        </w:r>
        <w:r w:rsidR="00CB0DA6">
          <w:rPr>
            <w:webHidden/>
          </w:rPr>
          <w:fldChar w:fldCharType="begin"/>
        </w:r>
        <w:r w:rsidR="00CB0DA6">
          <w:rPr>
            <w:webHidden/>
          </w:rPr>
          <w:instrText xml:space="preserve"> PAGEREF _Toc58254407 \h </w:instrText>
        </w:r>
        <w:r w:rsidR="00CB0DA6">
          <w:rPr>
            <w:webHidden/>
          </w:rPr>
        </w:r>
        <w:r w:rsidR="00CB0DA6">
          <w:rPr>
            <w:webHidden/>
          </w:rPr>
          <w:fldChar w:fldCharType="separate"/>
        </w:r>
        <w:r w:rsidR="00CB0DA6">
          <w:rPr>
            <w:webHidden/>
          </w:rPr>
          <w:t>109</w:t>
        </w:r>
        <w:r w:rsidR="00CB0DA6">
          <w:rPr>
            <w:webHidden/>
          </w:rPr>
          <w:fldChar w:fldCharType="end"/>
        </w:r>
      </w:hyperlink>
    </w:p>
    <w:p w14:paraId="02BB7F8E" w14:textId="48E2C98B" w:rsidR="00CB0DA6" w:rsidRDefault="003F26A6">
      <w:pPr>
        <w:pStyle w:val="TOC1"/>
        <w:rPr>
          <w:rFonts w:eastAsiaTheme="minorEastAsia" w:cstheme="minorBidi"/>
          <w:b w:val="0"/>
          <w:bCs w:val="0"/>
          <w:iCs w:val="0"/>
          <w:sz w:val="24"/>
          <w:szCs w:val="24"/>
          <w:lang w:eastAsia="en-GB"/>
        </w:rPr>
      </w:pPr>
      <w:hyperlink w:anchor="_Toc58254408" w:history="1">
        <w:r w:rsidR="00CB0DA6" w:rsidRPr="004F71EC">
          <w:rPr>
            <w:rStyle w:val="Hyperlink"/>
          </w:rPr>
          <w:t>Appendix 5: Jurisdictional reports on the implementation and effectiveness of the Movement of Controlled Waste between States and Territories National Environment Protection Measure</w:t>
        </w:r>
        <w:r w:rsidR="00CB0DA6">
          <w:rPr>
            <w:webHidden/>
          </w:rPr>
          <w:tab/>
        </w:r>
        <w:r w:rsidR="00CB0DA6">
          <w:rPr>
            <w:webHidden/>
          </w:rPr>
          <w:fldChar w:fldCharType="begin"/>
        </w:r>
        <w:r w:rsidR="00CB0DA6">
          <w:rPr>
            <w:webHidden/>
          </w:rPr>
          <w:instrText xml:space="preserve"> PAGEREF _Toc58254408 \h </w:instrText>
        </w:r>
        <w:r w:rsidR="00CB0DA6">
          <w:rPr>
            <w:webHidden/>
          </w:rPr>
        </w:r>
        <w:r w:rsidR="00CB0DA6">
          <w:rPr>
            <w:webHidden/>
          </w:rPr>
          <w:fldChar w:fldCharType="separate"/>
        </w:r>
        <w:r w:rsidR="00CB0DA6">
          <w:rPr>
            <w:webHidden/>
          </w:rPr>
          <w:t>111</w:t>
        </w:r>
        <w:r w:rsidR="00CB0DA6">
          <w:rPr>
            <w:webHidden/>
          </w:rPr>
          <w:fldChar w:fldCharType="end"/>
        </w:r>
      </w:hyperlink>
    </w:p>
    <w:p w14:paraId="6E1922EE" w14:textId="71590560" w:rsidR="00CB0DA6" w:rsidRDefault="003F26A6">
      <w:pPr>
        <w:pStyle w:val="TOC2"/>
        <w:rPr>
          <w:rFonts w:eastAsiaTheme="minorEastAsia" w:cstheme="minorBidi"/>
          <w:bCs w:val="0"/>
          <w:sz w:val="24"/>
          <w:szCs w:val="24"/>
          <w:lang w:eastAsia="en-GB"/>
        </w:rPr>
      </w:pPr>
      <w:hyperlink w:anchor="_Toc58254409" w:history="1">
        <w:r w:rsidR="00CB0DA6" w:rsidRPr="004F71EC">
          <w:rPr>
            <w:rStyle w:val="Hyperlink"/>
          </w:rPr>
          <w:t>Commonwealth</w:t>
        </w:r>
        <w:r w:rsidR="00CB0DA6">
          <w:rPr>
            <w:webHidden/>
          </w:rPr>
          <w:tab/>
        </w:r>
        <w:r w:rsidR="00CB0DA6">
          <w:rPr>
            <w:webHidden/>
          </w:rPr>
          <w:fldChar w:fldCharType="begin"/>
        </w:r>
        <w:r w:rsidR="00CB0DA6">
          <w:rPr>
            <w:webHidden/>
          </w:rPr>
          <w:instrText xml:space="preserve"> PAGEREF _Toc58254409 \h </w:instrText>
        </w:r>
        <w:r w:rsidR="00CB0DA6">
          <w:rPr>
            <w:webHidden/>
          </w:rPr>
        </w:r>
        <w:r w:rsidR="00CB0DA6">
          <w:rPr>
            <w:webHidden/>
          </w:rPr>
          <w:fldChar w:fldCharType="separate"/>
        </w:r>
        <w:r w:rsidR="00CB0DA6">
          <w:rPr>
            <w:webHidden/>
          </w:rPr>
          <w:t>111</w:t>
        </w:r>
        <w:r w:rsidR="00CB0DA6">
          <w:rPr>
            <w:webHidden/>
          </w:rPr>
          <w:fldChar w:fldCharType="end"/>
        </w:r>
      </w:hyperlink>
    </w:p>
    <w:p w14:paraId="555DF514" w14:textId="62F8C8C5" w:rsidR="00CB0DA6" w:rsidRDefault="003F26A6">
      <w:pPr>
        <w:pStyle w:val="TOC2"/>
        <w:rPr>
          <w:rFonts w:eastAsiaTheme="minorEastAsia" w:cstheme="minorBidi"/>
          <w:bCs w:val="0"/>
          <w:sz w:val="24"/>
          <w:szCs w:val="24"/>
          <w:lang w:eastAsia="en-GB"/>
        </w:rPr>
      </w:pPr>
      <w:hyperlink w:anchor="_Toc58254410" w:history="1">
        <w:r w:rsidR="00CB0DA6" w:rsidRPr="004F71EC">
          <w:rPr>
            <w:rStyle w:val="Hyperlink"/>
          </w:rPr>
          <w:t>New South Wales</w:t>
        </w:r>
        <w:r w:rsidR="00CB0DA6">
          <w:rPr>
            <w:webHidden/>
          </w:rPr>
          <w:tab/>
        </w:r>
        <w:r w:rsidR="00CB0DA6">
          <w:rPr>
            <w:webHidden/>
          </w:rPr>
          <w:fldChar w:fldCharType="begin"/>
        </w:r>
        <w:r w:rsidR="00CB0DA6">
          <w:rPr>
            <w:webHidden/>
          </w:rPr>
          <w:instrText xml:space="preserve"> PAGEREF _Toc58254410 \h </w:instrText>
        </w:r>
        <w:r w:rsidR="00CB0DA6">
          <w:rPr>
            <w:webHidden/>
          </w:rPr>
        </w:r>
        <w:r w:rsidR="00CB0DA6">
          <w:rPr>
            <w:webHidden/>
          </w:rPr>
          <w:fldChar w:fldCharType="separate"/>
        </w:r>
        <w:r w:rsidR="00CB0DA6">
          <w:rPr>
            <w:webHidden/>
          </w:rPr>
          <w:t>111</w:t>
        </w:r>
        <w:r w:rsidR="00CB0DA6">
          <w:rPr>
            <w:webHidden/>
          </w:rPr>
          <w:fldChar w:fldCharType="end"/>
        </w:r>
      </w:hyperlink>
    </w:p>
    <w:p w14:paraId="108FF156" w14:textId="4BAD70A9" w:rsidR="00CB0DA6" w:rsidRDefault="003F26A6">
      <w:pPr>
        <w:pStyle w:val="TOC2"/>
        <w:rPr>
          <w:rFonts w:eastAsiaTheme="minorEastAsia" w:cstheme="minorBidi"/>
          <w:bCs w:val="0"/>
          <w:sz w:val="24"/>
          <w:szCs w:val="24"/>
          <w:lang w:eastAsia="en-GB"/>
        </w:rPr>
      </w:pPr>
      <w:hyperlink w:anchor="_Toc58254411" w:history="1">
        <w:r w:rsidR="00CB0DA6" w:rsidRPr="004F71EC">
          <w:rPr>
            <w:rStyle w:val="Hyperlink"/>
          </w:rPr>
          <w:t>Victoria</w:t>
        </w:r>
        <w:r w:rsidR="00CB0DA6">
          <w:rPr>
            <w:webHidden/>
          </w:rPr>
          <w:tab/>
        </w:r>
        <w:r w:rsidR="00CB0DA6">
          <w:rPr>
            <w:webHidden/>
          </w:rPr>
          <w:fldChar w:fldCharType="begin"/>
        </w:r>
        <w:r w:rsidR="00CB0DA6">
          <w:rPr>
            <w:webHidden/>
          </w:rPr>
          <w:instrText xml:space="preserve"> PAGEREF _Toc58254411 \h </w:instrText>
        </w:r>
        <w:r w:rsidR="00CB0DA6">
          <w:rPr>
            <w:webHidden/>
          </w:rPr>
        </w:r>
        <w:r w:rsidR="00CB0DA6">
          <w:rPr>
            <w:webHidden/>
          </w:rPr>
          <w:fldChar w:fldCharType="separate"/>
        </w:r>
        <w:r w:rsidR="00CB0DA6">
          <w:rPr>
            <w:webHidden/>
          </w:rPr>
          <w:t>114</w:t>
        </w:r>
        <w:r w:rsidR="00CB0DA6">
          <w:rPr>
            <w:webHidden/>
          </w:rPr>
          <w:fldChar w:fldCharType="end"/>
        </w:r>
      </w:hyperlink>
    </w:p>
    <w:p w14:paraId="7D2A2763" w14:textId="5C721EC5" w:rsidR="00CB0DA6" w:rsidRDefault="003F26A6">
      <w:pPr>
        <w:pStyle w:val="TOC2"/>
        <w:rPr>
          <w:rFonts w:eastAsiaTheme="minorEastAsia" w:cstheme="minorBidi"/>
          <w:bCs w:val="0"/>
          <w:sz w:val="24"/>
          <w:szCs w:val="24"/>
          <w:lang w:eastAsia="en-GB"/>
        </w:rPr>
      </w:pPr>
      <w:hyperlink w:anchor="_Toc58254412" w:history="1">
        <w:r w:rsidR="00CB0DA6" w:rsidRPr="004F71EC">
          <w:rPr>
            <w:rStyle w:val="Hyperlink"/>
          </w:rPr>
          <w:t>Queensland</w:t>
        </w:r>
        <w:r w:rsidR="00CB0DA6">
          <w:rPr>
            <w:webHidden/>
          </w:rPr>
          <w:tab/>
        </w:r>
        <w:r w:rsidR="00CB0DA6">
          <w:rPr>
            <w:webHidden/>
          </w:rPr>
          <w:fldChar w:fldCharType="begin"/>
        </w:r>
        <w:r w:rsidR="00CB0DA6">
          <w:rPr>
            <w:webHidden/>
          </w:rPr>
          <w:instrText xml:space="preserve"> PAGEREF _Toc58254412 \h </w:instrText>
        </w:r>
        <w:r w:rsidR="00CB0DA6">
          <w:rPr>
            <w:webHidden/>
          </w:rPr>
        </w:r>
        <w:r w:rsidR="00CB0DA6">
          <w:rPr>
            <w:webHidden/>
          </w:rPr>
          <w:fldChar w:fldCharType="separate"/>
        </w:r>
        <w:r w:rsidR="00CB0DA6">
          <w:rPr>
            <w:webHidden/>
          </w:rPr>
          <w:t>116</w:t>
        </w:r>
        <w:r w:rsidR="00CB0DA6">
          <w:rPr>
            <w:webHidden/>
          </w:rPr>
          <w:fldChar w:fldCharType="end"/>
        </w:r>
      </w:hyperlink>
    </w:p>
    <w:p w14:paraId="5535F52D" w14:textId="2F76A538" w:rsidR="00CB0DA6" w:rsidRDefault="003F26A6">
      <w:pPr>
        <w:pStyle w:val="TOC2"/>
        <w:rPr>
          <w:rFonts w:eastAsiaTheme="minorEastAsia" w:cstheme="minorBidi"/>
          <w:bCs w:val="0"/>
          <w:sz w:val="24"/>
          <w:szCs w:val="24"/>
          <w:lang w:eastAsia="en-GB"/>
        </w:rPr>
      </w:pPr>
      <w:hyperlink w:anchor="_Toc58254413" w:history="1">
        <w:r w:rsidR="00CB0DA6" w:rsidRPr="004F71EC">
          <w:rPr>
            <w:rStyle w:val="Hyperlink"/>
          </w:rPr>
          <w:t>Western Australia</w:t>
        </w:r>
        <w:r w:rsidR="00CB0DA6">
          <w:rPr>
            <w:webHidden/>
          </w:rPr>
          <w:tab/>
        </w:r>
        <w:r w:rsidR="00CB0DA6">
          <w:rPr>
            <w:webHidden/>
          </w:rPr>
          <w:fldChar w:fldCharType="begin"/>
        </w:r>
        <w:r w:rsidR="00CB0DA6">
          <w:rPr>
            <w:webHidden/>
          </w:rPr>
          <w:instrText xml:space="preserve"> PAGEREF _Toc58254413 \h </w:instrText>
        </w:r>
        <w:r w:rsidR="00CB0DA6">
          <w:rPr>
            <w:webHidden/>
          </w:rPr>
        </w:r>
        <w:r w:rsidR="00CB0DA6">
          <w:rPr>
            <w:webHidden/>
          </w:rPr>
          <w:fldChar w:fldCharType="separate"/>
        </w:r>
        <w:r w:rsidR="00CB0DA6">
          <w:rPr>
            <w:webHidden/>
          </w:rPr>
          <w:t>118</w:t>
        </w:r>
        <w:r w:rsidR="00CB0DA6">
          <w:rPr>
            <w:webHidden/>
          </w:rPr>
          <w:fldChar w:fldCharType="end"/>
        </w:r>
      </w:hyperlink>
    </w:p>
    <w:p w14:paraId="120BB510" w14:textId="4DA40E63" w:rsidR="00CB0DA6" w:rsidRDefault="003F26A6">
      <w:pPr>
        <w:pStyle w:val="TOC2"/>
        <w:rPr>
          <w:rFonts w:eastAsiaTheme="minorEastAsia" w:cstheme="minorBidi"/>
          <w:bCs w:val="0"/>
          <w:sz w:val="24"/>
          <w:szCs w:val="24"/>
          <w:lang w:eastAsia="en-GB"/>
        </w:rPr>
      </w:pPr>
      <w:hyperlink w:anchor="_Toc58254414" w:history="1">
        <w:r w:rsidR="00CB0DA6" w:rsidRPr="004F71EC">
          <w:rPr>
            <w:rStyle w:val="Hyperlink"/>
          </w:rPr>
          <w:t>South Australia</w:t>
        </w:r>
        <w:r w:rsidR="00CB0DA6">
          <w:rPr>
            <w:webHidden/>
          </w:rPr>
          <w:tab/>
        </w:r>
        <w:r w:rsidR="00CB0DA6">
          <w:rPr>
            <w:webHidden/>
          </w:rPr>
          <w:fldChar w:fldCharType="begin"/>
        </w:r>
        <w:r w:rsidR="00CB0DA6">
          <w:rPr>
            <w:webHidden/>
          </w:rPr>
          <w:instrText xml:space="preserve"> PAGEREF _Toc58254414 \h </w:instrText>
        </w:r>
        <w:r w:rsidR="00CB0DA6">
          <w:rPr>
            <w:webHidden/>
          </w:rPr>
        </w:r>
        <w:r w:rsidR="00CB0DA6">
          <w:rPr>
            <w:webHidden/>
          </w:rPr>
          <w:fldChar w:fldCharType="separate"/>
        </w:r>
        <w:r w:rsidR="00CB0DA6">
          <w:rPr>
            <w:webHidden/>
          </w:rPr>
          <w:t>120</w:t>
        </w:r>
        <w:r w:rsidR="00CB0DA6">
          <w:rPr>
            <w:webHidden/>
          </w:rPr>
          <w:fldChar w:fldCharType="end"/>
        </w:r>
      </w:hyperlink>
    </w:p>
    <w:p w14:paraId="662DE800" w14:textId="44D0EFEC" w:rsidR="00CB0DA6" w:rsidRDefault="003F26A6">
      <w:pPr>
        <w:pStyle w:val="TOC2"/>
        <w:rPr>
          <w:rFonts w:eastAsiaTheme="minorEastAsia" w:cstheme="minorBidi"/>
          <w:bCs w:val="0"/>
          <w:sz w:val="24"/>
          <w:szCs w:val="24"/>
          <w:lang w:eastAsia="en-GB"/>
        </w:rPr>
      </w:pPr>
      <w:hyperlink w:anchor="_Toc58254415" w:history="1">
        <w:r w:rsidR="00CB0DA6" w:rsidRPr="004F71EC">
          <w:rPr>
            <w:rStyle w:val="Hyperlink"/>
          </w:rPr>
          <w:t>Tasmania</w:t>
        </w:r>
        <w:r w:rsidR="00CB0DA6">
          <w:rPr>
            <w:webHidden/>
          </w:rPr>
          <w:tab/>
        </w:r>
        <w:r w:rsidR="00CB0DA6">
          <w:rPr>
            <w:webHidden/>
          </w:rPr>
          <w:fldChar w:fldCharType="begin"/>
        </w:r>
        <w:r w:rsidR="00CB0DA6">
          <w:rPr>
            <w:webHidden/>
          </w:rPr>
          <w:instrText xml:space="preserve"> PAGEREF _Toc58254415 \h </w:instrText>
        </w:r>
        <w:r w:rsidR="00CB0DA6">
          <w:rPr>
            <w:webHidden/>
          </w:rPr>
        </w:r>
        <w:r w:rsidR="00CB0DA6">
          <w:rPr>
            <w:webHidden/>
          </w:rPr>
          <w:fldChar w:fldCharType="separate"/>
        </w:r>
        <w:r w:rsidR="00CB0DA6">
          <w:rPr>
            <w:webHidden/>
          </w:rPr>
          <w:t>122</w:t>
        </w:r>
        <w:r w:rsidR="00CB0DA6">
          <w:rPr>
            <w:webHidden/>
          </w:rPr>
          <w:fldChar w:fldCharType="end"/>
        </w:r>
      </w:hyperlink>
    </w:p>
    <w:p w14:paraId="0A2A22E4" w14:textId="59C24B4B" w:rsidR="00CB0DA6" w:rsidRDefault="003F26A6">
      <w:pPr>
        <w:pStyle w:val="TOC2"/>
        <w:rPr>
          <w:rFonts w:eastAsiaTheme="minorEastAsia" w:cstheme="minorBidi"/>
          <w:bCs w:val="0"/>
          <w:sz w:val="24"/>
          <w:szCs w:val="24"/>
          <w:lang w:eastAsia="en-GB"/>
        </w:rPr>
      </w:pPr>
      <w:hyperlink w:anchor="_Toc58254416" w:history="1">
        <w:r w:rsidR="00CB0DA6" w:rsidRPr="004F71EC">
          <w:rPr>
            <w:rStyle w:val="Hyperlink"/>
          </w:rPr>
          <w:t>Australian Capital Territory</w:t>
        </w:r>
        <w:r w:rsidR="00CB0DA6">
          <w:rPr>
            <w:webHidden/>
          </w:rPr>
          <w:tab/>
        </w:r>
        <w:r w:rsidR="00CB0DA6">
          <w:rPr>
            <w:webHidden/>
          </w:rPr>
          <w:fldChar w:fldCharType="begin"/>
        </w:r>
        <w:r w:rsidR="00CB0DA6">
          <w:rPr>
            <w:webHidden/>
          </w:rPr>
          <w:instrText xml:space="preserve"> PAGEREF _Toc58254416 \h </w:instrText>
        </w:r>
        <w:r w:rsidR="00CB0DA6">
          <w:rPr>
            <w:webHidden/>
          </w:rPr>
        </w:r>
        <w:r w:rsidR="00CB0DA6">
          <w:rPr>
            <w:webHidden/>
          </w:rPr>
          <w:fldChar w:fldCharType="separate"/>
        </w:r>
        <w:r w:rsidR="00CB0DA6">
          <w:rPr>
            <w:webHidden/>
          </w:rPr>
          <w:t>124</w:t>
        </w:r>
        <w:r w:rsidR="00CB0DA6">
          <w:rPr>
            <w:webHidden/>
          </w:rPr>
          <w:fldChar w:fldCharType="end"/>
        </w:r>
      </w:hyperlink>
    </w:p>
    <w:p w14:paraId="0D8944F8" w14:textId="0359BAB0" w:rsidR="00CB0DA6" w:rsidRDefault="003F26A6">
      <w:pPr>
        <w:pStyle w:val="TOC2"/>
        <w:rPr>
          <w:rFonts w:eastAsiaTheme="minorEastAsia" w:cstheme="minorBidi"/>
          <w:bCs w:val="0"/>
          <w:sz w:val="24"/>
          <w:szCs w:val="24"/>
          <w:lang w:eastAsia="en-GB"/>
        </w:rPr>
      </w:pPr>
      <w:hyperlink w:anchor="_Toc58254417" w:history="1">
        <w:r w:rsidR="00CB0DA6" w:rsidRPr="004F71EC">
          <w:rPr>
            <w:rStyle w:val="Hyperlink"/>
          </w:rPr>
          <w:t>Northern Territory</w:t>
        </w:r>
        <w:r w:rsidR="00CB0DA6">
          <w:rPr>
            <w:webHidden/>
          </w:rPr>
          <w:tab/>
        </w:r>
        <w:r w:rsidR="00CB0DA6">
          <w:rPr>
            <w:webHidden/>
          </w:rPr>
          <w:fldChar w:fldCharType="begin"/>
        </w:r>
        <w:r w:rsidR="00CB0DA6">
          <w:rPr>
            <w:webHidden/>
          </w:rPr>
          <w:instrText xml:space="preserve"> PAGEREF _Toc58254417 \h </w:instrText>
        </w:r>
        <w:r w:rsidR="00CB0DA6">
          <w:rPr>
            <w:webHidden/>
          </w:rPr>
        </w:r>
        <w:r w:rsidR="00CB0DA6">
          <w:rPr>
            <w:webHidden/>
          </w:rPr>
          <w:fldChar w:fldCharType="separate"/>
        </w:r>
        <w:r w:rsidR="00CB0DA6">
          <w:rPr>
            <w:webHidden/>
          </w:rPr>
          <w:t>126</w:t>
        </w:r>
        <w:r w:rsidR="00CB0DA6">
          <w:rPr>
            <w:webHidden/>
          </w:rPr>
          <w:fldChar w:fldCharType="end"/>
        </w:r>
      </w:hyperlink>
    </w:p>
    <w:p w14:paraId="6627A426" w14:textId="35192463" w:rsidR="00CB0DA6" w:rsidRDefault="003F26A6">
      <w:pPr>
        <w:pStyle w:val="TOC1"/>
        <w:rPr>
          <w:rFonts w:eastAsiaTheme="minorEastAsia" w:cstheme="minorBidi"/>
          <w:b w:val="0"/>
          <w:bCs w:val="0"/>
          <w:iCs w:val="0"/>
          <w:sz w:val="24"/>
          <w:szCs w:val="24"/>
          <w:lang w:eastAsia="en-GB"/>
        </w:rPr>
      </w:pPr>
      <w:hyperlink w:anchor="_Toc58254418" w:history="1">
        <w:r w:rsidR="00CB0DA6" w:rsidRPr="004F71EC">
          <w:rPr>
            <w:rStyle w:val="Hyperlink"/>
          </w:rPr>
          <w:t>Appendix 6: Jurisdictional reports on the implementation and effectiveness of the National Pollutant Inventory National Environment Protection Measure</w:t>
        </w:r>
        <w:r w:rsidR="00CB0DA6">
          <w:rPr>
            <w:webHidden/>
          </w:rPr>
          <w:tab/>
        </w:r>
        <w:r w:rsidR="00CB0DA6">
          <w:rPr>
            <w:webHidden/>
          </w:rPr>
          <w:fldChar w:fldCharType="begin"/>
        </w:r>
        <w:r w:rsidR="00CB0DA6">
          <w:rPr>
            <w:webHidden/>
          </w:rPr>
          <w:instrText xml:space="preserve"> PAGEREF _Toc58254418 \h </w:instrText>
        </w:r>
        <w:r w:rsidR="00CB0DA6">
          <w:rPr>
            <w:webHidden/>
          </w:rPr>
        </w:r>
        <w:r w:rsidR="00CB0DA6">
          <w:rPr>
            <w:webHidden/>
          </w:rPr>
          <w:fldChar w:fldCharType="separate"/>
        </w:r>
        <w:r w:rsidR="00CB0DA6">
          <w:rPr>
            <w:webHidden/>
          </w:rPr>
          <w:t>128</w:t>
        </w:r>
        <w:r w:rsidR="00CB0DA6">
          <w:rPr>
            <w:webHidden/>
          </w:rPr>
          <w:fldChar w:fldCharType="end"/>
        </w:r>
      </w:hyperlink>
    </w:p>
    <w:p w14:paraId="19D13FA4" w14:textId="76D9E944" w:rsidR="00CB0DA6" w:rsidRDefault="003F26A6">
      <w:pPr>
        <w:pStyle w:val="TOC2"/>
        <w:rPr>
          <w:rFonts w:eastAsiaTheme="minorEastAsia" w:cstheme="minorBidi"/>
          <w:bCs w:val="0"/>
          <w:sz w:val="24"/>
          <w:szCs w:val="24"/>
          <w:lang w:eastAsia="en-GB"/>
        </w:rPr>
      </w:pPr>
      <w:hyperlink w:anchor="_Toc58254419" w:history="1">
        <w:r w:rsidR="00CB0DA6" w:rsidRPr="004F71EC">
          <w:rPr>
            <w:rStyle w:val="Hyperlink"/>
          </w:rPr>
          <w:t>Commonwealth</w:t>
        </w:r>
        <w:r w:rsidR="00CB0DA6">
          <w:rPr>
            <w:webHidden/>
          </w:rPr>
          <w:tab/>
        </w:r>
        <w:r w:rsidR="00CB0DA6">
          <w:rPr>
            <w:webHidden/>
          </w:rPr>
          <w:fldChar w:fldCharType="begin"/>
        </w:r>
        <w:r w:rsidR="00CB0DA6">
          <w:rPr>
            <w:webHidden/>
          </w:rPr>
          <w:instrText xml:space="preserve"> PAGEREF _Toc58254419 \h </w:instrText>
        </w:r>
        <w:r w:rsidR="00CB0DA6">
          <w:rPr>
            <w:webHidden/>
          </w:rPr>
        </w:r>
        <w:r w:rsidR="00CB0DA6">
          <w:rPr>
            <w:webHidden/>
          </w:rPr>
          <w:fldChar w:fldCharType="separate"/>
        </w:r>
        <w:r w:rsidR="00CB0DA6">
          <w:rPr>
            <w:webHidden/>
          </w:rPr>
          <w:t>128</w:t>
        </w:r>
        <w:r w:rsidR="00CB0DA6">
          <w:rPr>
            <w:webHidden/>
          </w:rPr>
          <w:fldChar w:fldCharType="end"/>
        </w:r>
      </w:hyperlink>
    </w:p>
    <w:p w14:paraId="0B833765" w14:textId="333E3AD8" w:rsidR="00CB0DA6" w:rsidRDefault="003F26A6">
      <w:pPr>
        <w:pStyle w:val="TOC2"/>
        <w:rPr>
          <w:rFonts w:eastAsiaTheme="minorEastAsia" w:cstheme="minorBidi"/>
          <w:bCs w:val="0"/>
          <w:sz w:val="24"/>
          <w:szCs w:val="24"/>
          <w:lang w:eastAsia="en-GB"/>
        </w:rPr>
      </w:pPr>
      <w:hyperlink w:anchor="_Toc58254420" w:history="1">
        <w:r w:rsidR="00CB0DA6" w:rsidRPr="004F71EC">
          <w:rPr>
            <w:rStyle w:val="Hyperlink"/>
          </w:rPr>
          <w:t>New South Wales</w:t>
        </w:r>
        <w:r w:rsidR="00CB0DA6">
          <w:rPr>
            <w:webHidden/>
          </w:rPr>
          <w:tab/>
        </w:r>
        <w:r w:rsidR="00CB0DA6">
          <w:rPr>
            <w:webHidden/>
          </w:rPr>
          <w:fldChar w:fldCharType="begin"/>
        </w:r>
        <w:r w:rsidR="00CB0DA6">
          <w:rPr>
            <w:webHidden/>
          </w:rPr>
          <w:instrText xml:space="preserve"> PAGEREF _Toc58254420 \h </w:instrText>
        </w:r>
        <w:r w:rsidR="00CB0DA6">
          <w:rPr>
            <w:webHidden/>
          </w:rPr>
        </w:r>
        <w:r w:rsidR="00CB0DA6">
          <w:rPr>
            <w:webHidden/>
          </w:rPr>
          <w:fldChar w:fldCharType="separate"/>
        </w:r>
        <w:r w:rsidR="00CB0DA6">
          <w:rPr>
            <w:webHidden/>
          </w:rPr>
          <w:t>130</w:t>
        </w:r>
        <w:r w:rsidR="00CB0DA6">
          <w:rPr>
            <w:webHidden/>
          </w:rPr>
          <w:fldChar w:fldCharType="end"/>
        </w:r>
      </w:hyperlink>
    </w:p>
    <w:p w14:paraId="43F0D5BD" w14:textId="261BC6D5" w:rsidR="00CB0DA6" w:rsidRDefault="003F26A6">
      <w:pPr>
        <w:pStyle w:val="TOC2"/>
        <w:rPr>
          <w:rFonts w:eastAsiaTheme="minorEastAsia" w:cstheme="minorBidi"/>
          <w:bCs w:val="0"/>
          <w:sz w:val="24"/>
          <w:szCs w:val="24"/>
          <w:lang w:eastAsia="en-GB"/>
        </w:rPr>
      </w:pPr>
      <w:hyperlink w:anchor="_Toc58254421" w:history="1">
        <w:r w:rsidR="00CB0DA6" w:rsidRPr="004F71EC">
          <w:rPr>
            <w:rStyle w:val="Hyperlink"/>
          </w:rPr>
          <w:t>Victoria</w:t>
        </w:r>
        <w:r w:rsidR="00CB0DA6">
          <w:rPr>
            <w:webHidden/>
          </w:rPr>
          <w:tab/>
        </w:r>
        <w:r w:rsidR="00CB0DA6">
          <w:rPr>
            <w:webHidden/>
          </w:rPr>
          <w:fldChar w:fldCharType="begin"/>
        </w:r>
        <w:r w:rsidR="00CB0DA6">
          <w:rPr>
            <w:webHidden/>
          </w:rPr>
          <w:instrText xml:space="preserve"> PAGEREF _Toc58254421 \h </w:instrText>
        </w:r>
        <w:r w:rsidR="00CB0DA6">
          <w:rPr>
            <w:webHidden/>
          </w:rPr>
        </w:r>
        <w:r w:rsidR="00CB0DA6">
          <w:rPr>
            <w:webHidden/>
          </w:rPr>
          <w:fldChar w:fldCharType="separate"/>
        </w:r>
        <w:r w:rsidR="00CB0DA6">
          <w:rPr>
            <w:webHidden/>
          </w:rPr>
          <w:t>132</w:t>
        </w:r>
        <w:r w:rsidR="00CB0DA6">
          <w:rPr>
            <w:webHidden/>
          </w:rPr>
          <w:fldChar w:fldCharType="end"/>
        </w:r>
      </w:hyperlink>
    </w:p>
    <w:p w14:paraId="09448868" w14:textId="02950A83" w:rsidR="00CB0DA6" w:rsidRDefault="003F26A6">
      <w:pPr>
        <w:pStyle w:val="TOC2"/>
        <w:rPr>
          <w:rFonts w:eastAsiaTheme="minorEastAsia" w:cstheme="minorBidi"/>
          <w:bCs w:val="0"/>
          <w:sz w:val="24"/>
          <w:szCs w:val="24"/>
          <w:lang w:eastAsia="en-GB"/>
        </w:rPr>
      </w:pPr>
      <w:hyperlink w:anchor="_Toc58254422" w:history="1">
        <w:r w:rsidR="00CB0DA6" w:rsidRPr="004F71EC">
          <w:rPr>
            <w:rStyle w:val="Hyperlink"/>
          </w:rPr>
          <w:t>Queensland</w:t>
        </w:r>
        <w:r w:rsidR="00CB0DA6">
          <w:rPr>
            <w:webHidden/>
          </w:rPr>
          <w:tab/>
        </w:r>
        <w:r w:rsidR="00CB0DA6">
          <w:rPr>
            <w:webHidden/>
          </w:rPr>
          <w:fldChar w:fldCharType="begin"/>
        </w:r>
        <w:r w:rsidR="00CB0DA6">
          <w:rPr>
            <w:webHidden/>
          </w:rPr>
          <w:instrText xml:space="preserve"> PAGEREF _Toc58254422 \h </w:instrText>
        </w:r>
        <w:r w:rsidR="00CB0DA6">
          <w:rPr>
            <w:webHidden/>
          </w:rPr>
        </w:r>
        <w:r w:rsidR="00CB0DA6">
          <w:rPr>
            <w:webHidden/>
          </w:rPr>
          <w:fldChar w:fldCharType="separate"/>
        </w:r>
        <w:r w:rsidR="00CB0DA6">
          <w:rPr>
            <w:webHidden/>
          </w:rPr>
          <w:t>133</w:t>
        </w:r>
        <w:r w:rsidR="00CB0DA6">
          <w:rPr>
            <w:webHidden/>
          </w:rPr>
          <w:fldChar w:fldCharType="end"/>
        </w:r>
      </w:hyperlink>
    </w:p>
    <w:p w14:paraId="2531C1F8" w14:textId="051706E2" w:rsidR="00CB0DA6" w:rsidRDefault="003F26A6">
      <w:pPr>
        <w:pStyle w:val="TOC2"/>
        <w:rPr>
          <w:rFonts w:eastAsiaTheme="minorEastAsia" w:cstheme="minorBidi"/>
          <w:bCs w:val="0"/>
          <w:sz w:val="24"/>
          <w:szCs w:val="24"/>
          <w:lang w:eastAsia="en-GB"/>
        </w:rPr>
      </w:pPr>
      <w:hyperlink w:anchor="_Toc58254423" w:history="1">
        <w:r w:rsidR="00CB0DA6" w:rsidRPr="004F71EC">
          <w:rPr>
            <w:rStyle w:val="Hyperlink"/>
          </w:rPr>
          <w:t>Western Australia</w:t>
        </w:r>
        <w:r w:rsidR="00CB0DA6">
          <w:rPr>
            <w:webHidden/>
          </w:rPr>
          <w:tab/>
        </w:r>
        <w:r w:rsidR="00CB0DA6">
          <w:rPr>
            <w:webHidden/>
          </w:rPr>
          <w:fldChar w:fldCharType="begin"/>
        </w:r>
        <w:r w:rsidR="00CB0DA6">
          <w:rPr>
            <w:webHidden/>
          </w:rPr>
          <w:instrText xml:space="preserve"> PAGEREF _Toc58254423 \h </w:instrText>
        </w:r>
        <w:r w:rsidR="00CB0DA6">
          <w:rPr>
            <w:webHidden/>
          </w:rPr>
        </w:r>
        <w:r w:rsidR="00CB0DA6">
          <w:rPr>
            <w:webHidden/>
          </w:rPr>
          <w:fldChar w:fldCharType="separate"/>
        </w:r>
        <w:r w:rsidR="00CB0DA6">
          <w:rPr>
            <w:webHidden/>
          </w:rPr>
          <w:t>134</w:t>
        </w:r>
        <w:r w:rsidR="00CB0DA6">
          <w:rPr>
            <w:webHidden/>
          </w:rPr>
          <w:fldChar w:fldCharType="end"/>
        </w:r>
      </w:hyperlink>
    </w:p>
    <w:p w14:paraId="00EB05D0" w14:textId="75D001B6" w:rsidR="00CB0DA6" w:rsidRDefault="003F26A6">
      <w:pPr>
        <w:pStyle w:val="TOC2"/>
        <w:rPr>
          <w:rFonts w:eastAsiaTheme="minorEastAsia" w:cstheme="minorBidi"/>
          <w:bCs w:val="0"/>
          <w:sz w:val="24"/>
          <w:szCs w:val="24"/>
          <w:lang w:eastAsia="en-GB"/>
        </w:rPr>
      </w:pPr>
      <w:hyperlink w:anchor="_Toc58254424" w:history="1">
        <w:r w:rsidR="00CB0DA6" w:rsidRPr="004F71EC">
          <w:rPr>
            <w:rStyle w:val="Hyperlink"/>
          </w:rPr>
          <w:t>South Australia</w:t>
        </w:r>
        <w:r w:rsidR="00CB0DA6">
          <w:rPr>
            <w:webHidden/>
          </w:rPr>
          <w:tab/>
        </w:r>
        <w:r w:rsidR="00CB0DA6">
          <w:rPr>
            <w:webHidden/>
          </w:rPr>
          <w:fldChar w:fldCharType="begin"/>
        </w:r>
        <w:r w:rsidR="00CB0DA6">
          <w:rPr>
            <w:webHidden/>
          </w:rPr>
          <w:instrText xml:space="preserve"> PAGEREF _Toc58254424 \h </w:instrText>
        </w:r>
        <w:r w:rsidR="00CB0DA6">
          <w:rPr>
            <w:webHidden/>
          </w:rPr>
        </w:r>
        <w:r w:rsidR="00CB0DA6">
          <w:rPr>
            <w:webHidden/>
          </w:rPr>
          <w:fldChar w:fldCharType="separate"/>
        </w:r>
        <w:r w:rsidR="00CB0DA6">
          <w:rPr>
            <w:webHidden/>
          </w:rPr>
          <w:t>135</w:t>
        </w:r>
        <w:r w:rsidR="00CB0DA6">
          <w:rPr>
            <w:webHidden/>
          </w:rPr>
          <w:fldChar w:fldCharType="end"/>
        </w:r>
      </w:hyperlink>
    </w:p>
    <w:p w14:paraId="534AB150" w14:textId="4F08E911" w:rsidR="00CB0DA6" w:rsidRDefault="003F26A6">
      <w:pPr>
        <w:pStyle w:val="TOC2"/>
        <w:rPr>
          <w:rFonts w:eastAsiaTheme="minorEastAsia" w:cstheme="minorBidi"/>
          <w:bCs w:val="0"/>
          <w:sz w:val="24"/>
          <w:szCs w:val="24"/>
          <w:lang w:eastAsia="en-GB"/>
        </w:rPr>
      </w:pPr>
      <w:hyperlink w:anchor="_Toc58254425" w:history="1">
        <w:r w:rsidR="00CB0DA6" w:rsidRPr="004F71EC">
          <w:rPr>
            <w:rStyle w:val="Hyperlink"/>
          </w:rPr>
          <w:t>Tasmania</w:t>
        </w:r>
        <w:r w:rsidR="00CB0DA6">
          <w:rPr>
            <w:webHidden/>
          </w:rPr>
          <w:tab/>
        </w:r>
        <w:r w:rsidR="00CB0DA6">
          <w:rPr>
            <w:webHidden/>
          </w:rPr>
          <w:fldChar w:fldCharType="begin"/>
        </w:r>
        <w:r w:rsidR="00CB0DA6">
          <w:rPr>
            <w:webHidden/>
          </w:rPr>
          <w:instrText xml:space="preserve"> PAGEREF _Toc58254425 \h </w:instrText>
        </w:r>
        <w:r w:rsidR="00CB0DA6">
          <w:rPr>
            <w:webHidden/>
          </w:rPr>
        </w:r>
        <w:r w:rsidR="00CB0DA6">
          <w:rPr>
            <w:webHidden/>
          </w:rPr>
          <w:fldChar w:fldCharType="separate"/>
        </w:r>
        <w:r w:rsidR="00CB0DA6">
          <w:rPr>
            <w:webHidden/>
          </w:rPr>
          <w:t>136</w:t>
        </w:r>
        <w:r w:rsidR="00CB0DA6">
          <w:rPr>
            <w:webHidden/>
          </w:rPr>
          <w:fldChar w:fldCharType="end"/>
        </w:r>
      </w:hyperlink>
    </w:p>
    <w:p w14:paraId="73811F1B" w14:textId="0C9E8C7A" w:rsidR="00CB0DA6" w:rsidRDefault="003F26A6">
      <w:pPr>
        <w:pStyle w:val="TOC2"/>
        <w:rPr>
          <w:rFonts w:eastAsiaTheme="minorEastAsia" w:cstheme="minorBidi"/>
          <w:bCs w:val="0"/>
          <w:sz w:val="24"/>
          <w:szCs w:val="24"/>
          <w:lang w:eastAsia="en-GB"/>
        </w:rPr>
      </w:pPr>
      <w:hyperlink w:anchor="_Toc58254426" w:history="1">
        <w:r w:rsidR="00CB0DA6" w:rsidRPr="004F71EC">
          <w:rPr>
            <w:rStyle w:val="Hyperlink"/>
          </w:rPr>
          <w:t>Australian Capital Territory</w:t>
        </w:r>
        <w:r w:rsidR="00CB0DA6">
          <w:rPr>
            <w:webHidden/>
          </w:rPr>
          <w:tab/>
        </w:r>
        <w:r w:rsidR="00CB0DA6">
          <w:rPr>
            <w:webHidden/>
          </w:rPr>
          <w:fldChar w:fldCharType="begin"/>
        </w:r>
        <w:r w:rsidR="00CB0DA6">
          <w:rPr>
            <w:webHidden/>
          </w:rPr>
          <w:instrText xml:space="preserve"> PAGEREF _Toc58254426 \h </w:instrText>
        </w:r>
        <w:r w:rsidR="00CB0DA6">
          <w:rPr>
            <w:webHidden/>
          </w:rPr>
        </w:r>
        <w:r w:rsidR="00CB0DA6">
          <w:rPr>
            <w:webHidden/>
          </w:rPr>
          <w:fldChar w:fldCharType="separate"/>
        </w:r>
        <w:r w:rsidR="00CB0DA6">
          <w:rPr>
            <w:webHidden/>
          </w:rPr>
          <w:t>137</w:t>
        </w:r>
        <w:r w:rsidR="00CB0DA6">
          <w:rPr>
            <w:webHidden/>
          </w:rPr>
          <w:fldChar w:fldCharType="end"/>
        </w:r>
      </w:hyperlink>
    </w:p>
    <w:p w14:paraId="3B933A55" w14:textId="47222B88" w:rsidR="00CB0DA6" w:rsidRDefault="003F26A6">
      <w:pPr>
        <w:pStyle w:val="TOC2"/>
        <w:rPr>
          <w:rFonts w:eastAsiaTheme="minorEastAsia" w:cstheme="minorBidi"/>
          <w:bCs w:val="0"/>
          <w:sz w:val="24"/>
          <w:szCs w:val="24"/>
          <w:lang w:eastAsia="en-GB"/>
        </w:rPr>
      </w:pPr>
      <w:hyperlink w:anchor="_Toc58254427" w:history="1">
        <w:r w:rsidR="00CB0DA6" w:rsidRPr="004F71EC">
          <w:rPr>
            <w:rStyle w:val="Hyperlink"/>
          </w:rPr>
          <w:t>Northern Territory</w:t>
        </w:r>
        <w:r w:rsidR="00CB0DA6">
          <w:rPr>
            <w:webHidden/>
          </w:rPr>
          <w:tab/>
        </w:r>
        <w:r w:rsidR="00CB0DA6">
          <w:rPr>
            <w:webHidden/>
          </w:rPr>
          <w:fldChar w:fldCharType="begin"/>
        </w:r>
        <w:r w:rsidR="00CB0DA6">
          <w:rPr>
            <w:webHidden/>
          </w:rPr>
          <w:instrText xml:space="preserve"> PAGEREF _Toc58254427 \h </w:instrText>
        </w:r>
        <w:r w:rsidR="00CB0DA6">
          <w:rPr>
            <w:webHidden/>
          </w:rPr>
        </w:r>
        <w:r w:rsidR="00CB0DA6">
          <w:rPr>
            <w:webHidden/>
          </w:rPr>
          <w:fldChar w:fldCharType="separate"/>
        </w:r>
        <w:r w:rsidR="00CB0DA6">
          <w:rPr>
            <w:webHidden/>
          </w:rPr>
          <w:t>138</w:t>
        </w:r>
        <w:r w:rsidR="00CB0DA6">
          <w:rPr>
            <w:webHidden/>
          </w:rPr>
          <w:fldChar w:fldCharType="end"/>
        </w:r>
      </w:hyperlink>
    </w:p>
    <w:p w14:paraId="1A319B88" w14:textId="70E6F173" w:rsidR="00CB0DA6" w:rsidRDefault="003F26A6">
      <w:pPr>
        <w:pStyle w:val="TOC1"/>
        <w:rPr>
          <w:rFonts w:eastAsiaTheme="minorEastAsia" w:cstheme="minorBidi"/>
          <w:b w:val="0"/>
          <w:bCs w:val="0"/>
          <w:iCs w:val="0"/>
          <w:sz w:val="24"/>
          <w:szCs w:val="24"/>
          <w:lang w:eastAsia="en-GB"/>
        </w:rPr>
      </w:pPr>
      <w:hyperlink w:anchor="_Toc58254428" w:history="1">
        <w:r w:rsidR="00CB0DA6" w:rsidRPr="004F71EC">
          <w:rPr>
            <w:rStyle w:val="Hyperlink"/>
          </w:rPr>
          <w:t>Appendix 7: Jurisdictional reports on the implementation and effectiveness of the Used Packaging Materials National Environment Protection Measure</w:t>
        </w:r>
        <w:r w:rsidR="00CB0DA6">
          <w:rPr>
            <w:webHidden/>
          </w:rPr>
          <w:tab/>
        </w:r>
        <w:r w:rsidR="00CB0DA6">
          <w:rPr>
            <w:webHidden/>
          </w:rPr>
          <w:fldChar w:fldCharType="begin"/>
        </w:r>
        <w:r w:rsidR="00CB0DA6">
          <w:rPr>
            <w:webHidden/>
          </w:rPr>
          <w:instrText xml:space="preserve"> PAGEREF _Toc58254428 \h </w:instrText>
        </w:r>
        <w:r w:rsidR="00CB0DA6">
          <w:rPr>
            <w:webHidden/>
          </w:rPr>
        </w:r>
        <w:r w:rsidR="00CB0DA6">
          <w:rPr>
            <w:webHidden/>
          </w:rPr>
          <w:fldChar w:fldCharType="separate"/>
        </w:r>
        <w:r w:rsidR="00CB0DA6">
          <w:rPr>
            <w:webHidden/>
          </w:rPr>
          <w:t>140</w:t>
        </w:r>
        <w:r w:rsidR="00CB0DA6">
          <w:rPr>
            <w:webHidden/>
          </w:rPr>
          <w:fldChar w:fldCharType="end"/>
        </w:r>
      </w:hyperlink>
    </w:p>
    <w:p w14:paraId="7C288346" w14:textId="179A8A61" w:rsidR="00CB0DA6" w:rsidRDefault="003F26A6">
      <w:pPr>
        <w:pStyle w:val="TOC2"/>
        <w:rPr>
          <w:rFonts w:eastAsiaTheme="minorEastAsia" w:cstheme="minorBidi"/>
          <w:bCs w:val="0"/>
          <w:sz w:val="24"/>
          <w:szCs w:val="24"/>
          <w:lang w:eastAsia="en-GB"/>
        </w:rPr>
      </w:pPr>
      <w:hyperlink w:anchor="_Toc58254429" w:history="1">
        <w:r w:rsidR="00CB0DA6" w:rsidRPr="004F71EC">
          <w:rPr>
            <w:rStyle w:val="Hyperlink"/>
          </w:rPr>
          <w:t>Commonwealth</w:t>
        </w:r>
        <w:r w:rsidR="00CB0DA6">
          <w:rPr>
            <w:webHidden/>
          </w:rPr>
          <w:tab/>
        </w:r>
        <w:r w:rsidR="00CB0DA6">
          <w:rPr>
            <w:webHidden/>
          </w:rPr>
          <w:fldChar w:fldCharType="begin"/>
        </w:r>
        <w:r w:rsidR="00CB0DA6">
          <w:rPr>
            <w:webHidden/>
          </w:rPr>
          <w:instrText xml:space="preserve"> PAGEREF _Toc58254429 \h </w:instrText>
        </w:r>
        <w:r w:rsidR="00CB0DA6">
          <w:rPr>
            <w:webHidden/>
          </w:rPr>
        </w:r>
        <w:r w:rsidR="00CB0DA6">
          <w:rPr>
            <w:webHidden/>
          </w:rPr>
          <w:fldChar w:fldCharType="separate"/>
        </w:r>
        <w:r w:rsidR="00CB0DA6">
          <w:rPr>
            <w:webHidden/>
          </w:rPr>
          <w:t>140</w:t>
        </w:r>
        <w:r w:rsidR="00CB0DA6">
          <w:rPr>
            <w:webHidden/>
          </w:rPr>
          <w:fldChar w:fldCharType="end"/>
        </w:r>
      </w:hyperlink>
    </w:p>
    <w:p w14:paraId="39411096" w14:textId="69BA8D5E" w:rsidR="00CB0DA6" w:rsidRDefault="003F26A6">
      <w:pPr>
        <w:pStyle w:val="TOC2"/>
        <w:rPr>
          <w:rFonts w:eastAsiaTheme="minorEastAsia" w:cstheme="minorBidi"/>
          <w:bCs w:val="0"/>
          <w:sz w:val="24"/>
          <w:szCs w:val="24"/>
          <w:lang w:eastAsia="en-GB"/>
        </w:rPr>
      </w:pPr>
      <w:hyperlink w:anchor="_Toc58254430" w:history="1">
        <w:r w:rsidR="00CB0DA6" w:rsidRPr="004F71EC">
          <w:rPr>
            <w:rStyle w:val="Hyperlink"/>
          </w:rPr>
          <w:t>New South Wales</w:t>
        </w:r>
        <w:r w:rsidR="00CB0DA6">
          <w:rPr>
            <w:webHidden/>
          </w:rPr>
          <w:tab/>
        </w:r>
        <w:r w:rsidR="00CB0DA6">
          <w:rPr>
            <w:webHidden/>
          </w:rPr>
          <w:fldChar w:fldCharType="begin"/>
        </w:r>
        <w:r w:rsidR="00CB0DA6">
          <w:rPr>
            <w:webHidden/>
          </w:rPr>
          <w:instrText xml:space="preserve"> PAGEREF _Toc58254430 \h </w:instrText>
        </w:r>
        <w:r w:rsidR="00CB0DA6">
          <w:rPr>
            <w:webHidden/>
          </w:rPr>
        </w:r>
        <w:r w:rsidR="00CB0DA6">
          <w:rPr>
            <w:webHidden/>
          </w:rPr>
          <w:fldChar w:fldCharType="separate"/>
        </w:r>
        <w:r w:rsidR="00CB0DA6">
          <w:rPr>
            <w:webHidden/>
          </w:rPr>
          <w:t>141</w:t>
        </w:r>
        <w:r w:rsidR="00CB0DA6">
          <w:rPr>
            <w:webHidden/>
          </w:rPr>
          <w:fldChar w:fldCharType="end"/>
        </w:r>
      </w:hyperlink>
    </w:p>
    <w:p w14:paraId="10262396" w14:textId="213B44F4" w:rsidR="00CB0DA6" w:rsidRDefault="003F26A6">
      <w:pPr>
        <w:pStyle w:val="TOC2"/>
        <w:rPr>
          <w:rFonts w:eastAsiaTheme="minorEastAsia" w:cstheme="minorBidi"/>
          <w:bCs w:val="0"/>
          <w:sz w:val="24"/>
          <w:szCs w:val="24"/>
          <w:lang w:eastAsia="en-GB"/>
        </w:rPr>
      </w:pPr>
      <w:hyperlink w:anchor="_Toc58254431" w:history="1">
        <w:r w:rsidR="00CB0DA6" w:rsidRPr="004F71EC">
          <w:rPr>
            <w:rStyle w:val="Hyperlink"/>
          </w:rPr>
          <w:t>Victoria</w:t>
        </w:r>
        <w:r w:rsidR="00CB0DA6">
          <w:rPr>
            <w:webHidden/>
          </w:rPr>
          <w:tab/>
        </w:r>
        <w:r w:rsidR="00CB0DA6">
          <w:rPr>
            <w:webHidden/>
          </w:rPr>
          <w:fldChar w:fldCharType="begin"/>
        </w:r>
        <w:r w:rsidR="00CB0DA6">
          <w:rPr>
            <w:webHidden/>
          </w:rPr>
          <w:instrText xml:space="preserve"> PAGEREF _Toc58254431 \h </w:instrText>
        </w:r>
        <w:r w:rsidR="00CB0DA6">
          <w:rPr>
            <w:webHidden/>
          </w:rPr>
        </w:r>
        <w:r w:rsidR="00CB0DA6">
          <w:rPr>
            <w:webHidden/>
          </w:rPr>
          <w:fldChar w:fldCharType="separate"/>
        </w:r>
        <w:r w:rsidR="00CB0DA6">
          <w:rPr>
            <w:webHidden/>
          </w:rPr>
          <w:t>143</w:t>
        </w:r>
        <w:r w:rsidR="00CB0DA6">
          <w:rPr>
            <w:webHidden/>
          </w:rPr>
          <w:fldChar w:fldCharType="end"/>
        </w:r>
      </w:hyperlink>
    </w:p>
    <w:p w14:paraId="222FE3D9" w14:textId="6BDF8BBC" w:rsidR="00CB0DA6" w:rsidRDefault="003F26A6">
      <w:pPr>
        <w:pStyle w:val="TOC2"/>
        <w:rPr>
          <w:rFonts w:eastAsiaTheme="minorEastAsia" w:cstheme="minorBidi"/>
          <w:bCs w:val="0"/>
          <w:sz w:val="24"/>
          <w:szCs w:val="24"/>
          <w:lang w:eastAsia="en-GB"/>
        </w:rPr>
      </w:pPr>
      <w:hyperlink w:anchor="_Toc58254432" w:history="1">
        <w:r w:rsidR="00CB0DA6" w:rsidRPr="004F71EC">
          <w:rPr>
            <w:rStyle w:val="Hyperlink"/>
          </w:rPr>
          <w:t>Queensland</w:t>
        </w:r>
        <w:r w:rsidR="00CB0DA6">
          <w:rPr>
            <w:webHidden/>
          </w:rPr>
          <w:tab/>
        </w:r>
        <w:r w:rsidR="00CB0DA6">
          <w:rPr>
            <w:webHidden/>
          </w:rPr>
          <w:fldChar w:fldCharType="begin"/>
        </w:r>
        <w:r w:rsidR="00CB0DA6">
          <w:rPr>
            <w:webHidden/>
          </w:rPr>
          <w:instrText xml:space="preserve"> PAGEREF _Toc58254432 \h </w:instrText>
        </w:r>
        <w:r w:rsidR="00CB0DA6">
          <w:rPr>
            <w:webHidden/>
          </w:rPr>
        </w:r>
        <w:r w:rsidR="00CB0DA6">
          <w:rPr>
            <w:webHidden/>
          </w:rPr>
          <w:fldChar w:fldCharType="separate"/>
        </w:r>
        <w:r w:rsidR="00CB0DA6">
          <w:rPr>
            <w:webHidden/>
          </w:rPr>
          <w:t>144</w:t>
        </w:r>
        <w:r w:rsidR="00CB0DA6">
          <w:rPr>
            <w:webHidden/>
          </w:rPr>
          <w:fldChar w:fldCharType="end"/>
        </w:r>
      </w:hyperlink>
    </w:p>
    <w:p w14:paraId="2244B1B5" w14:textId="5BBAF461" w:rsidR="00CB0DA6" w:rsidRDefault="003F26A6">
      <w:pPr>
        <w:pStyle w:val="TOC2"/>
        <w:rPr>
          <w:rFonts w:eastAsiaTheme="minorEastAsia" w:cstheme="minorBidi"/>
          <w:bCs w:val="0"/>
          <w:sz w:val="24"/>
          <w:szCs w:val="24"/>
          <w:lang w:eastAsia="en-GB"/>
        </w:rPr>
      </w:pPr>
      <w:hyperlink w:anchor="_Toc58254433" w:history="1">
        <w:r w:rsidR="00CB0DA6" w:rsidRPr="004F71EC">
          <w:rPr>
            <w:rStyle w:val="Hyperlink"/>
          </w:rPr>
          <w:t>Western Australia</w:t>
        </w:r>
        <w:r w:rsidR="00CB0DA6">
          <w:rPr>
            <w:webHidden/>
          </w:rPr>
          <w:tab/>
        </w:r>
        <w:r w:rsidR="00CB0DA6">
          <w:rPr>
            <w:webHidden/>
          </w:rPr>
          <w:fldChar w:fldCharType="begin"/>
        </w:r>
        <w:r w:rsidR="00CB0DA6">
          <w:rPr>
            <w:webHidden/>
          </w:rPr>
          <w:instrText xml:space="preserve"> PAGEREF _Toc58254433 \h </w:instrText>
        </w:r>
        <w:r w:rsidR="00CB0DA6">
          <w:rPr>
            <w:webHidden/>
          </w:rPr>
        </w:r>
        <w:r w:rsidR="00CB0DA6">
          <w:rPr>
            <w:webHidden/>
          </w:rPr>
          <w:fldChar w:fldCharType="separate"/>
        </w:r>
        <w:r w:rsidR="00CB0DA6">
          <w:rPr>
            <w:webHidden/>
          </w:rPr>
          <w:t>144</w:t>
        </w:r>
        <w:r w:rsidR="00CB0DA6">
          <w:rPr>
            <w:webHidden/>
          </w:rPr>
          <w:fldChar w:fldCharType="end"/>
        </w:r>
      </w:hyperlink>
    </w:p>
    <w:p w14:paraId="4062373C" w14:textId="13942FB9" w:rsidR="00CB0DA6" w:rsidRDefault="003F26A6">
      <w:pPr>
        <w:pStyle w:val="TOC2"/>
        <w:rPr>
          <w:rFonts w:eastAsiaTheme="minorEastAsia" w:cstheme="minorBidi"/>
          <w:bCs w:val="0"/>
          <w:sz w:val="24"/>
          <w:szCs w:val="24"/>
          <w:lang w:eastAsia="en-GB"/>
        </w:rPr>
      </w:pPr>
      <w:hyperlink w:anchor="_Toc58254434" w:history="1">
        <w:r w:rsidR="00CB0DA6" w:rsidRPr="004F71EC">
          <w:rPr>
            <w:rStyle w:val="Hyperlink"/>
          </w:rPr>
          <w:t>South Australia</w:t>
        </w:r>
        <w:r w:rsidR="00CB0DA6">
          <w:rPr>
            <w:webHidden/>
          </w:rPr>
          <w:tab/>
        </w:r>
        <w:r w:rsidR="00CB0DA6">
          <w:rPr>
            <w:webHidden/>
          </w:rPr>
          <w:fldChar w:fldCharType="begin"/>
        </w:r>
        <w:r w:rsidR="00CB0DA6">
          <w:rPr>
            <w:webHidden/>
          </w:rPr>
          <w:instrText xml:space="preserve"> PAGEREF _Toc58254434 \h </w:instrText>
        </w:r>
        <w:r w:rsidR="00CB0DA6">
          <w:rPr>
            <w:webHidden/>
          </w:rPr>
        </w:r>
        <w:r w:rsidR="00CB0DA6">
          <w:rPr>
            <w:webHidden/>
          </w:rPr>
          <w:fldChar w:fldCharType="separate"/>
        </w:r>
        <w:r w:rsidR="00CB0DA6">
          <w:rPr>
            <w:webHidden/>
          </w:rPr>
          <w:t>145</w:t>
        </w:r>
        <w:r w:rsidR="00CB0DA6">
          <w:rPr>
            <w:webHidden/>
          </w:rPr>
          <w:fldChar w:fldCharType="end"/>
        </w:r>
      </w:hyperlink>
    </w:p>
    <w:p w14:paraId="12EDC168" w14:textId="77CB375D" w:rsidR="00CB0DA6" w:rsidRDefault="003F26A6">
      <w:pPr>
        <w:pStyle w:val="TOC2"/>
        <w:rPr>
          <w:rFonts w:eastAsiaTheme="minorEastAsia" w:cstheme="minorBidi"/>
          <w:bCs w:val="0"/>
          <w:sz w:val="24"/>
          <w:szCs w:val="24"/>
          <w:lang w:eastAsia="en-GB"/>
        </w:rPr>
      </w:pPr>
      <w:hyperlink w:anchor="_Toc58254435" w:history="1">
        <w:r w:rsidR="00CB0DA6" w:rsidRPr="004F71EC">
          <w:rPr>
            <w:rStyle w:val="Hyperlink"/>
          </w:rPr>
          <w:t>Tasmania</w:t>
        </w:r>
        <w:r w:rsidR="00CB0DA6">
          <w:rPr>
            <w:webHidden/>
          </w:rPr>
          <w:tab/>
        </w:r>
        <w:r w:rsidR="00CB0DA6">
          <w:rPr>
            <w:webHidden/>
          </w:rPr>
          <w:fldChar w:fldCharType="begin"/>
        </w:r>
        <w:r w:rsidR="00CB0DA6">
          <w:rPr>
            <w:webHidden/>
          </w:rPr>
          <w:instrText xml:space="preserve"> PAGEREF _Toc58254435 \h </w:instrText>
        </w:r>
        <w:r w:rsidR="00CB0DA6">
          <w:rPr>
            <w:webHidden/>
          </w:rPr>
        </w:r>
        <w:r w:rsidR="00CB0DA6">
          <w:rPr>
            <w:webHidden/>
          </w:rPr>
          <w:fldChar w:fldCharType="separate"/>
        </w:r>
        <w:r w:rsidR="00CB0DA6">
          <w:rPr>
            <w:webHidden/>
          </w:rPr>
          <w:t>146</w:t>
        </w:r>
        <w:r w:rsidR="00CB0DA6">
          <w:rPr>
            <w:webHidden/>
          </w:rPr>
          <w:fldChar w:fldCharType="end"/>
        </w:r>
      </w:hyperlink>
    </w:p>
    <w:p w14:paraId="462166A2" w14:textId="39DCF49D" w:rsidR="00CB0DA6" w:rsidRDefault="003F26A6">
      <w:pPr>
        <w:pStyle w:val="TOC2"/>
        <w:rPr>
          <w:rFonts w:eastAsiaTheme="minorEastAsia" w:cstheme="minorBidi"/>
          <w:bCs w:val="0"/>
          <w:sz w:val="24"/>
          <w:szCs w:val="24"/>
          <w:lang w:eastAsia="en-GB"/>
        </w:rPr>
      </w:pPr>
      <w:hyperlink w:anchor="_Toc58254436" w:history="1">
        <w:r w:rsidR="00CB0DA6" w:rsidRPr="004F71EC">
          <w:rPr>
            <w:rStyle w:val="Hyperlink"/>
          </w:rPr>
          <w:t>Australian Capital Territory</w:t>
        </w:r>
        <w:r w:rsidR="00CB0DA6">
          <w:rPr>
            <w:webHidden/>
          </w:rPr>
          <w:tab/>
        </w:r>
        <w:r w:rsidR="00CB0DA6">
          <w:rPr>
            <w:webHidden/>
          </w:rPr>
          <w:fldChar w:fldCharType="begin"/>
        </w:r>
        <w:r w:rsidR="00CB0DA6">
          <w:rPr>
            <w:webHidden/>
          </w:rPr>
          <w:instrText xml:space="preserve"> PAGEREF _Toc58254436 \h </w:instrText>
        </w:r>
        <w:r w:rsidR="00CB0DA6">
          <w:rPr>
            <w:webHidden/>
          </w:rPr>
        </w:r>
        <w:r w:rsidR="00CB0DA6">
          <w:rPr>
            <w:webHidden/>
          </w:rPr>
          <w:fldChar w:fldCharType="separate"/>
        </w:r>
        <w:r w:rsidR="00CB0DA6">
          <w:rPr>
            <w:webHidden/>
          </w:rPr>
          <w:t>148</w:t>
        </w:r>
        <w:r w:rsidR="00CB0DA6">
          <w:rPr>
            <w:webHidden/>
          </w:rPr>
          <w:fldChar w:fldCharType="end"/>
        </w:r>
      </w:hyperlink>
    </w:p>
    <w:p w14:paraId="0A6B2301" w14:textId="5488723A" w:rsidR="00CB0DA6" w:rsidRDefault="003F26A6">
      <w:pPr>
        <w:pStyle w:val="TOC2"/>
        <w:rPr>
          <w:rFonts w:eastAsiaTheme="minorEastAsia" w:cstheme="minorBidi"/>
          <w:bCs w:val="0"/>
          <w:sz w:val="24"/>
          <w:szCs w:val="24"/>
          <w:lang w:eastAsia="en-GB"/>
        </w:rPr>
      </w:pPr>
      <w:hyperlink w:anchor="_Toc58254437" w:history="1">
        <w:r w:rsidR="00CB0DA6" w:rsidRPr="004F71EC">
          <w:rPr>
            <w:rStyle w:val="Hyperlink"/>
          </w:rPr>
          <w:t>Northern Territory</w:t>
        </w:r>
        <w:r w:rsidR="00CB0DA6">
          <w:rPr>
            <w:webHidden/>
          </w:rPr>
          <w:tab/>
        </w:r>
        <w:r w:rsidR="00CB0DA6">
          <w:rPr>
            <w:webHidden/>
          </w:rPr>
          <w:fldChar w:fldCharType="begin"/>
        </w:r>
        <w:r w:rsidR="00CB0DA6">
          <w:rPr>
            <w:webHidden/>
          </w:rPr>
          <w:instrText xml:space="preserve"> PAGEREF _Toc58254437 \h </w:instrText>
        </w:r>
        <w:r w:rsidR="00CB0DA6">
          <w:rPr>
            <w:webHidden/>
          </w:rPr>
        </w:r>
        <w:r w:rsidR="00CB0DA6">
          <w:rPr>
            <w:webHidden/>
          </w:rPr>
          <w:fldChar w:fldCharType="separate"/>
        </w:r>
        <w:r w:rsidR="00CB0DA6">
          <w:rPr>
            <w:webHidden/>
          </w:rPr>
          <w:t>149</w:t>
        </w:r>
        <w:r w:rsidR="00CB0DA6">
          <w:rPr>
            <w:webHidden/>
          </w:rPr>
          <w:fldChar w:fldCharType="end"/>
        </w:r>
      </w:hyperlink>
    </w:p>
    <w:p w14:paraId="5F7E9178" w14:textId="4B2AA226" w:rsidR="007D495D" w:rsidRPr="009408AB" w:rsidRDefault="00CC4679" w:rsidP="00CB0DA6">
      <w:pPr>
        <w:pStyle w:val="Heading2"/>
      </w:pPr>
      <w:r>
        <w:fldChar w:fldCharType="end"/>
      </w:r>
    </w:p>
    <w:p w14:paraId="7ACB4F3B" w14:textId="77777777" w:rsidR="007D495D" w:rsidRDefault="007D495D">
      <w:pPr>
        <w:rPr>
          <w:rFonts w:ascii="Calibri" w:hAnsi="Calibri" w:cs="Calibri"/>
          <w:color w:val="474747"/>
          <w:sz w:val="36"/>
          <w:szCs w:val="48"/>
        </w:rPr>
      </w:pPr>
      <w:r>
        <w:br w:type="page"/>
      </w:r>
    </w:p>
    <w:p w14:paraId="6CD06CCD" w14:textId="038E088A" w:rsidR="007D495D" w:rsidRDefault="007D495D">
      <w:pPr>
        <w:rPr>
          <w:rFonts w:ascii="Times" w:hAnsi="Times" w:cs="Times"/>
          <w:color w:val="000000"/>
          <w:sz w:val="16"/>
          <w:szCs w:val="16"/>
        </w:rPr>
      </w:pPr>
      <w:r>
        <w:rPr>
          <w:rFonts w:ascii="Times" w:hAnsi="Times" w:cs="Times"/>
          <w:color w:val="000000"/>
          <w:sz w:val="16"/>
          <w:szCs w:val="16"/>
        </w:rPr>
        <w:lastRenderedPageBreak/>
        <w:br w:type="page"/>
      </w:r>
    </w:p>
    <w:p w14:paraId="5ACD81C3" w14:textId="77777777" w:rsidR="007D495D" w:rsidRPr="009408AB" w:rsidRDefault="007D495D" w:rsidP="00430022">
      <w:pPr>
        <w:pStyle w:val="Heading1"/>
      </w:pPr>
      <w:bookmarkStart w:id="6" w:name="_Toc58254360"/>
      <w:r w:rsidRPr="009408AB">
        <w:lastRenderedPageBreak/>
        <w:t>Overview</w:t>
      </w:r>
      <w:bookmarkEnd w:id="6"/>
    </w:p>
    <w:p w14:paraId="18F806AF"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About the National Environment Protection Council</w:t>
      </w:r>
    </w:p>
    <w:p w14:paraId="7E25302D"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In 1992, the Commonwealth and the states and territories entered into an Intergovernmental Agreement on the Environment, providing for the establishment of a body to determine national environment protection measures. This resulted in the creation of the</w:t>
      </w:r>
      <w:r w:rsidRPr="007D495D">
        <w:rPr>
          <w:rFonts w:ascii="Times" w:hAnsi="Times" w:cs="Times"/>
          <w:i/>
          <w:iCs/>
          <w:color w:val="000000"/>
          <w:sz w:val="16"/>
          <w:szCs w:val="16"/>
        </w:rPr>
        <w:t xml:space="preserve"> National Environment Protection Council Act 1994</w:t>
      </w:r>
      <w:r w:rsidRPr="007D495D">
        <w:rPr>
          <w:rFonts w:ascii="Times" w:hAnsi="Times" w:cs="Times"/>
          <w:color w:val="000000"/>
          <w:sz w:val="16"/>
          <w:szCs w:val="16"/>
        </w:rPr>
        <w:t xml:space="preserve"> (</w:t>
      </w:r>
      <w:proofErr w:type="spellStart"/>
      <w:r w:rsidRPr="007D495D">
        <w:rPr>
          <w:rFonts w:ascii="Times" w:hAnsi="Times" w:cs="Times"/>
          <w:color w:val="000000"/>
          <w:sz w:val="16"/>
          <w:szCs w:val="16"/>
        </w:rPr>
        <w:t>Cth</w:t>
      </w:r>
      <w:proofErr w:type="spellEnd"/>
      <w:r w:rsidRPr="007D495D">
        <w:rPr>
          <w:rFonts w:ascii="Times" w:hAnsi="Times" w:cs="Times"/>
          <w:color w:val="000000"/>
          <w:sz w:val="16"/>
          <w:szCs w:val="16"/>
        </w:rPr>
        <w:t xml:space="preserve">) (the NEPC Act), which formally established the National Environment Protection Council as a body in 1995. Each state and territory </w:t>
      </w:r>
      <w:proofErr w:type="gramStart"/>
      <w:r w:rsidRPr="007D495D">
        <w:rPr>
          <w:rFonts w:ascii="Times" w:hAnsi="Times" w:cs="Times"/>
          <w:color w:val="000000"/>
          <w:sz w:val="16"/>
          <w:szCs w:val="16"/>
        </w:rPr>
        <w:t>has</w:t>
      </w:r>
      <w:proofErr w:type="gramEnd"/>
      <w:r w:rsidRPr="007D495D">
        <w:rPr>
          <w:rFonts w:ascii="Times" w:hAnsi="Times" w:cs="Times"/>
          <w:color w:val="000000"/>
          <w:sz w:val="16"/>
          <w:szCs w:val="16"/>
        </w:rPr>
        <w:t xml:space="preserve"> enacted mirror legislation. The Council consists of environment ministers from all jurisdictions, including the Commonwealth.</w:t>
      </w:r>
    </w:p>
    <w:p w14:paraId="73B62EEC"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objects of the NEPC Act are to ensure that, through the establishment and operation of the Council:</w:t>
      </w:r>
    </w:p>
    <w:p w14:paraId="2F330840"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people enjoy the benefit of equivalent protection from air, water or soil pollution and from noise, wherever they live in Australia</w:t>
      </w:r>
    </w:p>
    <w:p w14:paraId="53D0441C"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decisions of the business community are not distorted, and markets are not fragmented, by variations between participating jurisdictions in relation to the adoption or implementation of major environment protection measures.</w:t>
      </w:r>
    </w:p>
    <w:p w14:paraId="77D1BD3C"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Council has two primary functions under the NEPC Act:</w:t>
      </w:r>
    </w:p>
    <w:p w14:paraId="4455A98C"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1.</w:t>
      </w:r>
      <w:r w:rsidRPr="007D495D">
        <w:rPr>
          <w:rFonts w:ascii="Times" w:hAnsi="Times" w:cs="Times"/>
          <w:color w:val="000000"/>
          <w:sz w:val="16"/>
          <w:szCs w:val="16"/>
        </w:rPr>
        <w:tab/>
        <w:t>to make National Environment Protection Measures</w:t>
      </w:r>
    </w:p>
    <w:p w14:paraId="2556385A"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2.</w:t>
      </w:r>
      <w:r w:rsidRPr="007D495D">
        <w:rPr>
          <w:rFonts w:ascii="Times" w:hAnsi="Times" w:cs="Times"/>
          <w:color w:val="000000"/>
          <w:sz w:val="16"/>
          <w:szCs w:val="16"/>
        </w:rPr>
        <w:tab/>
        <w:t>to assess and report on the implementation and effectiveness of National Environment Protection Measures in participating jurisdictions.</w:t>
      </w:r>
    </w:p>
    <w:p w14:paraId="77BC9C06"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National Environment Protection Measures are a set of legislative instruments designed to assist in protecting or managing particular aspects of the environment, in a uniform and consistent way across all jurisdictions.</w:t>
      </w:r>
    </w:p>
    <w:p w14:paraId="19BA8F6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Since 1 July 2014 the Council has received operational, administrative and corporate support from the NEPC Business Services Team within the former Australian Government Department of the Environment and Energy (the Department). This followed decisions to abolish the Standing Council on the Environment and Water in 2013 and the NEPC Service Corporation in 2014.</w:t>
      </w:r>
    </w:p>
    <w:p w14:paraId="251B9086"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The National Environment Protection Council Committee</w:t>
      </w:r>
    </w:p>
    <w:p w14:paraId="2D842A11"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National Environment Protection Council (NEPC) Committee was established under the NEPC Act. The Committee consists of a NEPC Executive Officer, and a nominee of each member of the Council. The Committee is responsible for:</w:t>
      </w:r>
    </w:p>
    <w:p w14:paraId="424E894B"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assisting and advising the Council in the performance of its functions</w:t>
      </w:r>
    </w:p>
    <w:p w14:paraId="59F5E826"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supporting the Council in implementing the NEPC Act</w:t>
      </w:r>
    </w:p>
    <w:p w14:paraId="49D7D4D8"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overseeing the management of the Council’s budget.</w:t>
      </w:r>
    </w:p>
    <w:p w14:paraId="780D308A"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The National Environment Protection Council Executive Officer</w:t>
      </w:r>
    </w:p>
    <w:p w14:paraId="2D0C28AD"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The NEPC Act requires the appointment of a NEPC Executive Officer by the Council, for a period not exceeding five years. The Executive Officer is required to provide assistance and support to the Council and the Committee. </w:t>
      </w:r>
    </w:p>
    <w:p w14:paraId="46814924"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The NEPC Executive Officer for the 2018–19 reporting year, was Mr Adam </w:t>
      </w:r>
      <w:proofErr w:type="spellStart"/>
      <w:r w:rsidRPr="007D495D">
        <w:rPr>
          <w:rFonts w:ascii="Times" w:hAnsi="Times" w:cs="Times"/>
          <w:color w:val="000000"/>
          <w:sz w:val="16"/>
          <w:szCs w:val="16"/>
        </w:rPr>
        <w:t>Carlon</w:t>
      </w:r>
      <w:proofErr w:type="spellEnd"/>
      <w:r w:rsidRPr="007D495D">
        <w:rPr>
          <w:rFonts w:ascii="Times" w:hAnsi="Times" w:cs="Times"/>
          <w:color w:val="000000"/>
          <w:sz w:val="16"/>
          <w:szCs w:val="16"/>
        </w:rPr>
        <w:t>.</w:t>
      </w:r>
    </w:p>
    <w:p w14:paraId="6D68A926"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Inter-jurisdictional relationships</w:t>
      </w:r>
    </w:p>
    <w:p w14:paraId="632E1608"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Meeting of Environment Ministers is an ad hoc forum, consisting of environment ministers from each jurisdiction including the Commonwealth. The Meeting of Environment Ministers is the primary multi-jurisdictional forum in which national environmental issues are considered. As membership of the Council also consists of all Australian environment ministers, the Meetings of Environment Ministers are held in conjunction with meetings of the Council.</w:t>
      </w:r>
    </w:p>
    <w:p w14:paraId="7A101B3A"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Governance structure of the Council and the Meeting of Environment Ministers</w:t>
      </w:r>
    </w:p>
    <w:p w14:paraId="56F1769B"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following streamlined approach to multi-jurisdictional environmental work has been agreed by Environment Ministers:</w:t>
      </w:r>
    </w:p>
    <w:p w14:paraId="085FFFF0"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Meetings of Environment Ministers are to occur on an ad hoc basis and run concurrently with meetings of the National Environment Protection Council as required. Agendas are to be focused on issues requiring multi-jurisdictional collaboration or decision.</w:t>
      </w:r>
    </w:p>
    <w:p w14:paraId="65EA55AE"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Meetings of the heads of jurisdictional environment agencies (Senior Officials Group) are to be held on a regular basis—at least annually, and concurrently with NEPC Committee meetings.</w:t>
      </w:r>
    </w:p>
    <w:p w14:paraId="69E5D697"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lastRenderedPageBreak/>
        <w:t>•</w:t>
      </w:r>
      <w:r w:rsidRPr="007D495D">
        <w:rPr>
          <w:rFonts w:ascii="Times" w:hAnsi="Times" w:cs="Times"/>
          <w:color w:val="000000"/>
          <w:sz w:val="16"/>
          <w:szCs w:val="16"/>
        </w:rPr>
        <w:tab/>
        <w:t>Ongoing communication between the Senior Officials/NEPC Committee groups and the Heads of Environmental Protection Agencies network. Where relevant, the Heads of Environment Protection Agencies may be asked to take a role in progressing agenda items for the Senior Officials/NEPC Committee groups.</w:t>
      </w:r>
    </w:p>
    <w:p w14:paraId="31664BA7"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New Zealand and the Australian Local Government Association are represented by invitation to Meetings of Environment Ministers when relevant subject matter is to be discussed.</w:t>
      </w:r>
    </w:p>
    <w:p w14:paraId="3C71159E"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 xml:space="preserve">About National Environment Protection Measures </w:t>
      </w:r>
    </w:p>
    <w:p w14:paraId="595720F8"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NEPC Act recognises the importance of communities and business in protecting Australia’s environment, and that national outcomes are best achieved through regionally tailored approaches.</w:t>
      </w:r>
    </w:p>
    <w:p w14:paraId="7E98AA60"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National Environment Protection Measures (NEPMs), created under the NEPC Act, provide an agreed nationally consistent framework of goals, standards, guidelines and protocols for protecting and managing particular aspects of the environment, including air, water, noise, site contamination, hazardous waste and recycling. A NEPM is a Commonwealth legislative instrument. Once a NEPM is made or varied, its implementation is the prerogative of each jurisdiction. Regulation is just one of a </w:t>
      </w:r>
      <w:proofErr w:type="gramStart"/>
      <w:r w:rsidRPr="007D495D">
        <w:rPr>
          <w:rFonts w:ascii="Times" w:hAnsi="Times" w:cs="Times"/>
          <w:color w:val="000000"/>
          <w:sz w:val="16"/>
          <w:szCs w:val="16"/>
        </w:rPr>
        <w:t>suite</w:t>
      </w:r>
      <w:proofErr w:type="gramEnd"/>
      <w:r w:rsidRPr="007D495D">
        <w:rPr>
          <w:rFonts w:ascii="Times" w:hAnsi="Times" w:cs="Times"/>
          <w:color w:val="000000"/>
          <w:sz w:val="16"/>
          <w:szCs w:val="16"/>
        </w:rPr>
        <w:t xml:space="preserve"> of implementation tools a jurisdiction may use. </w:t>
      </w:r>
    </w:p>
    <w:p w14:paraId="41CD0E60"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National Environment Protection Measures provide a single national framework to address one or more environmental issues, with the flexibility for local implementation to take into account variability between jurisdictions. This provides certainty and consistency for business and the community in the management of these environmental issues, while reducing the need for regulation.</w:t>
      </w:r>
    </w:p>
    <w:p w14:paraId="72AD491F"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There are seven National Environment Protection Measures:</w:t>
      </w:r>
    </w:p>
    <w:p w14:paraId="7CDB18B4"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i/>
          <w:iCs/>
          <w:color w:val="000000"/>
          <w:sz w:val="16"/>
          <w:szCs w:val="16"/>
        </w:rPr>
        <w:t>Air Toxics</w:t>
      </w:r>
      <w:r w:rsidRPr="007D495D">
        <w:rPr>
          <w:rFonts w:ascii="Times" w:hAnsi="Times" w:cs="Times"/>
          <w:color w:val="000000"/>
          <w:sz w:val="16"/>
          <w:szCs w:val="16"/>
        </w:rPr>
        <w:t>—sets out a nationally consistent approach to collection of data on toxic air pollutants (such as benzene) in order to deliver a comprehensive information base from which standards can be developed to manage these air pollutants to protect human health.</w:t>
      </w:r>
    </w:p>
    <w:p w14:paraId="7C4FA7B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i/>
          <w:iCs/>
          <w:color w:val="000000"/>
          <w:sz w:val="16"/>
          <w:szCs w:val="16"/>
        </w:rPr>
        <w:t>Ambient Air Quality</w:t>
      </w:r>
      <w:r w:rsidRPr="007D495D">
        <w:rPr>
          <w:rFonts w:ascii="Times" w:hAnsi="Times" w:cs="Times"/>
          <w:color w:val="000000"/>
          <w:sz w:val="16"/>
          <w:szCs w:val="16"/>
        </w:rPr>
        <w:t xml:space="preserve">—establishes a nationally consistent framework for monitoring and reporting on air quality, including the presence of six pollutants - carbon monoxide, lead, particulates, nitrogen dioxide, </w:t>
      </w:r>
      <w:proofErr w:type="spellStart"/>
      <w:r w:rsidRPr="007D495D">
        <w:rPr>
          <w:rFonts w:ascii="Times" w:hAnsi="Times" w:cs="Times"/>
          <w:color w:val="000000"/>
          <w:sz w:val="16"/>
          <w:szCs w:val="16"/>
        </w:rPr>
        <w:t>sulfur</w:t>
      </w:r>
      <w:proofErr w:type="spellEnd"/>
      <w:r w:rsidRPr="007D495D">
        <w:rPr>
          <w:rFonts w:ascii="Times" w:hAnsi="Times" w:cs="Times"/>
          <w:color w:val="000000"/>
          <w:sz w:val="16"/>
          <w:szCs w:val="16"/>
        </w:rPr>
        <w:t xml:space="preserve"> dioxide and ozone. </w:t>
      </w:r>
    </w:p>
    <w:p w14:paraId="16E1770A"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i/>
          <w:iCs/>
          <w:color w:val="000000"/>
          <w:sz w:val="16"/>
          <w:szCs w:val="16"/>
        </w:rPr>
        <w:t>Assessment of Site Contamination</w:t>
      </w:r>
      <w:r w:rsidRPr="007D495D">
        <w:rPr>
          <w:rFonts w:ascii="Times" w:hAnsi="Times" w:cs="Times"/>
          <w:color w:val="000000"/>
          <w:sz w:val="16"/>
          <w:szCs w:val="16"/>
        </w:rPr>
        <w:t xml:space="preserve">—provides a nationally consistent approach to the assessment of site contamination to ensure sound environmental management practices by regulators, site assessors, environmental auditors, landowners, developers and industry. It provides authoritative guidance to practitioners in this field. </w:t>
      </w:r>
    </w:p>
    <w:p w14:paraId="62A07B98"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i/>
          <w:iCs/>
          <w:color w:val="000000"/>
          <w:sz w:val="16"/>
          <w:szCs w:val="16"/>
        </w:rPr>
        <w:t>Diesel Vehicle Emissions</w:t>
      </w:r>
      <w:r w:rsidRPr="007D495D">
        <w:rPr>
          <w:rFonts w:ascii="Times" w:hAnsi="Times" w:cs="Times"/>
          <w:color w:val="000000"/>
          <w:sz w:val="16"/>
          <w:szCs w:val="16"/>
        </w:rPr>
        <w:t xml:space="preserve">—supports reducing pollution from diesel vehicles. Several jurisdictions operate a suite of programs to reduce exhaust emissions from diesel vehicles. </w:t>
      </w:r>
    </w:p>
    <w:p w14:paraId="41B26291"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i/>
          <w:iCs/>
          <w:color w:val="000000"/>
          <w:sz w:val="16"/>
          <w:szCs w:val="16"/>
        </w:rPr>
        <w:t>Movement of Controlled Waste</w:t>
      </w:r>
      <w:r w:rsidRPr="007D495D">
        <w:rPr>
          <w:rFonts w:ascii="Times" w:hAnsi="Times" w:cs="Times"/>
          <w:color w:val="000000"/>
          <w:sz w:val="16"/>
          <w:szCs w:val="16"/>
        </w:rPr>
        <w:t>—operates to minimise potential environmental and human health impacts related to the movement of certain waste materials, by ensuring that waste to be moved between states and territories is properly identified, transported and handled in ways consistent with environmentally-sound management practices.</w:t>
      </w:r>
    </w:p>
    <w:p w14:paraId="737C212D"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i/>
          <w:iCs/>
          <w:color w:val="000000"/>
          <w:sz w:val="16"/>
          <w:szCs w:val="16"/>
        </w:rPr>
        <w:t>National Pollutant Inventory</w:t>
      </w:r>
      <w:r w:rsidRPr="007D495D">
        <w:rPr>
          <w:rFonts w:ascii="Times" w:hAnsi="Times" w:cs="Times"/>
          <w:color w:val="000000"/>
          <w:sz w:val="16"/>
          <w:szCs w:val="16"/>
        </w:rPr>
        <w:t>—provides a framework for collection and dissemination of information to improve ambient air and water quality, minimise environmental impacts associated with hazardous wastes and improve the sustainable use of resources.</w:t>
      </w:r>
    </w:p>
    <w:p w14:paraId="7C11A6A4"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i/>
          <w:iCs/>
          <w:color w:val="000000"/>
          <w:sz w:val="16"/>
          <w:szCs w:val="16"/>
        </w:rPr>
        <w:t>Used Packaging Materials</w:t>
      </w:r>
      <w:r w:rsidRPr="007D495D">
        <w:rPr>
          <w:rFonts w:ascii="Times" w:hAnsi="Times" w:cs="Times"/>
          <w:color w:val="000000"/>
          <w:sz w:val="16"/>
          <w:szCs w:val="16"/>
        </w:rPr>
        <w:t xml:space="preserve">—operates to minimise environmental impacts of packaging materials, through design (optimising packaging to use resources more efficiently), recycling (efficiently collecting and recycling packaging) and product stewardship (demonstrating commitment by stakeholders). </w:t>
      </w:r>
    </w:p>
    <w:p w14:paraId="4C32E5FA"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Governance</w:t>
      </w:r>
    </w:p>
    <w:p w14:paraId="57AD8029"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Financial management, work health and safety matters, fraud compliance and risk management are all covered by both the Commonwealth and the Department’s policies and procedures and are reported against in the Department’s annual report. </w:t>
      </w:r>
    </w:p>
    <w:p w14:paraId="361A84A7"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No freedom of information requests </w:t>
      </w:r>
      <w:proofErr w:type="gramStart"/>
      <w:r w:rsidRPr="007D495D">
        <w:rPr>
          <w:rFonts w:ascii="Times" w:hAnsi="Times" w:cs="Times"/>
          <w:color w:val="000000"/>
          <w:sz w:val="16"/>
          <w:szCs w:val="16"/>
        </w:rPr>
        <w:t>were</w:t>
      </w:r>
      <w:proofErr w:type="gramEnd"/>
      <w:r w:rsidRPr="007D495D">
        <w:rPr>
          <w:rFonts w:ascii="Times" w:hAnsi="Times" w:cs="Times"/>
          <w:color w:val="000000"/>
          <w:sz w:val="16"/>
          <w:szCs w:val="16"/>
        </w:rPr>
        <w:t xml:space="preserve"> received during the reporting year. </w:t>
      </w:r>
    </w:p>
    <w:p w14:paraId="325FD9C1"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Financial performance</w:t>
      </w:r>
    </w:p>
    <w:p w14:paraId="223187D9"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Detailed financial matters are contained in the financial statements within the Department of the Environment and Energy 2018–19 annual report. </w:t>
      </w:r>
    </w:p>
    <w:p w14:paraId="6135554A"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Procurement and consultancies</w:t>
      </w:r>
    </w:p>
    <w:p w14:paraId="5615E055"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All such activities are undertaken in accordance with relevant Commonwealth requirements, including legislation, policies and procedures. The NEPC business services section strives to ensure the core principle of value for money in all of the NEPC procurement activities.</w:t>
      </w:r>
    </w:p>
    <w:p w14:paraId="204BFEAA" w14:textId="4A52B3A6" w:rsid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w:t>
      </w:r>
    </w:p>
    <w:p w14:paraId="61C2B1DB" w14:textId="77777777" w:rsidR="007D495D" w:rsidRDefault="007D495D">
      <w:pPr>
        <w:rPr>
          <w:rFonts w:ascii="Times" w:hAnsi="Times" w:cs="Times"/>
          <w:color w:val="000000"/>
          <w:sz w:val="16"/>
          <w:szCs w:val="16"/>
        </w:rPr>
      </w:pPr>
      <w:r>
        <w:rPr>
          <w:rFonts w:ascii="Times" w:hAnsi="Times" w:cs="Times"/>
          <w:color w:val="000000"/>
          <w:sz w:val="16"/>
          <w:szCs w:val="16"/>
        </w:rPr>
        <w:br w:type="page"/>
      </w:r>
    </w:p>
    <w:p w14:paraId="32FE41A1" w14:textId="6853D180" w:rsidR="007D495D" w:rsidRPr="00CB0DA6" w:rsidRDefault="007D495D" w:rsidP="00CB0DA6">
      <w:pPr>
        <w:pStyle w:val="Heading1"/>
        <w:rPr>
          <w:sz w:val="32"/>
          <w:szCs w:val="32"/>
        </w:rPr>
      </w:pPr>
      <w:r w:rsidRPr="00CB0DA6">
        <w:rPr>
          <w:sz w:val="32"/>
          <w:szCs w:val="32"/>
        </w:rPr>
        <w:lastRenderedPageBreak/>
        <w:t xml:space="preserve">NEPC report on the implementation of the </w:t>
      </w:r>
      <w:bookmarkStart w:id="7" w:name="_Toc58254361"/>
      <w:r w:rsidR="00CB0DA6">
        <w:rPr>
          <w:sz w:val="32"/>
          <w:szCs w:val="32"/>
        </w:rPr>
        <w:br/>
      </w:r>
      <w:r w:rsidRPr="00CB0DA6">
        <w:t xml:space="preserve">National Environment Protection </w:t>
      </w:r>
      <w:r w:rsidRPr="00CB0DA6">
        <w:br/>
        <w:t>(Air Toxics) Measure</w:t>
      </w:r>
      <w:bookmarkEnd w:id="7"/>
    </w:p>
    <w:p w14:paraId="692FAF3B"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1 – General Information</w:t>
      </w:r>
    </w:p>
    <w:p w14:paraId="65625129"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NEPM details</w:t>
      </w:r>
    </w:p>
    <w:p w14:paraId="07D06CDC"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 xml:space="preserve">Title: </w:t>
      </w:r>
      <w:r w:rsidRPr="007D495D">
        <w:rPr>
          <w:rFonts w:ascii="Times" w:hAnsi="Times" w:cs="Times"/>
          <w:color w:val="000000"/>
          <w:sz w:val="16"/>
          <w:szCs w:val="16"/>
        </w:rPr>
        <w:t>National Environment Protection (Air Toxics) Measure.</w:t>
      </w:r>
    </w:p>
    <w:p w14:paraId="61ECFB07"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 xml:space="preserve">Made by Council: </w:t>
      </w:r>
      <w:r w:rsidRPr="007D495D">
        <w:rPr>
          <w:rFonts w:ascii="Times" w:hAnsi="Times" w:cs="Times"/>
          <w:color w:val="000000"/>
          <w:sz w:val="16"/>
          <w:szCs w:val="16"/>
        </w:rPr>
        <w:t>3 December 2004.</w:t>
      </w:r>
    </w:p>
    <w:p w14:paraId="5B6723D8"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 xml:space="preserve">Commencement date: </w:t>
      </w:r>
      <w:r w:rsidRPr="007D495D">
        <w:rPr>
          <w:rFonts w:ascii="Times" w:hAnsi="Times" w:cs="Times"/>
          <w:color w:val="000000"/>
          <w:sz w:val="16"/>
          <w:szCs w:val="16"/>
        </w:rPr>
        <w:t>20 December 2004 (advertised in Commonwealth of Australia Special Gazette No. S 52904, 20 December 2004).</w:t>
      </w:r>
    </w:p>
    <w:p w14:paraId="1ED6E951"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NEPM goal (or purpose)</w:t>
      </w:r>
    </w:p>
    <w:p w14:paraId="35C185B8"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goal of the National Environment Protection (Air Toxics) Measure is set out in clause 5 of the measure:</w:t>
      </w:r>
    </w:p>
    <w:p w14:paraId="5C33ADA6" w14:textId="77777777" w:rsidR="007D495D" w:rsidRPr="007D495D" w:rsidRDefault="007D495D" w:rsidP="007D495D">
      <w:pPr>
        <w:suppressAutoHyphens/>
        <w:autoSpaceDE w:val="0"/>
        <w:autoSpaceDN w:val="0"/>
        <w:adjustRightInd w:val="0"/>
        <w:spacing w:after="113" w:line="288" w:lineRule="auto"/>
        <w:ind w:left="340" w:right="340"/>
        <w:textAlignment w:val="center"/>
        <w:rPr>
          <w:rFonts w:ascii="Times" w:hAnsi="Times" w:cs="Times"/>
          <w:i/>
          <w:iCs/>
          <w:color w:val="000000"/>
          <w:sz w:val="16"/>
          <w:szCs w:val="16"/>
        </w:rPr>
      </w:pPr>
      <w:r w:rsidRPr="007D495D">
        <w:rPr>
          <w:rFonts w:ascii="Times" w:hAnsi="Times" w:cs="Times"/>
          <w:i/>
          <w:iCs/>
          <w:color w:val="000000"/>
          <w:sz w:val="16"/>
          <w:szCs w:val="16"/>
        </w:rPr>
        <w:t>The national environment protection goal of this Measure is to improve the information base regarding ambient air toxics within the Australian environment in order to facilitate the development of standards following a Review of the Measure within eight years of its making.</w:t>
      </w:r>
    </w:p>
    <w:p w14:paraId="45998FEC"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Desired environmental outcomes</w:t>
      </w:r>
    </w:p>
    <w:p w14:paraId="2F3329AD"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desired environmental outcome of the National Environment Protection (Air Toxics) Measure is set out in clause 6 of the measure:</w:t>
      </w:r>
    </w:p>
    <w:p w14:paraId="58D29CA0" w14:textId="77777777" w:rsidR="007D495D" w:rsidRPr="007D495D" w:rsidRDefault="007D495D" w:rsidP="007D495D">
      <w:pPr>
        <w:suppressAutoHyphens/>
        <w:autoSpaceDE w:val="0"/>
        <w:autoSpaceDN w:val="0"/>
        <w:adjustRightInd w:val="0"/>
        <w:spacing w:after="113" w:line="288" w:lineRule="auto"/>
        <w:ind w:left="680" w:hanging="340"/>
        <w:textAlignment w:val="center"/>
        <w:rPr>
          <w:rFonts w:ascii="Times" w:hAnsi="Times" w:cs="Times"/>
          <w:i/>
          <w:iCs/>
          <w:color w:val="000000"/>
          <w:sz w:val="16"/>
          <w:szCs w:val="16"/>
        </w:rPr>
      </w:pPr>
      <w:r w:rsidRPr="007D495D">
        <w:rPr>
          <w:rFonts w:ascii="Times" w:hAnsi="Times" w:cs="Times"/>
          <w:i/>
          <w:iCs/>
          <w:color w:val="000000"/>
          <w:sz w:val="16"/>
          <w:szCs w:val="16"/>
        </w:rPr>
        <w:t>The desired environmental outcome of this Measure is to facilitate management of air toxics in ambient air that will allow for the equivalent protection of human health and well-being, by:</w:t>
      </w:r>
    </w:p>
    <w:p w14:paraId="22CF8A9B" w14:textId="77777777" w:rsidR="007D495D" w:rsidRPr="007D495D" w:rsidRDefault="007D495D" w:rsidP="007D495D">
      <w:pPr>
        <w:suppressAutoHyphens/>
        <w:autoSpaceDE w:val="0"/>
        <w:autoSpaceDN w:val="0"/>
        <w:adjustRightInd w:val="0"/>
        <w:spacing w:after="113" w:line="288" w:lineRule="auto"/>
        <w:ind w:left="680" w:hanging="340"/>
        <w:textAlignment w:val="center"/>
        <w:rPr>
          <w:rFonts w:ascii="Times" w:hAnsi="Times" w:cs="Times"/>
          <w:i/>
          <w:iCs/>
          <w:color w:val="000000"/>
          <w:sz w:val="16"/>
          <w:szCs w:val="16"/>
        </w:rPr>
      </w:pPr>
      <w:r w:rsidRPr="007D495D">
        <w:rPr>
          <w:rFonts w:ascii="Times" w:hAnsi="Times" w:cs="Times"/>
          <w:i/>
          <w:iCs/>
          <w:color w:val="000000"/>
          <w:sz w:val="16"/>
          <w:szCs w:val="16"/>
        </w:rPr>
        <w:t>1.</w:t>
      </w:r>
      <w:r w:rsidRPr="007D495D">
        <w:rPr>
          <w:rFonts w:ascii="Times" w:hAnsi="Times" w:cs="Times"/>
          <w:i/>
          <w:iCs/>
          <w:color w:val="000000"/>
          <w:sz w:val="16"/>
          <w:szCs w:val="16"/>
        </w:rPr>
        <w:tab/>
        <w:t>providing for the generation of comparable, reliable information on the levels of toxic air pollutants (‘air toxics’) at sites where significantly elevated concentrations of one or more of these air toxics are likely to occur (‘Stage 1 sites’) and where the potential for significant population exposure to air toxics exists (‘Stage 2 sites’).</w:t>
      </w:r>
    </w:p>
    <w:p w14:paraId="0F05260B" w14:textId="77777777" w:rsidR="007D495D" w:rsidRPr="007D495D" w:rsidRDefault="007D495D" w:rsidP="007D495D">
      <w:pPr>
        <w:suppressAutoHyphens/>
        <w:autoSpaceDE w:val="0"/>
        <w:autoSpaceDN w:val="0"/>
        <w:adjustRightInd w:val="0"/>
        <w:spacing w:after="113" w:line="288" w:lineRule="auto"/>
        <w:ind w:left="680" w:hanging="340"/>
        <w:textAlignment w:val="center"/>
        <w:rPr>
          <w:rFonts w:ascii="Times" w:hAnsi="Times" w:cs="Times"/>
          <w:i/>
          <w:iCs/>
          <w:color w:val="000000"/>
          <w:sz w:val="16"/>
          <w:szCs w:val="16"/>
        </w:rPr>
      </w:pPr>
      <w:r w:rsidRPr="007D495D">
        <w:rPr>
          <w:rFonts w:ascii="Times" w:hAnsi="Times" w:cs="Times"/>
          <w:i/>
          <w:iCs/>
          <w:color w:val="000000"/>
          <w:sz w:val="16"/>
          <w:szCs w:val="16"/>
        </w:rPr>
        <w:t>2.</w:t>
      </w:r>
      <w:r w:rsidRPr="007D495D">
        <w:rPr>
          <w:rFonts w:ascii="Times" w:hAnsi="Times" w:cs="Times"/>
          <w:i/>
          <w:iCs/>
          <w:color w:val="000000"/>
          <w:sz w:val="16"/>
          <w:szCs w:val="16"/>
        </w:rPr>
        <w:tab/>
        <w:t>establishing a consistent approach to the identification of such sites for use by jurisdictions.</w:t>
      </w:r>
    </w:p>
    <w:p w14:paraId="53911D48" w14:textId="77777777" w:rsidR="007D495D" w:rsidRPr="007D495D" w:rsidRDefault="007D495D" w:rsidP="007D495D">
      <w:pPr>
        <w:suppressAutoHyphens/>
        <w:autoSpaceDE w:val="0"/>
        <w:autoSpaceDN w:val="0"/>
        <w:adjustRightInd w:val="0"/>
        <w:spacing w:after="113" w:line="288" w:lineRule="auto"/>
        <w:ind w:left="680" w:hanging="340"/>
        <w:textAlignment w:val="center"/>
        <w:rPr>
          <w:rFonts w:ascii="Times" w:hAnsi="Times" w:cs="Times"/>
          <w:i/>
          <w:iCs/>
          <w:color w:val="000000"/>
          <w:sz w:val="16"/>
          <w:szCs w:val="16"/>
        </w:rPr>
      </w:pPr>
      <w:r w:rsidRPr="007D495D">
        <w:rPr>
          <w:rFonts w:ascii="Times" w:hAnsi="Times" w:cs="Times"/>
          <w:i/>
          <w:iCs/>
          <w:color w:val="000000"/>
          <w:sz w:val="16"/>
          <w:szCs w:val="16"/>
        </w:rPr>
        <w:t>3.</w:t>
      </w:r>
      <w:r w:rsidRPr="007D495D">
        <w:rPr>
          <w:rFonts w:ascii="Times" w:hAnsi="Times" w:cs="Times"/>
          <w:i/>
          <w:iCs/>
          <w:color w:val="000000"/>
          <w:sz w:val="16"/>
          <w:szCs w:val="16"/>
        </w:rPr>
        <w:tab/>
        <w:t>establishing a consistent frame of reference (‘monitoring investigation levels’) for use by jurisdictions in assessing the likely significance of levels of air toxics measured at Stage 2 sites.</w:t>
      </w:r>
    </w:p>
    <w:p w14:paraId="011D3039" w14:textId="77777777" w:rsidR="007D495D" w:rsidRPr="007D495D" w:rsidRDefault="007D495D" w:rsidP="007D495D">
      <w:pPr>
        <w:suppressAutoHyphens/>
        <w:autoSpaceDE w:val="0"/>
        <w:autoSpaceDN w:val="0"/>
        <w:adjustRightInd w:val="0"/>
        <w:spacing w:after="113" w:line="288" w:lineRule="auto"/>
        <w:ind w:left="680" w:hanging="340"/>
        <w:textAlignment w:val="center"/>
        <w:rPr>
          <w:rFonts w:ascii="Times" w:hAnsi="Times" w:cs="Times"/>
          <w:i/>
          <w:iCs/>
          <w:color w:val="000000"/>
          <w:sz w:val="16"/>
          <w:szCs w:val="16"/>
        </w:rPr>
      </w:pPr>
      <w:r w:rsidRPr="007D495D">
        <w:rPr>
          <w:rFonts w:ascii="Times" w:hAnsi="Times" w:cs="Times"/>
          <w:i/>
          <w:iCs/>
          <w:color w:val="000000"/>
          <w:sz w:val="16"/>
          <w:szCs w:val="16"/>
        </w:rPr>
        <w:t>4.</w:t>
      </w:r>
      <w:r w:rsidRPr="007D495D">
        <w:rPr>
          <w:rFonts w:ascii="Times" w:hAnsi="Times" w:cs="Times"/>
          <w:i/>
          <w:iCs/>
          <w:color w:val="000000"/>
          <w:sz w:val="16"/>
          <w:szCs w:val="16"/>
        </w:rPr>
        <w:tab/>
        <w:t>adopting a nationally consistent approach to monitoring air toxics at a range of locations (</w:t>
      </w:r>
      <w:proofErr w:type="gramStart"/>
      <w:r w:rsidRPr="007D495D">
        <w:rPr>
          <w:rFonts w:ascii="Times" w:hAnsi="Times" w:cs="Times"/>
          <w:i/>
          <w:iCs/>
          <w:color w:val="000000"/>
          <w:sz w:val="16"/>
          <w:szCs w:val="16"/>
        </w:rPr>
        <w:t>e.g.</w:t>
      </w:r>
      <w:proofErr w:type="gramEnd"/>
      <w:r w:rsidRPr="007D495D">
        <w:rPr>
          <w:rFonts w:ascii="Times" w:hAnsi="Times" w:cs="Times"/>
          <w:i/>
          <w:iCs/>
          <w:color w:val="000000"/>
          <w:sz w:val="16"/>
          <w:szCs w:val="16"/>
        </w:rPr>
        <w:t xml:space="preserve"> near major industrial sites, major roads, areas affected by wood smoke).</w:t>
      </w:r>
    </w:p>
    <w:p w14:paraId="57CF9EBF"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 xml:space="preserve">Evaluation criteria </w:t>
      </w:r>
    </w:p>
    <w:p w14:paraId="5309ED6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effectiveness of the National Environment Protection (Air Toxics) Measure has been assessed against the evaluation criteria for this NEPM.</w:t>
      </w:r>
    </w:p>
    <w:p w14:paraId="6C5C9CF6"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2—Implementation of the NEPM and any significant issues</w:t>
      </w:r>
    </w:p>
    <w:p w14:paraId="37FE6754"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This part provides a summary of jurisdictional reports on implementation and the Council’s overall assessment of the implementation of the NEPM.</w:t>
      </w:r>
    </w:p>
    <w:p w14:paraId="35CED2F7" w14:textId="77777777" w:rsidR="007D495D" w:rsidRPr="007D495D" w:rsidRDefault="007D495D" w:rsidP="007D495D">
      <w:pPr>
        <w:keepNext/>
        <w:tabs>
          <w:tab w:val="left" w:pos="426"/>
        </w:tabs>
        <w:suppressAutoHyphens/>
        <w:autoSpaceDE w:val="0"/>
        <w:autoSpaceDN w:val="0"/>
        <w:adjustRightInd w:val="0"/>
        <w:spacing w:before="113" w:after="57"/>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lastRenderedPageBreak/>
        <w:t>Legislative, regulatory and administrative framework</w:t>
      </w:r>
    </w:p>
    <w:p w14:paraId="5A801237" w14:textId="77777777" w:rsidR="007D495D" w:rsidRPr="007D495D" w:rsidRDefault="007D495D" w:rsidP="007D495D">
      <w:pPr>
        <w:keepNext/>
        <w:tabs>
          <w:tab w:val="left" w:pos="426"/>
        </w:tabs>
        <w:suppressAutoHyphens/>
        <w:autoSpaceDE w:val="0"/>
        <w:autoSpaceDN w:val="0"/>
        <w:adjustRightInd w:val="0"/>
        <w:spacing w:before="113" w:after="57"/>
        <w:textAlignment w:val="center"/>
        <w:rPr>
          <w:rFonts w:ascii="Calibri" w:hAnsi="Calibri" w:cs="Calibri"/>
          <w:i/>
          <w:iCs/>
          <w:color w:val="000000"/>
          <w:sz w:val="18"/>
          <w:szCs w:val="18"/>
        </w:rPr>
      </w:pPr>
      <w:r w:rsidRPr="007D495D">
        <w:rPr>
          <w:rFonts w:ascii="Calibri" w:hAnsi="Calibri" w:cs="Calibri"/>
          <w:i/>
          <w:iCs/>
          <w:color w:val="000000"/>
          <w:sz w:val="18"/>
          <w:szCs w:val="18"/>
        </w:rPr>
        <w:t>Table 1: Summary of implementation frameworks</w:t>
      </w:r>
    </w:p>
    <w:tbl>
      <w:tblPr>
        <w:tblW w:w="0" w:type="auto"/>
        <w:tblInd w:w="-5" w:type="dxa"/>
        <w:tblLayout w:type="fixed"/>
        <w:tblCellMar>
          <w:left w:w="0" w:type="dxa"/>
          <w:right w:w="0" w:type="dxa"/>
        </w:tblCellMar>
        <w:tblLook w:val="0000" w:firstRow="0" w:lastRow="0" w:firstColumn="0" w:lastColumn="0" w:noHBand="0" w:noVBand="0"/>
      </w:tblPr>
      <w:tblGrid>
        <w:gridCol w:w="2102"/>
        <w:gridCol w:w="5305"/>
      </w:tblGrid>
      <w:tr w:rsidR="007D495D" w:rsidRPr="007D495D" w14:paraId="02F8C7AB" w14:textId="77777777">
        <w:trPr>
          <w:trHeight w:val="60"/>
          <w:tblHeader/>
        </w:trPr>
        <w:tc>
          <w:tcPr>
            <w:tcW w:w="210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E47A291" w14:textId="77777777" w:rsidR="007D495D" w:rsidRPr="007D495D" w:rsidRDefault="007D495D" w:rsidP="007D495D">
            <w:pPr>
              <w:keepNext/>
              <w:suppressAutoHyphens/>
              <w:autoSpaceDE w:val="0"/>
              <w:autoSpaceDN w:val="0"/>
              <w:adjustRightInd w:val="0"/>
              <w:spacing w:before="57" w:after="57"/>
              <w:textAlignment w:val="center"/>
              <w:rPr>
                <w:rFonts w:ascii="Times" w:hAnsi="Times" w:cs="Times"/>
                <w:b/>
                <w:bCs/>
                <w:color w:val="FFFFFF"/>
                <w:sz w:val="16"/>
                <w:szCs w:val="16"/>
              </w:rPr>
            </w:pPr>
            <w:r w:rsidRPr="007D495D">
              <w:rPr>
                <w:rFonts w:ascii="Times" w:hAnsi="Times" w:cs="Times"/>
                <w:b/>
                <w:bCs/>
                <w:color w:val="FFFFFF"/>
                <w:sz w:val="16"/>
                <w:szCs w:val="16"/>
              </w:rPr>
              <w:t>Jurisdiction</w:t>
            </w:r>
          </w:p>
        </w:tc>
        <w:tc>
          <w:tcPr>
            <w:tcW w:w="530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D3485AC" w14:textId="77777777" w:rsidR="007D495D" w:rsidRPr="007D495D" w:rsidRDefault="007D495D" w:rsidP="007D495D">
            <w:pPr>
              <w:keepNext/>
              <w:suppressAutoHyphens/>
              <w:autoSpaceDE w:val="0"/>
              <w:autoSpaceDN w:val="0"/>
              <w:adjustRightInd w:val="0"/>
              <w:spacing w:before="57" w:after="57"/>
              <w:textAlignment w:val="center"/>
              <w:rPr>
                <w:rFonts w:ascii="Times" w:hAnsi="Times" w:cs="Times"/>
                <w:b/>
                <w:bCs/>
                <w:color w:val="FFFFFF"/>
                <w:sz w:val="16"/>
                <w:szCs w:val="16"/>
              </w:rPr>
            </w:pPr>
            <w:r w:rsidRPr="007D495D">
              <w:rPr>
                <w:rFonts w:ascii="Times" w:hAnsi="Times" w:cs="Times"/>
                <w:b/>
                <w:bCs/>
                <w:color w:val="FFFFFF"/>
                <w:sz w:val="16"/>
                <w:szCs w:val="16"/>
              </w:rPr>
              <w:t>Summary of implementation frameworks</w:t>
            </w:r>
          </w:p>
        </w:tc>
      </w:tr>
      <w:tr w:rsidR="007D495D" w:rsidRPr="007D495D" w14:paraId="033DB07D" w14:textId="77777777">
        <w:trPr>
          <w:trHeight w:val="60"/>
        </w:trPr>
        <w:tc>
          <w:tcPr>
            <w:tcW w:w="210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1096BB" w14:textId="77777777" w:rsidR="007D495D" w:rsidRPr="007D495D" w:rsidRDefault="007D495D"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Commonwealth</w:t>
            </w:r>
          </w:p>
        </w:tc>
        <w:tc>
          <w:tcPr>
            <w:tcW w:w="53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7352D6" w14:textId="77777777" w:rsidR="007D495D" w:rsidRPr="007D495D" w:rsidRDefault="007D495D" w:rsidP="007D495D">
            <w:pPr>
              <w:keepNext/>
              <w:tabs>
                <w:tab w:val="left" w:pos="170"/>
                <w:tab w:val="left" w:pos="360"/>
              </w:tabs>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NEPM is implemented administratively so no monitoring is undertaken.</w:t>
            </w:r>
          </w:p>
        </w:tc>
      </w:tr>
      <w:tr w:rsidR="007D495D" w:rsidRPr="007D495D" w14:paraId="61C7F8B9" w14:textId="77777777">
        <w:trPr>
          <w:trHeight w:val="60"/>
        </w:trPr>
        <w:tc>
          <w:tcPr>
            <w:tcW w:w="210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A86F98" w14:textId="77777777" w:rsidR="007D495D" w:rsidRPr="007D495D" w:rsidRDefault="007D495D"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New South Wales</w:t>
            </w:r>
          </w:p>
        </w:tc>
        <w:tc>
          <w:tcPr>
            <w:tcW w:w="53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CDFF4E" w14:textId="77777777" w:rsidR="007D495D" w:rsidRPr="007D495D" w:rsidRDefault="007D495D" w:rsidP="007D495D">
            <w:pPr>
              <w:keepNext/>
              <w:tabs>
                <w:tab w:val="left" w:pos="170"/>
                <w:tab w:val="left" w:pos="360"/>
              </w:tabs>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under the </w:t>
            </w:r>
            <w:r w:rsidRPr="007D495D">
              <w:rPr>
                <w:rFonts w:ascii="Times" w:hAnsi="Times" w:cs="Times"/>
                <w:i/>
                <w:iCs/>
                <w:color w:val="000000"/>
                <w:sz w:val="16"/>
                <w:szCs w:val="16"/>
              </w:rPr>
              <w:t>Protection of the Environment Operations (Clean Air) Regulation 2010</w:t>
            </w:r>
            <w:r w:rsidRPr="007D495D">
              <w:rPr>
                <w:rFonts w:ascii="Times" w:hAnsi="Times" w:cs="Times"/>
                <w:color w:val="000000"/>
                <w:sz w:val="16"/>
                <w:szCs w:val="16"/>
              </w:rPr>
              <w:t xml:space="preserve"> and the </w:t>
            </w:r>
            <w:r w:rsidRPr="007D495D">
              <w:rPr>
                <w:rFonts w:ascii="Times" w:hAnsi="Times" w:cs="Times"/>
                <w:i/>
                <w:iCs/>
                <w:color w:val="000000"/>
                <w:sz w:val="16"/>
                <w:szCs w:val="16"/>
              </w:rPr>
              <w:t xml:space="preserve">Protection of the Environment Operations Act 1997. </w:t>
            </w:r>
          </w:p>
        </w:tc>
      </w:tr>
      <w:tr w:rsidR="007D495D" w:rsidRPr="007D495D" w14:paraId="75CCF78A" w14:textId="77777777">
        <w:trPr>
          <w:trHeight w:val="60"/>
        </w:trPr>
        <w:tc>
          <w:tcPr>
            <w:tcW w:w="210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F9DC38C" w14:textId="77777777" w:rsidR="007D495D" w:rsidRPr="007D495D" w:rsidRDefault="007D495D"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Victoria</w:t>
            </w:r>
          </w:p>
        </w:tc>
        <w:tc>
          <w:tcPr>
            <w:tcW w:w="53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63B2BD" w14:textId="77777777" w:rsidR="007D495D" w:rsidRPr="007D495D" w:rsidRDefault="007D495D" w:rsidP="007D495D">
            <w:pPr>
              <w:keepNext/>
              <w:tabs>
                <w:tab w:val="left" w:pos="170"/>
                <w:tab w:val="left" w:pos="360"/>
              </w:tabs>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key legislative instrument is the State Environment Protection Policy (Air Quality Management). </w:t>
            </w:r>
          </w:p>
        </w:tc>
      </w:tr>
      <w:tr w:rsidR="007D495D" w:rsidRPr="007D495D" w14:paraId="24BA7565" w14:textId="77777777">
        <w:trPr>
          <w:trHeight w:val="60"/>
        </w:trPr>
        <w:tc>
          <w:tcPr>
            <w:tcW w:w="210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3416523"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Queensland</w:t>
            </w:r>
          </w:p>
        </w:tc>
        <w:tc>
          <w:tcPr>
            <w:tcW w:w="53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D1E13C"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under the </w:t>
            </w:r>
            <w:r w:rsidRPr="007D495D">
              <w:rPr>
                <w:rFonts w:ascii="Times" w:hAnsi="Times" w:cs="Times"/>
                <w:i/>
                <w:iCs/>
                <w:color w:val="000000"/>
                <w:sz w:val="16"/>
                <w:szCs w:val="16"/>
              </w:rPr>
              <w:t>Environmental Protection Act 1994</w:t>
            </w:r>
            <w:r w:rsidRPr="007D495D">
              <w:rPr>
                <w:rFonts w:ascii="Times" w:hAnsi="Times" w:cs="Times"/>
                <w:color w:val="000000"/>
                <w:sz w:val="16"/>
                <w:szCs w:val="16"/>
              </w:rPr>
              <w:t xml:space="preserve">, the </w:t>
            </w:r>
            <w:r w:rsidRPr="007D495D">
              <w:rPr>
                <w:rFonts w:ascii="Times" w:hAnsi="Times" w:cs="Times"/>
                <w:i/>
                <w:iCs/>
                <w:color w:val="000000"/>
                <w:sz w:val="16"/>
                <w:szCs w:val="16"/>
              </w:rPr>
              <w:t>Environmental Protection Regulation 2008,</w:t>
            </w:r>
            <w:r w:rsidRPr="007D495D">
              <w:rPr>
                <w:rFonts w:ascii="Times" w:hAnsi="Times" w:cs="Times"/>
                <w:color w:val="000000"/>
                <w:sz w:val="16"/>
                <w:szCs w:val="16"/>
              </w:rPr>
              <w:t xml:space="preserve"> and the Environmental Protection (Air) Policy 2008.</w:t>
            </w:r>
          </w:p>
        </w:tc>
      </w:tr>
      <w:tr w:rsidR="007D495D" w:rsidRPr="007D495D" w14:paraId="18FBD63C" w14:textId="77777777">
        <w:trPr>
          <w:trHeight w:val="60"/>
        </w:trPr>
        <w:tc>
          <w:tcPr>
            <w:tcW w:w="210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3658D1"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Western Australia</w:t>
            </w:r>
          </w:p>
        </w:tc>
        <w:tc>
          <w:tcPr>
            <w:tcW w:w="53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FA1B72"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under the </w:t>
            </w:r>
            <w:r w:rsidRPr="007D495D">
              <w:rPr>
                <w:rFonts w:ascii="Times" w:hAnsi="Times" w:cs="Times"/>
                <w:i/>
                <w:iCs/>
                <w:color w:val="000000"/>
                <w:sz w:val="16"/>
                <w:szCs w:val="16"/>
              </w:rPr>
              <w:t>National Environment Protection Council (Western Australia) Act 1996,</w:t>
            </w:r>
            <w:r w:rsidRPr="007D495D">
              <w:rPr>
                <w:rFonts w:ascii="Times" w:hAnsi="Times" w:cs="Times"/>
                <w:color w:val="000000"/>
                <w:sz w:val="16"/>
                <w:szCs w:val="16"/>
              </w:rPr>
              <w:t xml:space="preserve"> the </w:t>
            </w:r>
            <w:r w:rsidRPr="007D495D">
              <w:rPr>
                <w:rFonts w:ascii="Times" w:hAnsi="Times" w:cs="Times"/>
                <w:i/>
                <w:iCs/>
                <w:color w:val="000000"/>
                <w:sz w:val="16"/>
                <w:szCs w:val="16"/>
              </w:rPr>
              <w:t>Environmental Protection Act 1986</w:t>
            </w:r>
            <w:r w:rsidRPr="007D495D">
              <w:rPr>
                <w:rFonts w:ascii="Times" w:hAnsi="Times" w:cs="Times"/>
                <w:color w:val="000000"/>
                <w:sz w:val="16"/>
                <w:szCs w:val="16"/>
              </w:rPr>
              <w:t xml:space="preserve"> and managed by programs in the Perth Air Quality Management Plan.</w:t>
            </w:r>
          </w:p>
        </w:tc>
      </w:tr>
      <w:tr w:rsidR="007D495D" w:rsidRPr="007D495D" w14:paraId="7AB1FBC0" w14:textId="77777777">
        <w:trPr>
          <w:trHeight w:val="60"/>
        </w:trPr>
        <w:tc>
          <w:tcPr>
            <w:tcW w:w="210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566BE7"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South Australia</w:t>
            </w:r>
          </w:p>
        </w:tc>
        <w:tc>
          <w:tcPr>
            <w:tcW w:w="53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7647EB"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operates as an Environment Protection Policy under the </w:t>
            </w:r>
            <w:r w:rsidRPr="007D495D">
              <w:rPr>
                <w:rFonts w:ascii="Times" w:hAnsi="Times" w:cs="Times"/>
                <w:i/>
                <w:iCs/>
                <w:color w:val="000000"/>
                <w:sz w:val="16"/>
                <w:szCs w:val="16"/>
              </w:rPr>
              <w:t xml:space="preserve">Environment Protection Act 1993. </w:t>
            </w:r>
          </w:p>
        </w:tc>
      </w:tr>
      <w:tr w:rsidR="007D495D" w:rsidRPr="007D495D" w14:paraId="61AB6905" w14:textId="77777777">
        <w:trPr>
          <w:trHeight w:val="60"/>
        </w:trPr>
        <w:tc>
          <w:tcPr>
            <w:tcW w:w="210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13FED8"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Tasmania</w:t>
            </w:r>
          </w:p>
        </w:tc>
        <w:tc>
          <w:tcPr>
            <w:tcW w:w="53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F247551"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a State Policy under the </w:t>
            </w:r>
            <w:r w:rsidRPr="007D495D">
              <w:rPr>
                <w:rFonts w:ascii="Times" w:hAnsi="Times" w:cs="Times"/>
                <w:i/>
                <w:iCs/>
                <w:color w:val="000000"/>
                <w:sz w:val="16"/>
                <w:szCs w:val="16"/>
              </w:rPr>
              <w:t>State Policies and Projects Act 1993.</w:t>
            </w:r>
            <w:r w:rsidRPr="007D495D">
              <w:rPr>
                <w:rFonts w:ascii="Times" w:hAnsi="Times" w:cs="Times"/>
                <w:color w:val="000000"/>
                <w:sz w:val="16"/>
                <w:szCs w:val="16"/>
              </w:rPr>
              <w:t xml:space="preserve"> The management of air toxics is included in the Tasmanian Air Quality Strategy 2006. </w:t>
            </w:r>
          </w:p>
          <w:p w14:paraId="24B57DE4"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Implementation is through the Environment Protection Policy (Air Quality) 2004 and the </w:t>
            </w:r>
            <w:r w:rsidRPr="007D495D">
              <w:rPr>
                <w:rFonts w:ascii="Times" w:hAnsi="Times" w:cs="Times"/>
                <w:i/>
                <w:iCs/>
                <w:color w:val="000000"/>
                <w:sz w:val="16"/>
                <w:szCs w:val="16"/>
              </w:rPr>
              <w:t>Environmental Management Pollution Control Act 1994.</w:t>
            </w:r>
          </w:p>
        </w:tc>
      </w:tr>
      <w:tr w:rsidR="007D495D" w:rsidRPr="007D495D" w14:paraId="47A98B5E" w14:textId="77777777">
        <w:trPr>
          <w:trHeight w:val="60"/>
        </w:trPr>
        <w:tc>
          <w:tcPr>
            <w:tcW w:w="210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7E8D2D1"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c>
          <w:tcPr>
            <w:tcW w:w="53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EC41EB"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under the </w:t>
            </w:r>
            <w:r w:rsidRPr="007D495D">
              <w:rPr>
                <w:rFonts w:ascii="Times" w:hAnsi="Times" w:cs="Times"/>
                <w:i/>
                <w:iCs/>
                <w:color w:val="000000"/>
                <w:sz w:val="16"/>
                <w:szCs w:val="16"/>
              </w:rPr>
              <w:t>Environment Protection Act 1997.</w:t>
            </w:r>
          </w:p>
        </w:tc>
      </w:tr>
      <w:tr w:rsidR="007D495D" w:rsidRPr="007D495D" w14:paraId="6D7C245E" w14:textId="77777777">
        <w:trPr>
          <w:trHeight w:val="60"/>
        </w:trPr>
        <w:tc>
          <w:tcPr>
            <w:tcW w:w="210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547B6D"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c>
          <w:tcPr>
            <w:tcW w:w="53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0FDC1E"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key legislative instruments are the </w:t>
            </w:r>
            <w:r w:rsidRPr="007D495D">
              <w:rPr>
                <w:rFonts w:ascii="Times" w:hAnsi="Times" w:cs="Times"/>
                <w:i/>
                <w:iCs/>
                <w:color w:val="000000"/>
                <w:sz w:val="16"/>
                <w:szCs w:val="16"/>
              </w:rPr>
              <w:t xml:space="preserve">Waste Management and Pollution Control Act 1998 </w:t>
            </w:r>
            <w:r w:rsidRPr="007D495D">
              <w:rPr>
                <w:rFonts w:ascii="Times" w:hAnsi="Times" w:cs="Times"/>
                <w:color w:val="000000"/>
                <w:sz w:val="16"/>
                <w:szCs w:val="16"/>
              </w:rPr>
              <w:t xml:space="preserve">and the </w:t>
            </w:r>
            <w:r w:rsidRPr="007D495D">
              <w:rPr>
                <w:rFonts w:ascii="Times" w:hAnsi="Times" w:cs="Times"/>
                <w:i/>
                <w:iCs/>
                <w:color w:val="000000"/>
                <w:sz w:val="16"/>
                <w:szCs w:val="16"/>
              </w:rPr>
              <w:t>National Environment Protection Council (Northern Territory) Act 2004.</w:t>
            </w:r>
          </w:p>
        </w:tc>
      </w:tr>
    </w:tbl>
    <w:p w14:paraId="6E565DA6" w14:textId="77777777" w:rsidR="007D495D" w:rsidRPr="007D495D" w:rsidRDefault="007D495D" w:rsidP="007D495D">
      <w:pPr>
        <w:keepNext/>
        <w:tabs>
          <w:tab w:val="left" w:pos="426"/>
        </w:tabs>
        <w:suppressAutoHyphens/>
        <w:autoSpaceDE w:val="0"/>
        <w:autoSpaceDN w:val="0"/>
        <w:adjustRightInd w:val="0"/>
        <w:spacing w:before="28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Implementation issues arising</w:t>
      </w:r>
    </w:p>
    <w:p w14:paraId="0253A371"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Table 2 summarises the implementation issues that arose throughout the 2018 reporting year (this NEPM has a calendar year reporting requirement). For implementation activities refer to jurisdictional reports as listed in Part 5.</w:t>
      </w:r>
    </w:p>
    <w:p w14:paraId="0B65DC8C"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t>Table 2: Summary of implementation issues arising</w:t>
      </w:r>
    </w:p>
    <w:tbl>
      <w:tblPr>
        <w:tblW w:w="0" w:type="auto"/>
        <w:tblInd w:w="-5" w:type="dxa"/>
        <w:tblLayout w:type="fixed"/>
        <w:tblCellMar>
          <w:left w:w="0" w:type="dxa"/>
          <w:right w:w="0" w:type="dxa"/>
        </w:tblCellMar>
        <w:tblLook w:val="0000" w:firstRow="0" w:lastRow="0" w:firstColumn="0" w:lastColumn="0" w:noHBand="0" w:noVBand="0"/>
      </w:tblPr>
      <w:tblGrid>
        <w:gridCol w:w="2017"/>
        <w:gridCol w:w="5400"/>
      </w:tblGrid>
      <w:tr w:rsidR="007D495D" w:rsidRPr="007D495D" w14:paraId="10FEDA1C" w14:textId="77777777">
        <w:trPr>
          <w:trHeight w:val="60"/>
          <w:tblHeader/>
        </w:trPr>
        <w:tc>
          <w:tcPr>
            <w:tcW w:w="201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DCAA57F"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Jurisdiction</w:t>
            </w:r>
          </w:p>
        </w:tc>
        <w:tc>
          <w:tcPr>
            <w:tcW w:w="540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23BF3A5"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Summary of implementation issues arising</w:t>
            </w:r>
          </w:p>
        </w:tc>
      </w:tr>
      <w:tr w:rsidR="007D495D" w:rsidRPr="007D495D" w14:paraId="5B3CEFAE" w14:textId="77777777">
        <w:trPr>
          <w:trHeight w:val="60"/>
        </w:trPr>
        <w:tc>
          <w:tcPr>
            <w:tcW w:w="201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021D7F"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Commonwealth</w:t>
            </w:r>
          </w:p>
        </w:tc>
        <w:tc>
          <w:tcPr>
            <w:tcW w:w="54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3242E4"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issues reported.</w:t>
            </w:r>
          </w:p>
        </w:tc>
      </w:tr>
      <w:tr w:rsidR="007D495D" w:rsidRPr="007D495D" w14:paraId="1CA62464" w14:textId="77777777">
        <w:trPr>
          <w:trHeight w:val="60"/>
        </w:trPr>
        <w:tc>
          <w:tcPr>
            <w:tcW w:w="201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C3D1A8"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New South Wales</w:t>
            </w:r>
          </w:p>
        </w:tc>
        <w:tc>
          <w:tcPr>
            <w:tcW w:w="54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4F0601"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issues reported.</w:t>
            </w:r>
          </w:p>
        </w:tc>
      </w:tr>
      <w:tr w:rsidR="007D495D" w:rsidRPr="007D495D" w14:paraId="0E53B80F" w14:textId="77777777">
        <w:trPr>
          <w:trHeight w:val="60"/>
        </w:trPr>
        <w:tc>
          <w:tcPr>
            <w:tcW w:w="201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CCEC381"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Victoria</w:t>
            </w:r>
          </w:p>
        </w:tc>
        <w:tc>
          <w:tcPr>
            <w:tcW w:w="54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32F0807"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issues reported.</w:t>
            </w:r>
          </w:p>
        </w:tc>
      </w:tr>
      <w:tr w:rsidR="007D495D" w:rsidRPr="007D495D" w14:paraId="72FD7716" w14:textId="77777777">
        <w:trPr>
          <w:trHeight w:val="60"/>
        </w:trPr>
        <w:tc>
          <w:tcPr>
            <w:tcW w:w="201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C8BDD0"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Queensland</w:t>
            </w:r>
          </w:p>
        </w:tc>
        <w:tc>
          <w:tcPr>
            <w:tcW w:w="54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26AE66"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Non-NEPM compliant monitoring undertaken.</w:t>
            </w:r>
          </w:p>
        </w:tc>
      </w:tr>
      <w:tr w:rsidR="007D495D" w:rsidRPr="007D495D" w14:paraId="1103D572" w14:textId="77777777">
        <w:trPr>
          <w:trHeight w:val="60"/>
        </w:trPr>
        <w:tc>
          <w:tcPr>
            <w:tcW w:w="201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CE86E6"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Western Australia</w:t>
            </w:r>
          </w:p>
        </w:tc>
        <w:tc>
          <w:tcPr>
            <w:tcW w:w="54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19DB6E"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Non-NEPM compliant monitoring undertaken.</w:t>
            </w:r>
          </w:p>
        </w:tc>
      </w:tr>
      <w:tr w:rsidR="007D495D" w:rsidRPr="007D495D" w14:paraId="62142037" w14:textId="77777777">
        <w:trPr>
          <w:trHeight w:val="60"/>
        </w:trPr>
        <w:tc>
          <w:tcPr>
            <w:tcW w:w="201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B202428"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South Australia</w:t>
            </w:r>
          </w:p>
        </w:tc>
        <w:tc>
          <w:tcPr>
            <w:tcW w:w="54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B17FB64"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issues reported.</w:t>
            </w:r>
          </w:p>
        </w:tc>
      </w:tr>
      <w:tr w:rsidR="007D495D" w:rsidRPr="007D495D" w14:paraId="51A906A3" w14:textId="77777777">
        <w:trPr>
          <w:trHeight w:val="60"/>
        </w:trPr>
        <w:tc>
          <w:tcPr>
            <w:tcW w:w="201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24C59B"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lastRenderedPageBreak/>
              <w:t>Tasmania</w:t>
            </w:r>
          </w:p>
        </w:tc>
        <w:tc>
          <w:tcPr>
            <w:tcW w:w="54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BDAD2A"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No issues reported. </w:t>
            </w:r>
          </w:p>
        </w:tc>
      </w:tr>
      <w:tr w:rsidR="007D495D" w:rsidRPr="007D495D" w14:paraId="07947135" w14:textId="77777777">
        <w:trPr>
          <w:trHeight w:val="60"/>
        </w:trPr>
        <w:tc>
          <w:tcPr>
            <w:tcW w:w="201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C708802"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c>
          <w:tcPr>
            <w:tcW w:w="54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1EAB09"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Previous desktop analysis has shown that air toxics are not an issue for the ACT </w:t>
            </w:r>
            <w:proofErr w:type="gramStart"/>
            <w:r w:rsidRPr="007D495D">
              <w:rPr>
                <w:rFonts w:ascii="Times" w:hAnsi="Times" w:cs="Times"/>
                <w:color w:val="000000"/>
                <w:sz w:val="16"/>
                <w:szCs w:val="16"/>
              </w:rPr>
              <w:t>airshed</w:t>
            </w:r>
            <w:proofErr w:type="gramEnd"/>
            <w:r w:rsidRPr="007D495D">
              <w:rPr>
                <w:rFonts w:ascii="Times" w:hAnsi="Times" w:cs="Times"/>
                <w:color w:val="000000"/>
                <w:sz w:val="16"/>
                <w:szCs w:val="16"/>
              </w:rPr>
              <w:t xml:space="preserve"> and no monitoring sites have been identified. </w:t>
            </w:r>
          </w:p>
        </w:tc>
      </w:tr>
      <w:tr w:rsidR="007D495D" w:rsidRPr="007D495D" w14:paraId="3202BA4C" w14:textId="77777777">
        <w:trPr>
          <w:trHeight w:val="60"/>
        </w:trPr>
        <w:tc>
          <w:tcPr>
            <w:tcW w:w="201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C7B82C"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c>
          <w:tcPr>
            <w:tcW w:w="54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CF1597B"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Previous desktop analysis has shown that air toxics are not an issue for the NT </w:t>
            </w:r>
            <w:proofErr w:type="gramStart"/>
            <w:r w:rsidRPr="007D495D">
              <w:rPr>
                <w:rFonts w:ascii="Times" w:hAnsi="Times" w:cs="Times"/>
                <w:color w:val="000000"/>
                <w:sz w:val="16"/>
                <w:szCs w:val="16"/>
              </w:rPr>
              <w:t>airshed</w:t>
            </w:r>
            <w:proofErr w:type="gramEnd"/>
            <w:r w:rsidRPr="007D495D">
              <w:rPr>
                <w:rFonts w:ascii="Times" w:hAnsi="Times" w:cs="Times"/>
                <w:color w:val="000000"/>
                <w:sz w:val="16"/>
                <w:szCs w:val="16"/>
              </w:rPr>
              <w:t xml:space="preserve"> and no monitoring sites have been identified. </w:t>
            </w:r>
          </w:p>
        </w:tc>
      </w:tr>
    </w:tbl>
    <w:p w14:paraId="2DB1BDB1"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16C6FF1A"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3—JURISDICTIONAL REPORT ON ACTIVITIES UNDER THE NEPM</w:t>
      </w:r>
    </w:p>
    <w:p w14:paraId="6B354D14"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Identification of sites</w:t>
      </w:r>
    </w:p>
    <w:p w14:paraId="76DAE0CA"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No jurisdiction identified any new sites in the reporting period. </w:t>
      </w:r>
    </w:p>
    <w:p w14:paraId="45EE8E35"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 xml:space="preserve">Reporting of monitoring of air toxics </w:t>
      </w:r>
    </w:p>
    <w:p w14:paraId="6BD26596"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Queensland continued monitoring air toxics in the 2018-19 reporting period at Springwood in South East Queensland and central Gladstone including ambient monitoring of benzene, toluene, xylenes and formaldehyde using DOAS instrumentation. </w:t>
      </w:r>
    </w:p>
    <w:p w14:paraId="01901FA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In Western Australia, the Department of Water and Environmental Regulation (DWER) continued field trials for its Remote Air Pollution Infrared Detector (RAPID) in the Perth metropolitan region to determine its suitability for air quality investigations.</w:t>
      </w:r>
    </w:p>
    <w:p w14:paraId="111A524F" w14:textId="1D5F521D"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An updated emissions inventory for the Perth metropolitan region was published in June 2018 and is available at </w:t>
      </w:r>
      <w:hyperlink r:id="rId8" w:history="1">
        <w:r w:rsidRPr="00CC4679">
          <w:rPr>
            <w:rStyle w:val="Hyperlink"/>
            <w:rFonts w:ascii="Times" w:hAnsi="Times" w:cs="Times"/>
            <w:color w:val="4472C4" w:themeColor="accent1"/>
            <w:sz w:val="16"/>
            <w:szCs w:val="16"/>
            <w:u w:val="single"/>
          </w:rPr>
          <w:t>https://www.der.wa.gov.au/our-work/programs/460-perth-air-emissions-study-2011-2012</w:t>
        </w:r>
      </w:hyperlink>
      <w:r w:rsidRPr="007D495D">
        <w:rPr>
          <w:rFonts w:ascii="Times" w:hAnsi="Times" w:cs="Times"/>
          <w:color w:val="000000"/>
          <w:sz w:val="16"/>
          <w:szCs w:val="16"/>
        </w:rPr>
        <w:t>. The inventory includes air toxics and provides additional information in identifying and prioritising air toxic sources in this area.</w:t>
      </w:r>
    </w:p>
    <w:p w14:paraId="39D46CFA"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All monitoring results were below the NEPM monitoring investigation levels.</w:t>
      </w:r>
    </w:p>
    <w:p w14:paraId="256594B7"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No other jurisdictions undertook monitoring during the reporting period. </w:t>
      </w:r>
    </w:p>
    <w:p w14:paraId="45070334"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Reporting on assessment and action if any planned or taken to manage air toxics</w:t>
      </w:r>
    </w:p>
    <w:p w14:paraId="3912A9BF"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Because monitoring to date has shown air toxics in Australia to be well below monitoring investigation levels, no jurisdiction engaged in any specific strategies or actions to manage them.</w:t>
      </w:r>
    </w:p>
    <w:p w14:paraId="1C06E5A5"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Repeat identification of stage 1 and stage 2 sites</w:t>
      </w:r>
    </w:p>
    <w:p w14:paraId="4FA4BBF0"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No new monitoring sites were identified during the reporting period.</w:t>
      </w:r>
    </w:p>
    <w:p w14:paraId="7DCACD96" w14:textId="77777777" w:rsidR="007D495D" w:rsidRPr="007D495D" w:rsidRDefault="007D495D" w:rsidP="007D495D">
      <w:pPr>
        <w:suppressAutoHyphens/>
        <w:autoSpaceDE w:val="0"/>
        <w:autoSpaceDN w:val="0"/>
        <w:adjustRightInd w:val="0"/>
        <w:spacing w:after="113"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4—Assessment of NEPM effectiveness</w:t>
      </w:r>
    </w:p>
    <w:p w14:paraId="683DE6CE"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monitoring investigation levels continue to provide a nationally consistent benchmark for assessing and comparing the concentration of ambient air toxics from diverse monitoring sites. As no jurisdiction has recorded monitoring results above these levels historically, most jurisdictions did not report results.</w:t>
      </w:r>
    </w:p>
    <w:p w14:paraId="29CC5BA8"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In 2018-19 the Commonwealth undertook a survey of jurisdictional needs and activity under this NEPM. Responses from jurisdictions indicated that while the Air Toxics NEPM does fulfil a useful role, its ability to adequately address air toxics in Australia could be improved. Further consideration of this NEPM, and the national management of air toxics, will be undertaken.</w:t>
      </w:r>
    </w:p>
    <w:p w14:paraId="1FE5084F"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lastRenderedPageBreak/>
        <w:t>Part 5—Reporting on implementation by jurisdictions</w:t>
      </w:r>
    </w:p>
    <w:p w14:paraId="307C9518" w14:textId="77777777" w:rsidR="007D495D" w:rsidRPr="007D495D" w:rsidRDefault="007D495D" w:rsidP="007D495D">
      <w:pPr>
        <w:keepNext/>
        <w:suppressAutoHyphens/>
        <w:autoSpaceDE w:val="0"/>
        <w:autoSpaceDN w:val="0"/>
        <w:adjustRightInd w:val="0"/>
        <w:spacing w:after="57"/>
        <w:textAlignment w:val="center"/>
        <w:rPr>
          <w:rFonts w:ascii="Times" w:hAnsi="Times" w:cs="Times"/>
          <w:color w:val="000000"/>
          <w:sz w:val="16"/>
          <w:szCs w:val="16"/>
        </w:rPr>
      </w:pPr>
      <w:r w:rsidRPr="007D495D">
        <w:rPr>
          <w:rFonts w:ascii="Times" w:hAnsi="Times" w:cs="Times"/>
          <w:color w:val="000000"/>
          <w:sz w:val="16"/>
          <w:szCs w:val="16"/>
        </w:rPr>
        <w:t>The annexes to this report are in Appendix 1:</w:t>
      </w:r>
    </w:p>
    <w:tbl>
      <w:tblPr>
        <w:tblW w:w="0" w:type="auto"/>
        <w:tblInd w:w="-5" w:type="dxa"/>
        <w:tblLayout w:type="fixed"/>
        <w:tblCellMar>
          <w:left w:w="0" w:type="dxa"/>
          <w:right w:w="0" w:type="dxa"/>
        </w:tblCellMar>
        <w:tblLook w:val="0000" w:firstRow="0" w:lastRow="0" w:firstColumn="0" w:lastColumn="0" w:noHBand="0" w:noVBand="0"/>
      </w:tblPr>
      <w:tblGrid>
        <w:gridCol w:w="1242"/>
        <w:gridCol w:w="4890"/>
      </w:tblGrid>
      <w:tr w:rsidR="008F19D2" w:rsidRPr="007D495D" w14:paraId="6A66B862" w14:textId="77777777" w:rsidTr="007D495D">
        <w:trPr>
          <w:trHeight w:val="60"/>
        </w:trPr>
        <w:tc>
          <w:tcPr>
            <w:tcW w:w="1242" w:type="dxa"/>
            <w:tcBorders>
              <w:top w:val="single" w:sz="6" w:space="0" w:color="auto"/>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6267F10"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Annex 1:</w:t>
            </w:r>
          </w:p>
        </w:tc>
        <w:tc>
          <w:tcPr>
            <w:tcW w:w="4890" w:type="dxa"/>
            <w:tcBorders>
              <w:top w:val="single" w:sz="6" w:space="0" w:color="auto"/>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E5869E"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Commonwealth</w:t>
            </w:r>
          </w:p>
        </w:tc>
      </w:tr>
      <w:tr w:rsidR="008F19D2" w:rsidRPr="007D495D" w14:paraId="7B72FE9A" w14:textId="77777777" w:rsidTr="007D495D">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1BC6C16"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Annex 2:</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48B2B5C"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New South Wales</w:t>
            </w:r>
          </w:p>
        </w:tc>
      </w:tr>
      <w:tr w:rsidR="008F19D2" w:rsidRPr="007D495D" w14:paraId="078A3C0B" w14:textId="77777777" w:rsidTr="007D495D">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9E41A6"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Annex 3:</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3493FC5"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Victoria</w:t>
            </w:r>
          </w:p>
        </w:tc>
      </w:tr>
      <w:tr w:rsidR="008F19D2" w:rsidRPr="007D495D" w14:paraId="75B96AAA" w14:textId="77777777" w:rsidTr="007D495D">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2E180F"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Annex 4:</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5DDBC7"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Queensland</w:t>
            </w:r>
          </w:p>
        </w:tc>
      </w:tr>
      <w:tr w:rsidR="008F19D2" w:rsidRPr="007D495D" w14:paraId="5DD3AE18" w14:textId="77777777" w:rsidTr="007D495D">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3DFE6E"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Annex 5:</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656B9C6"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Western Australia</w:t>
            </w:r>
          </w:p>
        </w:tc>
      </w:tr>
      <w:tr w:rsidR="008F19D2" w:rsidRPr="007D495D" w14:paraId="56CC0D0C" w14:textId="77777777" w:rsidTr="007D495D">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CABFB7"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Annex 6:</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297FA9"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South Australia</w:t>
            </w:r>
          </w:p>
        </w:tc>
      </w:tr>
      <w:tr w:rsidR="008F19D2" w:rsidRPr="007D495D" w14:paraId="0902BB40" w14:textId="77777777" w:rsidTr="007D495D">
        <w:trPr>
          <w:trHeight w:val="323"/>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1D6976"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Annex 7:</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63C77C"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Tasmania</w:t>
            </w:r>
          </w:p>
        </w:tc>
      </w:tr>
      <w:tr w:rsidR="008F19D2" w:rsidRPr="007D495D" w14:paraId="160386F7" w14:textId="77777777" w:rsidTr="007D495D">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D637C7"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Annex 8:</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26A99A" w14:textId="77777777" w:rsidR="008F19D2" w:rsidRPr="007D495D" w:rsidRDefault="008F19D2" w:rsidP="007D495D">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r>
      <w:tr w:rsidR="008F19D2" w:rsidRPr="007D495D" w14:paraId="76BBBFA9" w14:textId="77777777" w:rsidTr="007D495D">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5D65F5"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9:</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A1D32A2"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r>
    </w:tbl>
    <w:p w14:paraId="1BB4ABA9" w14:textId="44846B48" w:rsid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271488B1" w14:textId="77777777" w:rsidR="007D495D" w:rsidRDefault="007D495D">
      <w:pPr>
        <w:rPr>
          <w:rFonts w:ascii="Times" w:hAnsi="Times" w:cs="Times"/>
          <w:color w:val="000000"/>
          <w:sz w:val="16"/>
          <w:szCs w:val="16"/>
        </w:rPr>
      </w:pPr>
      <w:r>
        <w:rPr>
          <w:rFonts w:ascii="Times" w:hAnsi="Times" w:cs="Times"/>
          <w:color w:val="000000"/>
          <w:sz w:val="16"/>
          <w:szCs w:val="16"/>
        </w:rPr>
        <w:br w:type="page"/>
      </w:r>
    </w:p>
    <w:p w14:paraId="7D2A3035" w14:textId="246D551B" w:rsidR="007D495D" w:rsidRPr="00470BBE" w:rsidRDefault="00470BBE" w:rsidP="00CB0DA6">
      <w:pPr>
        <w:pStyle w:val="Heading1"/>
        <w:rPr>
          <w:spacing w:val="10"/>
          <w:sz w:val="32"/>
          <w:szCs w:val="32"/>
        </w:rPr>
      </w:pPr>
      <w:bookmarkStart w:id="8" w:name="_Toc58254362"/>
      <w:r w:rsidRPr="007D495D">
        <w:rPr>
          <w:spacing w:val="10"/>
          <w:sz w:val="32"/>
          <w:szCs w:val="32"/>
        </w:rPr>
        <w:lastRenderedPageBreak/>
        <w:t xml:space="preserve">NEPC report on the implementation of the </w:t>
      </w:r>
      <w:r>
        <w:rPr>
          <w:spacing w:val="10"/>
          <w:sz w:val="32"/>
          <w:szCs w:val="32"/>
        </w:rPr>
        <w:br/>
      </w:r>
      <w:r w:rsidR="007D495D" w:rsidRPr="007D495D">
        <w:t>National Environment Protection (Ambient Air Quality) Measure</w:t>
      </w:r>
      <w:bookmarkEnd w:id="8"/>
    </w:p>
    <w:p w14:paraId="56885BD6"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1—General Information</w:t>
      </w:r>
    </w:p>
    <w:p w14:paraId="483800E0"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NEPM details</w:t>
      </w:r>
    </w:p>
    <w:p w14:paraId="27866CF0"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Title</w:t>
      </w:r>
      <w:r w:rsidRPr="007D495D">
        <w:rPr>
          <w:rFonts w:ascii="Times" w:hAnsi="Times" w:cs="Times"/>
          <w:color w:val="000000"/>
          <w:sz w:val="16"/>
          <w:szCs w:val="16"/>
        </w:rPr>
        <w:t>: National Environment Protection (Ambient Air Quality) Measure</w:t>
      </w:r>
    </w:p>
    <w:p w14:paraId="6B0E0BAD"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 xml:space="preserve">Made by Council: </w:t>
      </w:r>
      <w:r w:rsidRPr="007D495D">
        <w:rPr>
          <w:rFonts w:ascii="Times" w:hAnsi="Times" w:cs="Times"/>
          <w:color w:val="000000"/>
          <w:sz w:val="16"/>
          <w:szCs w:val="16"/>
        </w:rPr>
        <w:t>26 June 1998</w:t>
      </w:r>
    </w:p>
    <w:p w14:paraId="14E2D98C"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 xml:space="preserve">Commencement Date: </w:t>
      </w:r>
      <w:r w:rsidRPr="007D495D">
        <w:rPr>
          <w:rFonts w:ascii="Times" w:hAnsi="Times" w:cs="Times"/>
          <w:color w:val="000000"/>
          <w:sz w:val="16"/>
          <w:szCs w:val="16"/>
        </w:rPr>
        <w:t>8 July 1998 (advertised in Commonwealth of Australia Gazette No. GN 27, 8 July 1998, p. 2211)</w:t>
      </w:r>
    </w:p>
    <w:p w14:paraId="5DC08056"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NEPM goal (or purpose)</w:t>
      </w:r>
    </w:p>
    <w:p w14:paraId="3D085116"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goal of the National Environment Protection (Ambient Air Quality) Measure is set out in clause 6 of the Measure as follows:</w:t>
      </w:r>
    </w:p>
    <w:p w14:paraId="031B9DC6" w14:textId="77777777" w:rsidR="007D495D" w:rsidRPr="007D495D" w:rsidRDefault="007D495D" w:rsidP="007D495D">
      <w:pPr>
        <w:suppressAutoHyphens/>
        <w:autoSpaceDE w:val="0"/>
        <w:autoSpaceDN w:val="0"/>
        <w:adjustRightInd w:val="0"/>
        <w:spacing w:after="113" w:line="288" w:lineRule="auto"/>
        <w:ind w:left="340" w:right="340"/>
        <w:textAlignment w:val="center"/>
        <w:rPr>
          <w:rFonts w:ascii="Times" w:hAnsi="Times" w:cs="Times"/>
          <w:i/>
          <w:iCs/>
          <w:color w:val="000000"/>
          <w:sz w:val="16"/>
          <w:szCs w:val="16"/>
        </w:rPr>
      </w:pPr>
      <w:r w:rsidRPr="007D495D">
        <w:rPr>
          <w:rFonts w:ascii="Times" w:hAnsi="Times" w:cs="Times"/>
          <w:i/>
          <w:iCs/>
          <w:color w:val="000000"/>
          <w:sz w:val="16"/>
          <w:szCs w:val="16"/>
        </w:rPr>
        <w:t>The National Environment Protection Goal of this Measure is to achieve the National Environment Protection Standards as assessed in accordance with the monitoring protocol (Part 4) within ten years from commencement to the extent specified in Schedule 2 column 5.</w:t>
      </w:r>
    </w:p>
    <w:p w14:paraId="5580742B"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Desired environmental outcomes</w:t>
      </w:r>
    </w:p>
    <w:p w14:paraId="3BF57B27"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desired environmental outcome of the National Environment Protection (Ambient Air Quality) Measure is set out in clause 5 of the Measure as follows:</w:t>
      </w:r>
    </w:p>
    <w:p w14:paraId="5382565E" w14:textId="77777777" w:rsidR="007D495D" w:rsidRPr="007D495D" w:rsidRDefault="007D495D" w:rsidP="007D495D">
      <w:pPr>
        <w:suppressAutoHyphens/>
        <w:autoSpaceDE w:val="0"/>
        <w:autoSpaceDN w:val="0"/>
        <w:adjustRightInd w:val="0"/>
        <w:spacing w:after="113" w:line="288" w:lineRule="auto"/>
        <w:ind w:left="340" w:right="340"/>
        <w:textAlignment w:val="center"/>
        <w:rPr>
          <w:rFonts w:ascii="Times" w:hAnsi="Times" w:cs="Times"/>
          <w:i/>
          <w:iCs/>
          <w:color w:val="000000"/>
          <w:sz w:val="16"/>
          <w:szCs w:val="16"/>
        </w:rPr>
      </w:pPr>
      <w:r w:rsidRPr="007D495D">
        <w:rPr>
          <w:rFonts w:ascii="Times" w:hAnsi="Times" w:cs="Times"/>
          <w:i/>
          <w:iCs/>
          <w:color w:val="000000"/>
          <w:sz w:val="16"/>
          <w:szCs w:val="16"/>
        </w:rPr>
        <w:t>The desired environmental outcome of this Measure is ambient air quality that allows for the adequate protection of human health and well–being.</w:t>
      </w:r>
    </w:p>
    <w:p w14:paraId="4A382DC3"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 xml:space="preserve">Evaluation criteria </w:t>
      </w:r>
    </w:p>
    <w:p w14:paraId="684074F8"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The effectiveness of the National Environment Protection (Ambient Air Quality) Measure has been assessed against the evaluation criteria for this NEPM. </w:t>
      </w:r>
    </w:p>
    <w:p w14:paraId="0BD433DA"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2—Implementation of the NEPM and any significant issues</w:t>
      </w:r>
    </w:p>
    <w:p w14:paraId="66D5D8EE"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This part provides a summary of jurisdictional reports on implementation and the Council’s overall assessment of the implementation of the NEPM.</w:t>
      </w:r>
    </w:p>
    <w:p w14:paraId="34F01F25"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Legislative, regulatory and administrative framework</w:t>
      </w:r>
    </w:p>
    <w:p w14:paraId="7AE78B81"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t>Table 1: Summary of implementation frameworks</w:t>
      </w:r>
    </w:p>
    <w:tbl>
      <w:tblPr>
        <w:tblW w:w="9072" w:type="dxa"/>
        <w:tblInd w:w="-5" w:type="dxa"/>
        <w:tblLayout w:type="fixed"/>
        <w:tblCellMar>
          <w:left w:w="0" w:type="dxa"/>
          <w:right w:w="0" w:type="dxa"/>
        </w:tblCellMar>
        <w:tblLook w:val="0000" w:firstRow="0" w:lastRow="0" w:firstColumn="0" w:lastColumn="0" w:noHBand="0" w:noVBand="0"/>
      </w:tblPr>
      <w:tblGrid>
        <w:gridCol w:w="2022"/>
        <w:gridCol w:w="7050"/>
      </w:tblGrid>
      <w:tr w:rsidR="007D495D" w:rsidRPr="007D495D" w14:paraId="591136E2" w14:textId="77777777" w:rsidTr="008F19D2">
        <w:trPr>
          <w:trHeight w:val="60"/>
          <w:tblHeader/>
        </w:trPr>
        <w:tc>
          <w:tcPr>
            <w:tcW w:w="202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FDFD57E"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Jurisdiction</w:t>
            </w:r>
          </w:p>
        </w:tc>
        <w:tc>
          <w:tcPr>
            <w:tcW w:w="705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90DFF8A"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Summary of implementation frameworks</w:t>
            </w:r>
          </w:p>
        </w:tc>
      </w:tr>
      <w:tr w:rsidR="007D495D" w:rsidRPr="007D495D" w14:paraId="20B66AB5"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4736F92"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Commonwealth</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B8BE3FE"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Commonwealth implements the NEPM administratively. However, it is not required by the NEPM to undertake monitoring as there are currently no </w:t>
            </w:r>
            <w:proofErr w:type="spellStart"/>
            <w:r w:rsidRPr="007D495D">
              <w:rPr>
                <w:rFonts w:ascii="Times" w:hAnsi="Times" w:cs="Times"/>
                <w:color w:val="000000"/>
                <w:sz w:val="16"/>
                <w:szCs w:val="16"/>
              </w:rPr>
              <w:t>nonself</w:t>
            </w:r>
            <w:proofErr w:type="spellEnd"/>
            <w:r w:rsidRPr="007D495D">
              <w:rPr>
                <w:rFonts w:ascii="Times" w:hAnsi="Times" w:cs="Times"/>
                <w:color w:val="000000"/>
                <w:sz w:val="16"/>
                <w:szCs w:val="16"/>
              </w:rPr>
              <w:t xml:space="preserve"> governing Commonwealth territories or Commonwealth regions with a population above the 25,000 NEPM protocol threshold.</w:t>
            </w:r>
          </w:p>
        </w:tc>
      </w:tr>
      <w:tr w:rsidR="007D495D" w:rsidRPr="007D495D" w14:paraId="02AAE320"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2856A8"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New South Wales</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39127A6"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under the </w:t>
            </w:r>
            <w:r w:rsidRPr="007D495D">
              <w:rPr>
                <w:rFonts w:ascii="Times" w:hAnsi="Times" w:cs="Times"/>
                <w:i/>
                <w:iCs/>
                <w:color w:val="000000"/>
                <w:sz w:val="16"/>
                <w:szCs w:val="16"/>
              </w:rPr>
              <w:t>Protection of the Environment Operations Act 1997,</w:t>
            </w:r>
            <w:r w:rsidRPr="007D495D">
              <w:rPr>
                <w:rFonts w:ascii="Times" w:hAnsi="Times" w:cs="Times"/>
                <w:color w:val="000000"/>
                <w:sz w:val="16"/>
                <w:szCs w:val="16"/>
              </w:rPr>
              <w:t xml:space="preserve"> the </w:t>
            </w:r>
            <w:r w:rsidRPr="007D495D">
              <w:rPr>
                <w:rFonts w:ascii="Times" w:hAnsi="Times" w:cs="Times"/>
                <w:i/>
                <w:iCs/>
                <w:color w:val="000000"/>
                <w:sz w:val="16"/>
                <w:szCs w:val="16"/>
              </w:rPr>
              <w:t xml:space="preserve">Protection of the Environment Operations (General) Regulation 2009 </w:t>
            </w:r>
            <w:r w:rsidRPr="007D495D">
              <w:rPr>
                <w:rFonts w:ascii="Times" w:hAnsi="Times" w:cs="Times"/>
                <w:color w:val="000000"/>
                <w:sz w:val="16"/>
                <w:szCs w:val="16"/>
              </w:rPr>
              <w:t xml:space="preserve">and the </w:t>
            </w:r>
            <w:r w:rsidRPr="007D495D">
              <w:rPr>
                <w:rFonts w:ascii="Times" w:hAnsi="Times" w:cs="Times"/>
                <w:i/>
                <w:iCs/>
                <w:color w:val="000000"/>
                <w:sz w:val="16"/>
                <w:szCs w:val="16"/>
              </w:rPr>
              <w:t>Protection of the Environment Operations (Clean Air) Regulation 2010.</w:t>
            </w:r>
          </w:p>
        </w:tc>
      </w:tr>
      <w:tr w:rsidR="007D495D" w:rsidRPr="007D495D" w14:paraId="26FB3EEE"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D7F19A"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Victoria</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5C9CE2"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key legislative instruments are the State Environment Protection Policy (Ambient Air Quality) and the State Environment Protection Policy (Air Quality Management) made under the </w:t>
            </w:r>
            <w:r w:rsidRPr="007D495D">
              <w:rPr>
                <w:rFonts w:ascii="Times" w:hAnsi="Times" w:cs="Times"/>
                <w:i/>
                <w:iCs/>
                <w:color w:val="000000"/>
                <w:sz w:val="16"/>
                <w:szCs w:val="16"/>
              </w:rPr>
              <w:t>Environment Protection Act 1970.</w:t>
            </w:r>
          </w:p>
        </w:tc>
      </w:tr>
      <w:tr w:rsidR="007D495D" w:rsidRPr="007D495D" w14:paraId="4D8AB324"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FA9E61D"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Queensland</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ED9C1D"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under the </w:t>
            </w:r>
            <w:r w:rsidRPr="007D495D">
              <w:rPr>
                <w:rFonts w:ascii="Times" w:hAnsi="Times" w:cs="Times"/>
                <w:i/>
                <w:iCs/>
                <w:color w:val="000000"/>
                <w:sz w:val="16"/>
                <w:szCs w:val="16"/>
              </w:rPr>
              <w:t>Environmental Protection Act 1994,</w:t>
            </w:r>
            <w:r w:rsidRPr="007D495D">
              <w:rPr>
                <w:rFonts w:ascii="Times" w:hAnsi="Times" w:cs="Times"/>
                <w:color w:val="000000"/>
                <w:sz w:val="16"/>
                <w:szCs w:val="16"/>
              </w:rPr>
              <w:t xml:space="preserve"> the </w:t>
            </w:r>
            <w:r w:rsidRPr="007D495D">
              <w:rPr>
                <w:rFonts w:ascii="Times" w:hAnsi="Times" w:cs="Times"/>
                <w:i/>
                <w:iCs/>
                <w:color w:val="000000"/>
                <w:sz w:val="16"/>
                <w:szCs w:val="16"/>
              </w:rPr>
              <w:t>Environmental Protection Regulation 2008,</w:t>
            </w:r>
            <w:r w:rsidRPr="007D495D">
              <w:rPr>
                <w:rFonts w:ascii="Times" w:hAnsi="Times" w:cs="Times"/>
                <w:color w:val="000000"/>
                <w:sz w:val="16"/>
                <w:szCs w:val="16"/>
              </w:rPr>
              <w:t xml:space="preserve"> and the Environmental Protection (Air) Policy 2008.</w:t>
            </w:r>
          </w:p>
        </w:tc>
      </w:tr>
      <w:tr w:rsidR="007D495D" w:rsidRPr="007D495D" w14:paraId="31BDCE7B"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07452B"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Western Australia</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F55B55"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under the </w:t>
            </w:r>
            <w:r w:rsidRPr="007D495D">
              <w:rPr>
                <w:rFonts w:ascii="Times" w:hAnsi="Times" w:cs="Times"/>
                <w:i/>
                <w:iCs/>
                <w:color w:val="000000"/>
                <w:sz w:val="16"/>
                <w:szCs w:val="16"/>
              </w:rPr>
              <w:t xml:space="preserve">National Environment Protection Council (Western Australia) Act 1996, </w:t>
            </w:r>
            <w:r w:rsidRPr="007D495D">
              <w:rPr>
                <w:rFonts w:ascii="Times" w:hAnsi="Times" w:cs="Times"/>
                <w:color w:val="000000"/>
                <w:sz w:val="16"/>
                <w:szCs w:val="16"/>
              </w:rPr>
              <w:t xml:space="preserve">and the </w:t>
            </w:r>
            <w:r w:rsidRPr="007D495D">
              <w:rPr>
                <w:rFonts w:ascii="Times" w:hAnsi="Times" w:cs="Times"/>
                <w:i/>
                <w:iCs/>
                <w:color w:val="000000"/>
                <w:sz w:val="16"/>
                <w:szCs w:val="16"/>
              </w:rPr>
              <w:t>Environmental Protection Act 1986.</w:t>
            </w:r>
          </w:p>
        </w:tc>
      </w:tr>
      <w:tr w:rsidR="007D495D" w:rsidRPr="007D495D" w14:paraId="1F721064"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A70F3C"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South Australia</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0066BB"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transitional provisions in the </w:t>
            </w:r>
            <w:r w:rsidRPr="007D495D">
              <w:rPr>
                <w:rFonts w:ascii="Times" w:hAnsi="Times" w:cs="Times"/>
                <w:i/>
                <w:iCs/>
                <w:color w:val="000000"/>
                <w:sz w:val="16"/>
                <w:szCs w:val="16"/>
              </w:rPr>
              <w:t>Environment Protection (Miscellaneous) Amendment Act 2005</w:t>
            </w:r>
            <w:r w:rsidRPr="007D495D">
              <w:rPr>
                <w:rFonts w:ascii="Times" w:hAnsi="Times" w:cs="Times"/>
                <w:color w:val="000000"/>
                <w:sz w:val="16"/>
                <w:szCs w:val="16"/>
              </w:rPr>
              <w:t xml:space="preserve"> enable the NEPM to continue to operate as an Environment Protection Policy.</w:t>
            </w:r>
          </w:p>
        </w:tc>
      </w:tr>
      <w:tr w:rsidR="007D495D" w:rsidRPr="007D495D" w14:paraId="48531406"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5EB9AED"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lastRenderedPageBreak/>
              <w:t>Tasmania</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AA364B1"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under the </w:t>
            </w:r>
            <w:r w:rsidRPr="007D495D">
              <w:rPr>
                <w:rFonts w:ascii="Times" w:hAnsi="Times" w:cs="Times"/>
                <w:i/>
                <w:iCs/>
                <w:color w:val="000000"/>
                <w:sz w:val="16"/>
                <w:szCs w:val="16"/>
              </w:rPr>
              <w:t>Environmental Management Pollution Control Act 1994</w:t>
            </w:r>
            <w:r w:rsidRPr="007D495D">
              <w:rPr>
                <w:rFonts w:ascii="Times" w:hAnsi="Times" w:cs="Times"/>
                <w:color w:val="000000"/>
                <w:sz w:val="16"/>
                <w:szCs w:val="16"/>
              </w:rPr>
              <w:t xml:space="preserve">, the </w:t>
            </w:r>
            <w:r w:rsidRPr="007D495D">
              <w:rPr>
                <w:rFonts w:ascii="Times" w:hAnsi="Times" w:cs="Times"/>
                <w:i/>
                <w:iCs/>
                <w:color w:val="000000"/>
                <w:sz w:val="16"/>
                <w:szCs w:val="16"/>
              </w:rPr>
              <w:t>Environment Protection Policy (Air Quality) 2004,</w:t>
            </w:r>
            <w:r w:rsidRPr="007D495D">
              <w:rPr>
                <w:rFonts w:ascii="Times" w:hAnsi="Times" w:cs="Times"/>
                <w:color w:val="000000"/>
                <w:sz w:val="16"/>
                <w:szCs w:val="16"/>
              </w:rPr>
              <w:t xml:space="preserve"> the </w:t>
            </w:r>
            <w:r w:rsidRPr="007D495D">
              <w:rPr>
                <w:rFonts w:ascii="Times" w:hAnsi="Times" w:cs="Times"/>
                <w:i/>
                <w:iCs/>
                <w:color w:val="000000"/>
                <w:sz w:val="16"/>
                <w:szCs w:val="16"/>
              </w:rPr>
              <w:t>Environmental Management and Pollution Control (Distributed Atmospheric Emissions) Regulations 2007</w:t>
            </w:r>
            <w:r w:rsidRPr="007D495D">
              <w:rPr>
                <w:rFonts w:ascii="Times" w:hAnsi="Times" w:cs="Times"/>
                <w:color w:val="000000"/>
                <w:sz w:val="16"/>
                <w:szCs w:val="16"/>
              </w:rPr>
              <w:t xml:space="preserve"> and the Tasmanian Air Quality Strategy 2006.</w:t>
            </w:r>
          </w:p>
          <w:p w14:paraId="195AB80A"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a state policy under the </w:t>
            </w:r>
            <w:r w:rsidRPr="007D495D">
              <w:rPr>
                <w:rFonts w:ascii="Times" w:hAnsi="Times" w:cs="Times"/>
                <w:i/>
                <w:iCs/>
                <w:color w:val="000000"/>
                <w:sz w:val="16"/>
                <w:szCs w:val="16"/>
              </w:rPr>
              <w:t>State Policies and Projects Act 1993.</w:t>
            </w:r>
            <w:r w:rsidRPr="007D495D">
              <w:rPr>
                <w:rFonts w:ascii="Times" w:hAnsi="Times" w:cs="Times"/>
                <w:color w:val="000000"/>
                <w:sz w:val="16"/>
                <w:szCs w:val="16"/>
              </w:rPr>
              <w:t xml:space="preserve"> </w:t>
            </w:r>
          </w:p>
        </w:tc>
      </w:tr>
      <w:tr w:rsidR="007D495D" w:rsidRPr="007D495D" w14:paraId="21079B47"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341374"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6DB2ADA"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under the </w:t>
            </w:r>
            <w:r w:rsidRPr="007D495D">
              <w:rPr>
                <w:rFonts w:ascii="Times" w:hAnsi="Times" w:cs="Times"/>
                <w:i/>
                <w:iCs/>
                <w:color w:val="000000"/>
                <w:sz w:val="16"/>
                <w:szCs w:val="16"/>
              </w:rPr>
              <w:t>Environment Protection Act 1997.</w:t>
            </w:r>
          </w:p>
        </w:tc>
      </w:tr>
      <w:tr w:rsidR="007D495D" w:rsidRPr="007D495D" w14:paraId="0127305D"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DCC178"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Northern Territory</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F6E7CC"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key legislative instruments are the </w:t>
            </w:r>
            <w:r w:rsidRPr="007D495D">
              <w:rPr>
                <w:rFonts w:ascii="Times" w:hAnsi="Times" w:cs="Times"/>
                <w:i/>
                <w:iCs/>
                <w:color w:val="000000"/>
                <w:sz w:val="16"/>
                <w:szCs w:val="16"/>
              </w:rPr>
              <w:t>Waste Management and Pollution Control Act 1988</w:t>
            </w:r>
            <w:r w:rsidRPr="007D495D">
              <w:rPr>
                <w:rFonts w:ascii="Times" w:hAnsi="Times" w:cs="Times"/>
                <w:color w:val="000000"/>
                <w:sz w:val="16"/>
                <w:szCs w:val="16"/>
              </w:rPr>
              <w:t xml:space="preserve"> and the </w:t>
            </w:r>
            <w:r w:rsidRPr="007D495D">
              <w:rPr>
                <w:rFonts w:ascii="Times" w:hAnsi="Times" w:cs="Times"/>
                <w:i/>
                <w:iCs/>
                <w:color w:val="000000"/>
                <w:sz w:val="16"/>
                <w:szCs w:val="16"/>
              </w:rPr>
              <w:t>National Environment Protection Council (Northern Territory) Act 2004.</w:t>
            </w:r>
          </w:p>
        </w:tc>
      </w:tr>
    </w:tbl>
    <w:p w14:paraId="57771C8D"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03A37964"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Implementation issues arising</w:t>
      </w:r>
    </w:p>
    <w:p w14:paraId="31749944"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Table 2 summarises the implementation issues that arose throughout the 2018 reporting year (this NEPM has a calendar year reporting requirement). For implementation activities please refer to jurisdictional reports as listed in Part 5.</w:t>
      </w:r>
    </w:p>
    <w:p w14:paraId="6128986C"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t>Table 2: Summary of implementation issues arising</w:t>
      </w:r>
    </w:p>
    <w:tbl>
      <w:tblPr>
        <w:tblW w:w="9072" w:type="dxa"/>
        <w:tblInd w:w="-5" w:type="dxa"/>
        <w:tblLayout w:type="fixed"/>
        <w:tblCellMar>
          <w:left w:w="0" w:type="dxa"/>
          <w:right w:w="0" w:type="dxa"/>
        </w:tblCellMar>
        <w:tblLook w:val="0000" w:firstRow="0" w:lastRow="0" w:firstColumn="0" w:lastColumn="0" w:noHBand="0" w:noVBand="0"/>
      </w:tblPr>
      <w:tblGrid>
        <w:gridCol w:w="2022"/>
        <w:gridCol w:w="7050"/>
      </w:tblGrid>
      <w:tr w:rsidR="007D495D" w:rsidRPr="007D495D" w14:paraId="42DC2E34" w14:textId="77777777" w:rsidTr="008F19D2">
        <w:trPr>
          <w:trHeight w:val="60"/>
          <w:tblHeader/>
        </w:trPr>
        <w:tc>
          <w:tcPr>
            <w:tcW w:w="202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D6C5574"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Jurisdiction</w:t>
            </w:r>
          </w:p>
        </w:tc>
        <w:tc>
          <w:tcPr>
            <w:tcW w:w="705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0172465"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Summary of implementation issues arising</w:t>
            </w:r>
          </w:p>
        </w:tc>
      </w:tr>
      <w:tr w:rsidR="007D495D" w:rsidRPr="007D495D" w14:paraId="19CE4872"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3E54FF1"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Commonwealth</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389C3A"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issues reported.</w:t>
            </w:r>
          </w:p>
        </w:tc>
      </w:tr>
      <w:tr w:rsidR="007D495D" w:rsidRPr="007D495D" w14:paraId="23E6A59A"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BDFC0F"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New South Wales</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87B793B"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Four of 28 stations did not comply with the NEPM as they recorded less than 75% data availability for pollutants over any three-month period.</w:t>
            </w:r>
          </w:p>
        </w:tc>
      </w:tr>
      <w:tr w:rsidR="007D495D" w:rsidRPr="007D495D" w14:paraId="7CA0A586"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6BBE44"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Victoria</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6F0ED1"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Data capture targets were not achieved for ozone at Dandenong, Melton, Mooroolbark or Point Cook (these stations do not operate across the full year).</w:t>
            </w:r>
          </w:p>
          <w:p w14:paraId="71985924"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Data capture targets were not met at number of stations for some pollutants due to instrumentation issues.</w:t>
            </w:r>
          </w:p>
        </w:tc>
      </w:tr>
      <w:tr w:rsidR="007D495D" w:rsidRPr="007D495D" w14:paraId="0B2E0A7F"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FAF1CD"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Queensland</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1B2381"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Monitoring began at a new monitoring site at Southport on the Gold Coast in South East Queensland from February 2018.</w:t>
            </w:r>
          </w:p>
        </w:tc>
      </w:tr>
      <w:tr w:rsidR="007D495D" w:rsidRPr="007D495D" w14:paraId="5CCDFF75"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555CB8"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Western Australia</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D2A342"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issues reported.</w:t>
            </w:r>
          </w:p>
        </w:tc>
      </w:tr>
      <w:tr w:rsidR="007D495D" w:rsidRPr="007D495D" w14:paraId="2ADD337C"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CE039E"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South Australia</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B6DB59E"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Compliance with NEPM standards and goals for some pollutants at some sites could not be demonstrated due to data capture targets not being achieved. This was due to technical issues with instrumentation and equipment breakdowns.</w:t>
            </w:r>
          </w:p>
        </w:tc>
      </w:tr>
      <w:tr w:rsidR="007D495D" w:rsidRPr="007D495D" w14:paraId="61A384A0"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0CE1A9"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Tasmania</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39BA0F"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issues reported.</w:t>
            </w:r>
          </w:p>
        </w:tc>
      </w:tr>
      <w:tr w:rsidR="007D495D" w:rsidRPr="007D495D" w14:paraId="5ACEB7DA"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23E14A"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086B4B1"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issues reported.</w:t>
            </w:r>
          </w:p>
        </w:tc>
      </w:tr>
      <w:tr w:rsidR="007D495D" w:rsidRPr="007D495D" w14:paraId="623BCF0C" w14:textId="77777777" w:rsidTr="008F19D2">
        <w:trPr>
          <w:trHeight w:val="60"/>
        </w:trPr>
        <w:tc>
          <w:tcPr>
            <w:tcW w:w="20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6FFFF6" w14:textId="77777777" w:rsidR="007D495D" w:rsidRPr="007D495D" w:rsidRDefault="007D495D" w:rsidP="008F19D2">
            <w:pPr>
              <w:suppressAutoHyphens/>
              <w:autoSpaceDE w:val="0"/>
              <w:autoSpaceDN w:val="0"/>
              <w:adjustRightInd w:val="0"/>
              <w:spacing w:after="40"/>
              <w:textAlignment w:val="center"/>
              <w:rPr>
                <w:rFonts w:ascii="Times" w:hAnsi="Times" w:cs="Times"/>
                <w:color w:val="000000"/>
                <w:sz w:val="16"/>
                <w:szCs w:val="16"/>
              </w:rPr>
            </w:pPr>
            <w:r w:rsidRPr="007D495D">
              <w:rPr>
                <w:rFonts w:ascii="Times" w:hAnsi="Times" w:cs="Times"/>
                <w:color w:val="000000"/>
                <w:sz w:val="16"/>
                <w:szCs w:val="16"/>
              </w:rPr>
              <w:t>Northern Territory</w:t>
            </w:r>
          </w:p>
        </w:tc>
        <w:tc>
          <w:tcPr>
            <w:tcW w:w="7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BB4B12" w14:textId="77777777" w:rsidR="007D495D" w:rsidRPr="007D495D" w:rsidRDefault="007D495D" w:rsidP="008F19D2">
            <w:pPr>
              <w:tabs>
                <w:tab w:val="left" w:pos="170"/>
                <w:tab w:val="left" w:pos="360"/>
              </w:tabs>
              <w:suppressAutoHyphens/>
              <w:autoSpaceDE w:val="0"/>
              <w:autoSpaceDN w:val="0"/>
              <w:adjustRightInd w:val="0"/>
              <w:spacing w:after="40"/>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issues reported.</w:t>
            </w:r>
          </w:p>
        </w:tc>
      </w:tr>
    </w:tbl>
    <w:p w14:paraId="59C71DAD"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8"/>
          <w:szCs w:val="18"/>
        </w:rPr>
      </w:pPr>
    </w:p>
    <w:p w14:paraId="46CA566E"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3—JURISDICTIONAL REPORT ON ACTIVITIES UNDER THE NEPM</w:t>
      </w:r>
    </w:p>
    <w:p w14:paraId="5B6298F8"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During 2018, jurisdictions progressed work on updating the standards for NEPM pollutants other than particles, for which updated standards were agreed by Ministers in 2015. </w:t>
      </w:r>
    </w:p>
    <w:p w14:paraId="70934838"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In September 2017, the Commonwealth legislated national product emission standards for non-road spark ignition engines and equipment such as outdoor power equipment and marine outboard engines. These standards will be phased in through to 2020, supporting industry transition by commencing with import requirements before moving to supply requirements. </w:t>
      </w:r>
    </w:p>
    <w:p w14:paraId="5D467C49"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Most jurisdictions continued to focus on programs that improve fuel quality and reduce emissions from motor vehicles and wood heaters, with several jurisdictions reporting improvements in particulate levels as a result. A number of jurisdictions continued to investigate the sources, dispersal and management of emissions from mining, non-road activities (such as rail and shipping), industry and planned burns to reduce their impact on local communities, with some of these activities now requiring licensing or otherwise being brought into a formal legislative or approvals framework. Alternative monitoring technologies were also trialled in some jurisdictions, with some noting the need to replace ageing equipment. </w:t>
      </w:r>
    </w:p>
    <w:p w14:paraId="741AE4BE"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lastRenderedPageBreak/>
        <w:t>Part 4—Assessment of NEPM effectiveness</w:t>
      </w:r>
    </w:p>
    <w:p w14:paraId="46C6404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NEPM continues to be valuable in the management and assessment of air quality in Australia. It provides a nationally consistent framework for the monitoring and reporting of air quality and nationally consistent benchmarks against which to assess air quality.</w:t>
      </w:r>
    </w:p>
    <w:p w14:paraId="3E9C3244"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Improvements in the data capture levels, and new or replacement stations becoming operational this reporting year, allowed for more consistent and comparable results across and between jurisdictions. </w:t>
      </w:r>
    </w:p>
    <w:p w14:paraId="0941321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Monitoring results show that NEPM standards are mostly being met and that Australia’s air quality is generally good compared with international standards. Most jurisdictions consistently meet the standards and goals for nitrogen dioxide, carbon monoxide and </w:t>
      </w:r>
      <w:proofErr w:type="spellStart"/>
      <w:r w:rsidRPr="007D495D">
        <w:rPr>
          <w:rFonts w:ascii="Times" w:hAnsi="Times" w:cs="Times"/>
          <w:color w:val="000000"/>
          <w:sz w:val="16"/>
          <w:szCs w:val="16"/>
        </w:rPr>
        <w:t>sulfur</w:t>
      </w:r>
      <w:proofErr w:type="spellEnd"/>
      <w:r w:rsidRPr="007D495D">
        <w:rPr>
          <w:rFonts w:ascii="Times" w:hAnsi="Times" w:cs="Times"/>
          <w:color w:val="000000"/>
          <w:sz w:val="16"/>
          <w:szCs w:val="16"/>
        </w:rPr>
        <w:t xml:space="preserve"> dioxide (except in some areas with smelting activities).</w:t>
      </w:r>
    </w:p>
    <w:p w14:paraId="252AAE70"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Meeting the AAQ NEPM standards for ozone and particulates remains a significant challenge for larger metropolitan areas in a number of jurisdictions given pressures from a growing population, urban expansion, increased economic activity and the associated increase in motor vehicle use. </w:t>
      </w:r>
      <w:proofErr w:type="gramStart"/>
      <w:r w:rsidRPr="007D495D">
        <w:rPr>
          <w:rFonts w:ascii="Times" w:hAnsi="Times" w:cs="Times"/>
          <w:color w:val="000000"/>
          <w:sz w:val="16"/>
          <w:szCs w:val="16"/>
        </w:rPr>
        <w:t>Bushfires,</w:t>
      </w:r>
      <w:proofErr w:type="gramEnd"/>
      <w:r w:rsidRPr="007D495D">
        <w:rPr>
          <w:rFonts w:ascii="Times" w:hAnsi="Times" w:cs="Times"/>
          <w:color w:val="000000"/>
          <w:sz w:val="16"/>
          <w:szCs w:val="16"/>
        </w:rPr>
        <w:t xml:space="preserve"> controlled burning and windblown dust continue to cause exceedances of particulate levels in a number of jurisdictions, particularly those in eastern and southern Australia. </w:t>
      </w:r>
    </w:p>
    <w:p w14:paraId="7172C69E"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5—Reporting on implementation by jurisdictions</w:t>
      </w:r>
    </w:p>
    <w:p w14:paraId="5B3A839F"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annexes to this report are in Appendix 2:</w:t>
      </w:r>
    </w:p>
    <w:tbl>
      <w:tblPr>
        <w:tblW w:w="0" w:type="auto"/>
        <w:tblInd w:w="-5" w:type="dxa"/>
        <w:tblLayout w:type="fixed"/>
        <w:tblCellMar>
          <w:left w:w="0" w:type="dxa"/>
          <w:right w:w="0" w:type="dxa"/>
        </w:tblCellMar>
        <w:tblLook w:val="0000" w:firstRow="0" w:lastRow="0" w:firstColumn="0" w:lastColumn="0" w:noHBand="0" w:noVBand="0"/>
      </w:tblPr>
      <w:tblGrid>
        <w:gridCol w:w="1242"/>
        <w:gridCol w:w="4890"/>
      </w:tblGrid>
      <w:tr w:rsidR="008F19D2" w:rsidRPr="007D495D" w14:paraId="6E185B13" w14:textId="77777777" w:rsidTr="00470BBE">
        <w:trPr>
          <w:trHeight w:val="60"/>
        </w:trPr>
        <w:tc>
          <w:tcPr>
            <w:tcW w:w="1242" w:type="dxa"/>
            <w:tcBorders>
              <w:top w:val="single" w:sz="6" w:space="0" w:color="auto"/>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EC038A"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1:</w:t>
            </w:r>
          </w:p>
        </w:tc>
        <w:tc>
          <w:tcPr>
            <w:tcW w:w="4890" w:type="dxa"/>
            <w:tcBorders>
              <w:top w:val="single" w:sz="6" w:space="0" w:color="auto"/>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507610"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Commonwealth</w:t>
            </w:r>
          </w:p>
        </w:tc>
      </w:tr>
      <w:tr w:rsidR="008F19D2" w:rsidRPr="007D495D" w14:paraId="2F84DE03"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76ACFC1"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2:</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B0EFAA"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New South Wales</w:t>
            </w:r>
          </w:p>
        </w:tc>
      </w:tr>
      <w:tr w:rsidR="008F19D2" w:rsidRPr="007D495D" w14:paraId="7264D532"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45DF4D"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3:</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E944803"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Victoria</w:t>
            </w:r>
          </w:p>
        </w:tc>
      </w:tr>
      <w:tr w:rsidR="008F19D2" w:rsidRPr="007D495D" w14:paraId="7EC73E39"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53DA33"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4:</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8E693E5"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Queensland</w:t>
            </w:r>
          </w:p>
        </w:tc>
      </w:tr>
      <w:tr w:rsidR="008F19D2" w:rsidRPr="007D495D" w14:paraId="6FAF66BB"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AB1063"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5:</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A06D3A"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Western Australia</w:t>
            </w:r>
          </w:p>
        </w:tc>
      </w:tr>
      <w:tr w:rsidR="008F19D2" w:rsidRPr="007D495D" w14:paraId="5642BD0E"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704F857"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6:</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B7E45E"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South Australia</w:t>
            </w:r>
          </w:p>
        </w:tc>
      </w:tr>
      <w:tr w:rsidR="008F19D2" w:rsidRPr="007D495D" w14:paraId="535A06CE"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5BB660"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7:</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70571E"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Tasmania</w:t>
            </w:r>
          </w:p>
        </w:tc>
      </w:tr>
      <w:tr w:rsidR="008F19D2" w:rsidRPr="007D495D" w14:paraId="5FAF8CB3"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C3EF71"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8:</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C59D63"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r>
      <w:tr w:rsidR="008F19D2" w:rsidRPr="007D495D" w14:paraId="62DE6478"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B5AB1B"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9:</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722339"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r>
    </w:tbl>
    <w:p w14:paraId="08C13F77"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7DD22911" w14:textId="77777777" w:rsidR="008F19D2" w:rsidRDefault="008F19D2">
      <w:pPr>
        <w:rPr>
          <w:rFonts w:ascii="Calibri Light" w:hAnsi="Calibri Light" w:cs="Calibri Light"/>
          <w:color w:val="000000"/>
          <w:spacing w:val="10"/>
          <w:sz w:val="32"/>
          <w:szCs w:val="32"/>
        </w:rPr>
      </w:pPr>
      <w:r>
        <w:rPr>
          <w:rFonts w:ascii="Calibri Light" w:hAnsi="Calibri Light" w:cs="Calibri Light"/>
          <w:color w:val="000000"/>
          <w:spacing w:val="10"/>
          <w:sz w:val="32"/>
          <w:szCs w:val="32"/>
        </w:rPr>
        <w:br w:type="page"/>
      </w:r>
    </w:p>
    <w:p w14:paraId="0E72DE76" w14:textId="4A7B78B2" w:rsidR="007D495D" w:rsidRPr="00470BBE" w:rsidRDefault="00470BBE" w:rsidP="00CB0DA6">
      <w:pPr>
        <w:pStyle w:val="Heading1"/>
        <w:rPr>
          <w:spacing w:val="10"/>
          <w:sz w:val="32"/>
          <w:szCs w:val="32"/>
        </w:rPr>
      </w:pPr>
      <w:bookmarkStart w:id="9" w:name="_Toc58254363"/>
      <w:r w:rsidRPr="007D495D">
        <w:rPr>
          <w:spacing w:val="10"/>
          <w:sz w:val="32"/>
          <w:szCs w:val="32"/>
        </w:rPr>
        <w:lastRenderedPageBreak/>
        <w:t xml:space="preserve">NEPC report on the implementation of the </w:t>
      </w:r>
      <w:r>
        <w:rPr>
          <w:spacing w:val="10"/>
          <w:sz w:val="32"/>
          <w:szCs w:val="32"/>
        </w:rPr>
        <w:br/>
      </w:r>
      <w:r w:rsidR="007D495D" w:rsidRPr="007D495D">
        <w:t>National Environment Protection (Assessment of Site Contamination) Measure</w:t>
      </w:r>
      <w:bookmarkEnd w:id="9"/>
    </w:p>
    <w:p w14:paraId="67CD01AC"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1—General Information</w:t>
      </w:r>
    </w:p>
    <w:p w14:paraId="3EC61527"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NEPM details</w:t>
      </w:r>
    </w:p>
    <w:p w14:paraId="502641B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Title:</w:t>
      </w:r>
      <w:r w:rsidRPr="007D495D">
        <w:rPr>
          <w:rFonts w:ascii="Times" w:hAnsi="Times" w:cs="Times"/>
          <w:color w:val="000000"/>
          <w:sz w:val="16"/>
          <w:szCs w:val="16"/>
        </w:rPr>
        <w:t xml:space="preserve"> National Environment Protection (Assessment of Site Contamination) Measure</w:t>
      </w:r>
    </w:p>
    <w:p w14:paraId="66B34345"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 xml:space="preserve">Made by Council: </w:t>
      </w:r>
      <w:r w:rsidRPr="007D495D">
        <w:rPr>
          <w:rFonts w:ascii="Times" w:hAnsi="Times" w:cs="Times"/>
          <w:color w:val="000000"/>
          <w:sz w:val="16"/>
          <w:szCs w:val="16"/>
        </w:rPr>
        <w:t>10 December 1999</w:t>
      </w:r>
    </w:p>
    <w:p w14:paraId="0628A6B4"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 xml:space="preserve">Commencement date: </w:t>
      </w:r>
      <w:r w:rsidRPr="007D495D">
        <w:rPr>
          <w:rFonts w:ascii="Times" w:hAnsi="Times" w:cs="Times"/>
          <w:color w:val="000000"/>
          <w:sz w:val="16"/>
          <w:szCs w:val="16"/>
        </w:rPr>
        <w:t>22 December 1999 (advertised in Commonwealth of Australia Gazette No. GN 51, 22 December 1999, p. 4246)</w:t>
      </w:r>
    </w:p>
    <w:p w14:paraId="60900BCC"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NEPM goal (or purpose)</w:t>
      </w:r>
    </w:p>
    <w:p w14:paraId="11218B19"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goal of the National Environment Protection (Assessment of Site Contamination) Measure is set out in clause 5(1) of the Measure as follows:</w:t>
      </w:r>
    </w:p>
    <w:p w14:paraId="4EE1E678" w14:textId="77777777" w:rsidR="007D495D" w:rsidRPr="007D495D" w:rsidRDefault="007D495D" w:rsidP="007D495D">
      <w:pPr>
        <w:suppressAutoHyphens/>
        <w:autoSpaceDE w:val="0"/>
        <w:autoSpaceDN w:val="0"/>
        <w:adjustRightInd w:val="0"/>
        <w:spacing w:after="113" w:line="288" w:lineRule="auto"/>
        <w:ind w:left="340" w:right="340"/>
        <w:textAlignment w:val="center"/>
        <w:rPr>
          <w:rFonts w:ascii="Times" w:hAnsi="Times" w:cs="Times"/>
          <w:i/>
          <w:iCs/>
          <w:color w:val="000000"/>
          <w:sz w:val="16"/>
          <w:szCs w:val="16"/>
        </w:rPr>
      </w:pPr>
      <w:r w:rsidRPr="007D495D">
        <w:rPr>
          <w:rFonts w:ascii="Times" w:hAnsi="Times" w:cs="Times"/>
          <w:i/>
          <w:iCs/>
          <w:color w:val="000000"/>
          <w:sz w:val="16"/>
          <w:szCs w:val="16"/>
        </w:rPr>
        <w:t>The purpose of the Measure is to establish a nationally consistent approach to the assessment of site contamination to ensure sound environmental management practices by the community which includes regulators, site assessors, environmental auditors, landowners, developers and industry.</w:t>
      </w:r>
    </w:p>
    <w:p w14:paraId="4B535FC3"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Desired environmental outcomes</w:t>
      </w:r>
    </w:p>
    <w:p w14:paraId="588D9155"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desired environmental outcome of the National Environment Protection (Assessment of Site Contamination) Measure is set out in clause 5(2) of the Measure as follows:</w:t>
      </w:r>
    </w:p>
    <w:p w14:paraId="4A0D4D62" w14:textId="77777777" w:rsidR="007D495D" w:rsidRPr="007D495D" w:rsidRDefault="007D495D" w:rsidP="007D495D">
      <w:pPr>
        <w:suppressAutoHyphens/>
        <w:autoSpaceDE w:val="0"/>
        <w:autoSpaceDN w:val="0"/>
        <w:adjustRightInd w:val="0"/>
        <w:spacing w:after="113" w:line="288" w:lineRule="auto"/>
        <w:ind w:left="340" w:right="340"/>
        <w:textAlignment w:val="center"/>
        <w:rPr>
          <w:rFonts w:ascii="Times" w:hAnsi="Times" w:cs="Times"/>
          <w:i/>
          <w:iCs/>
          <w:color w:val="000000"/>
          <w:sz w:val="16"/>
          <w:szCs w:val="16"/>
        </w:rPr>
      </w:pPr>
      <w:r w:rsidRPr="007D495D">
        <w:rPr>
          <w:rFonts w:ascii="Times" w:hAnsi="Times" w:cs="Times"/>
          <w:i/>
          <w:iCs/>
          <w:color w:val="000000"/>
          <w:sz w:val="16"/>
          <w:szCs w:val="16"/>
        </w:rPr>
        <w:t>The desired environmental outcome for this Measure is to provide adequate protection of human health and the environment, where site contamination has occurred, through the development of an efficient and effective national approach to the assessment of site contamination.</w:t>
      </w:r>
    </w:p>
    <w:p w14:paraId="7B5E8AD4"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Evaluation criteria</w:t>
      </w:r>
    </w:p>
    <w:p w14:paraId="7500EC3C"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effectiveness of the National Environment Protection (Assessment of Site Contamination) Measure has been assessed against the evaluation criteria for this NEPM.</w:t>
      </w:r>
    </w:p>
    <w:p w14:paraId="3F73B880"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2—Implementation of the NEPM and any significant issues</w:t>
      </w:r>
    </w:p>
    <w:p w14:paraId="5579E655"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This part provides a summary of jurisdictional reports on implementation and the Council’s overall assessment of the implementation of the NEPM.</w:t>
      </w:r>
    </w:p>
    <w:p w14:paraId="408630EE"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Legislative, regulatory and administrative framework</w:t>
      </w:r>
    </w:p>
    <w:p w14:paraId="7710036F"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t>Table 1: Summary of implementation frameworks</w:t>
      </w:r>
    </w:p>
    <w:tbl>
      <w:tblPr>
        <w:tblW w:w="0" w:type="auto"/>
        <w:tblInd w:w="-5" w:type="dxa"/>
        <w:tblLayout w:type="fixed"/>
        <w:tblCellMar>
          <w:left w:w="0" w:type="dxa"/>
          <w:right w:w="0" w:type="dxa"/>
        </w:tblCellMar>
        <w:tblLook w:val="0000" w:firstRow="0" w:lastRow="0" w:firstColumn="0" w:lastColumn="0" w:noHBand="0" w:noVBand="0"/>
      </w:tblPr>
      <w:tblGrid>
        <w:gridCol w:w="1993"/>
        <w:gridCol w:w="5424"/>
      </w:tblGrid>
      <w:tr w:rsidR="007D495D" w:rsidRPr="007D495D" w14:paraId="32077210" w14:textId="77777777">
        <w:trPr>
          <w:trHeight w:val="60"/>
          <w:tblHeader/>
        </w:trPr>
        <w:tc>
          <w:tcPr>
            <w:tcW w:w="199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C60A585"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Jurisdiction</w:t>
            </w:r>
          </w:p>
        </w:tc>
        <w:tc>
          <w:tcPr>
            <w:tcW w:w="542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2BAC43E"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Summary of implementation frameworks</w:t>
            </w:r>
          </w:p>
        </w:tc>
      </w:tr>
      <w:tr w:rsidR="007D495D" w:rsidRPr="007D495D" w14:paraId="294112F8" w14:textId="77777777">
        <w:trPr>
          <w:trHeight w:val="60"/>
        </w:trPr>
        <w:tc>
          <w:tcPr>
            <w:tcW w:w="199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AFAD19"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Commonwealth</w:t>
            </w:r>
          </w:p>
        </w:tc>
        <w:tc>
          <w:tcPr>
            <w:tcW w:w="54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907765"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NEPM is implemented administratively.</w:t>
            </w:r>
          </w:p>
        </w:tc>
      </w:tr>
      <w:tr w:rsidR="007D495D" w:rsidRPr="007D495D" w14:paraId="7374AE4E" w14:textId="77777777">
        <w:trPr>
          <w:trHeight w:val="60"/>
        </w:trPr>
        <w:tc>
          <w:tcPr>
            <w:tcW w:w="199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816D30"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New South Wales</w:t>
            </w:r>
          </w:p>
        </w:tc>
        <w:tc>
          <w:tcPr>
            <w:tcW w:w="54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46B403"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operates under guidelines issued under the </w:t>
            </w:r>
            <w:r w:rsidRPr="007D495D">
              <w:rPr>
                <w:rFonts w:ascii="Times" w:hAnsi="Times" w:cs="Times"/>
                <w:i/>
                <w:iCs/>
                <w:color w:val="000000"/>
                <w:sz w:val="16"/>
                <w:szCs w:val="16"/>
              </w:rPr>
              <w:t>Contaminated Land Management Act 1997.</w:t>
            </w:r>
          </w:p>
        </w:tc>
      </w:tr>
      <w:tr w:rsidR="007D495D" w:rsidRPr="007D495D" w14:paraId="7AD62F55" w14:textId="77777777">
        <w:trPr>
          <w:trHeight w:val="60"/>
        </w:trPr>
        <w:tc>
          <w:tcPr>
            <w:tcW w:w="199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4FD0A8"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Victoria</w:t>
            </w:r>
          </w:p>
        </w:tc>
        <w:tc>
          <w:tcPr>
            <w:tcW w:w="54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704B3A5"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key legislative instruments for administering the NEPM are: </w:t>
            </w:r>
          </w:p>
          <w:p w14:paraId="4A6C8906"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34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State Environment Protection Policy (Prevention and Management of Contamination of Land) </w:t>
            </w:r>
          </w:p>
          <w:p w14:paraId="40D17AFB"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34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State Environment Protection Policy (Groundwaters of Victoria). (Replaced by the State Environment Protection Policy (Waters) in October 2018.)</w:t>
            </w:r>
          </w:p>
          <w:p w14:paraId="3F67B3D1"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34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w:t>
            </w:r>
            <w:r w:rsidRPr="007D495D">
              <w:rPr>
                <w:rFonts w:ascii="Times" w:hAnsi="Times" w:cs="Times"/>
                <w:i/>
                <w:iCs/>
                <w:color w:val="000000"/>
                <w:sz w:val="16"/>
                <w:szCs w:val="16"/>
              </w:rPr>
              <w:t>Environment Protection (Industrial Waste Resource) Regulations 2009.</w:t>
            </w:r>
          </w:p>
          <w:p w14:paraId="086A4174"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340" w:hanging="170"/>
              <w:textAlignment w:val="center"/>
              <w:rPr>
                <w:rFonts w:ascii="Times" w:hAnsi="Times" w:cs="Times"/>
                <w:i/>
                <w:iC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w:t>
            </w:r>
            <w:r w:rsidRPr="007D495D">
              <w:rPr>
                <w:rFonts w:ascii="Times" w:hAnsi="Times" w:cs="Times"/>
                <w:i/>
                <w:iCs/>
                <w:color w:val="000000"/>
                <w:sz w:val="16"/>
                <w:szCs w:val="16"/>
              </w:rPr>
              <w:t xml:space="preserve"> Planning and Environment Act 1987.</w:t>
            </w:r>
          </w:p>
          <w:p w14:paraId="6F5DC186"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lastRenderedPageBreak/>
              <w:t>•</w:t>
            </w:r>
            <w:r w:rsidRPr="007D495D">
              <w:rPr>
                <w:rFonts w:ascii="Times" w:hAnsi="Times" w:cs="Times"/>
                <w:color w:val="000000"/>
                <w:sz w:val="16"/>
                <w:szCs w:val="16"/>
              </w:rPr>
              <w:tab/>
              <w:t>The Environmental Audit System (Contaminated Land) provides the administrative framework for assessing site contamination.</w:t>
            </w:r>
          </w:p>
        </w:tc>
      </w:tr>
      <w:tr w:rsidR="007D495D" w:rsidRPr="007D495D" w14:paraId="46C167E2" w14:textId="77777777">
        <w:trPr>
          <w:trHeight w:val="60"/>
        </w:trPr>
        <w:tc>
          <w:tcPr>
            <w:tcW w:w="199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E2C140"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lastRenderedPageBreak/>
              <w:t>Queensland</w:t>
            </w:r>
          </w:p>
        </w:tc>
        <w:tc>
          <w:tcPr>
            <w:tcW w:w="54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71C60FB"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w:t>
            </w:r>
            <w:r w:rsidRPr="007D495D">
              <w:rPr>
                <w:rFonts w:ascii="Times" w:hAnsi="Times" w:cs="Times"/>
                <w:i/>
                <w:iCs/>
                <w:color w:val="000000"/>
                <w:sz w:val="16"/>
                <w:szCs w:val="16"/>
              </w:rPr>
              <w:t>Sustainable Planning Act 2009</w:t>
            </w:r>
            <w:r w:rsidRPr="007D495D">
              <w:rPr>
                <w:rFonts w:ascii="Times" w:hAnsi="Times" w:cs="Times"/>
                <w:color w:val="000000"/>
                <w:sz w:val="16"/>
                <w:szCs w:val="16"/>
              </w:rPr>
              <w:t xml:space="preserve">, the </w:t>
            </w:r>
            <w:r w:rsidRPr="007D495D">
              <w:rPr>
                <w:rFonts w:ascii="Times" w:hAnsi="Times" w:cs="Times"/>
                <w:i/>
                <w:iCs/>
                <w:color w:val="000000"/>
                <w:sz w:val="16"/>
                <w:szCs w:val="16"/>
              </w:rPr>
              <w:t>Environmental Protection Act 1994</w:t>
            </w:r>
            <w:r w:rsidRPr="007D495D">
              <w:rPr>
                <w:rFonts w:ascii="Times" w:hAnsi="Times" w:cs="Times"/>
                <w:color w:val="000000"/>
                <w:sz w:val="16"/>
                <w:szCs w:val="16"/>
              </w:rPr>
              <w:t xml:space="preserve"> and the </w:t>
            </w:r>
            <w:r w:rsidRPr="007D495D">
              <w:rPr>
                <w:rFonts w:ascii="Times" w:hAnsi="Times" w:cs="Times"/>
                <w:i/>
                <w:iCs/>
                <w:color w:val="000000"/>
                <w:sz w:val="16"/>
                <w:szCs w:val="16"/>
              </w:rPr>
              <w:t xml:space="preserve">Planning Regulation 2017 </w:t>
            </w:r>
            <w:r w:rsidRPr="007D495D">
              <w:rPr>
                <w:rFonts w:ascii="Times" w:hAnsi="Times" w:cs="Times"/>
                <w:color w:val="000000"/>
                <w:sz w:val="16"/>
                <w:szCs w:val="16"/>
              </w:rPr>
              <w:t xml:space="preserve">are the key legislative instruments. </w:t>
            </w:r>
          </w:p>
        </w:tc>
      </w:tr>
      <w:tr w:rsidR="007D495D" w:rsidRPr="007D495D" w14:paraId="2BF51C57" w14:textId="77777777">
        <w:trPr>
          <w:trHeight w:val="60"/>
        </w:trPr>
        <w:tc>
          <w:tcPr>
            <w:tcW w:w="199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4BB15C2"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Western Australia</w:t>
            </w:r>
          </w:p>
        </w:tc>
        <w:tc>
          <w:tcPr>
            <w:tcW w:w="54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3E5FFD"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through the </w:t>
            </w:r>
            <w:r w:rsidRPr="007D495D">
              <w:rPr>
                <w:rFonts w:ascii="Times" w:hAnsi="Times" w:cs="Times"/>
                <w:i/>
                <w:iCs/>
                <w:color w:val="000000"/>
                <w:sz w:val="16"/>
                <w:szCs w:val="16"/>
              </w:rPr>
              <w:t>Contaminated Sites Act 2003</w:t>
            </w:r>
            <w:r w:rsidRPr="007D495D">
              <w:rPr>
                <w:rFonts w:ascii="Times" w:hAnsi="Times" w:cs="Times"/>
                <w:color w:val="000000"/>
                <w:sz w:val="16"/>
                <w:szCs w:val="16"/>
              </w:rPr>
              <w:t xml:space="preserve"> and the </w:t>
            </w:r>
            <w:r w:rsidRPr="007D495D">
              <w:rPr>
                <w:rFonts w:ascii="Times" w:hAnsi="Times" w:cs="Times"/>
                <w:i/>
                <w:iCs/>
                <w:color w:val="000000"/>
                <w:sz w:val="16"/>
                <w:szCs w:val="16"/>
              </w:rPr>
              <w:t xml:space="preserve">Contaminated Sites Regulations 2006 </w:t>
            </w:r>
            <w:r w:rsidRPr="007D495D">
              <w:rPr>
                <w:rFonts w:ascii="Times" w:hAnsi="Times" w:cs="Times"/>
                <w:color w:val="000000"/>
                <w:sz w:val="16"/>
                <w:szCs w:val="16"/>
              </w:rPr>
              <w:t>and associated relevant technical guidelines.</w:t>
            </w:r>
          </w:p>
        </w:tc>
      </w:tr>
      <w:tr w:rsidR="007D495D" w:rsidRPr="007D495D" w14:paraId="56C44AA9" w14:textId="77777777">
        <w:trPr>
          <w:trHeight w:val="60"/>
        </w:trPr>
        <w:tc>
          <w:tcPr>
            <w:tcW w:w="199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54D0E9E"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South Australia</w:t>
            </w:r>
          </w:p>
        </w:tc>
        <w:tc>
          <w:tcPr>
            <w:tcW w:w="54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836BB83"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w:t>
            </w:r>
            <w:r w:rsidRPr="007D495D">
              <w:rPr>
                <w:rFonts w:ascii="Times" w:hAnsi="Times" w:cs="Times"/>
                <w:i/>
                <w:iCs/>
                <w:color w:val="000000"/>
                <w:sz w:val="16"/>
                <w:szCs w:val="16"/>
              </w:rPr>
              <w:t>Environment Protection Act 1993</w:t>
            </w:r>
            <w:r w:rsidRPr="007D495D">
              <w:rPr>
                <w:rFonts w:ascii="Times" w:hAnsi="Times" w:cs="Times"/>
                <w:color w:val="000000"/>
                <w:sz w:val="16"/>
                <w:szCs w:val="16"/>
              </w:rPr>
              <w:t xml:space="preserve"> provides a legislative framework to manage site contamination, including prescribed technical guidelines.</w:t>
            </w:r>
          </w:p>
        </w:tc>
      </w:tr>
      <w:tr w:rsidR="007D495D" w:rsidRPr="007D495D" w14:paraId="57DCC00C" w14:textId="77777777">
        <w:trPr>
          <w:trHeight w:val="60"/>
        </w:trPr>
        <w:tc>
          <w:tcPr>
            <w:tcW w:w="199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3710678"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Tasmania</w:t>
            </w:r>
          </w:p>
        </w:tc>
        <w:tc>
          <w:tcPr>
            <w:tcW w:w="54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11F199"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a state policy under the </w:t>
            </w:r>
            <w:r w:rsidRPr="007D495D">
              <w:rPr>
                <w:rFonts w:ascii="Times" w:hAnsi="Times" w:cs="Times"/>
                <w:i/>
                <w:iCs/>
                <w:color w:val="000000"/>
                <w:sz w:val="16"/>
                <w:szCs w:val="16"/>
              </w:rPr>
              <w:t>State Policies and Projects Act 1993.</w:t>
            </w:r>
            <w:r w:rsidRPr="007D495D">
              <w:rPr>
                <w:rFonts w:ascii="Times" w:hAnsi="Times" w:cs="Times"/>
                <w:color w:val="000000"/>
                <w:sz w:val="16"/>
                <w:szCs w:val="16"/>
              </w:rPr>
              <w:t xml:space="preserve"> </w:t>
            </w:r>
          </w:p>
          <w:p w14:paraId="656E69C6"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under the </w:t>
            </w:r>
            <w:r w:rsidRPr="007D495D">
              <w:rPr>
                <w:rFonts w:ascii="Times" w:hAnsi="Times" w:cs="Times"/>
                <w:i/>
                <w:iCs/>
                <w:color w:val="000000"/>
                <w:sz w:val="16"/>
                <w:szCs w:val="16"/>
              </w:rPr>
              <w:t>Environmental Management and Pollution Control Act 1994</w:t>
            </w:r>
            <w:r w:rsidRPr="007D495D">
              <w:rPr>
                <w:rFonts w:ascii="Times" w:hAnsi="Times" w:cs="Times"/>
                <w:color w:val="000000"/>
                <w:sz w:val="16"/>
                <w:szCs w:val="16"/>
              </w:rPr>
              <w:t xml:space="preserve">, the </w:t>
            </w:r>
            <w:r w:rsidRPr="007D495D">
              <w:rPr>
                <w:rFonts w:ascii="Times" w:hAnsi="Times" w:cs="Times"/>
                <w:i/>
                <w:iCs/>
                <w:color w:val="000000"/>
                <w:sz w:val="16"/>
                <w:szCs w:val="16"/>
              </w:rPr>
              <w:t>Environmental Management and Pollution Control (Underground Petroleum Storage Systems) Regulations</w:t>
            </w:r>
            <w:r w:rsidRPr="007D495D">
              <w:rPr>
                <w:rFonts w:ascii="Times" w:hAnsi="Times" w:cs="Times"/>
                <w:color w:val="000000"/>
                <w:sz w:val="16"/>
                <w:szCs w:val="16"/>
              </w:rPr>
              <w:t xml:space="preserve"> and associated guidelines.</w:t>
            </w:r>
          </w:p>
        </w:tc>
      </w:tr>
      <w:tr w:rsidR="007D495D" w:rsidRPr="007D495D" w14:paraId="17EE7309" w14:textId="77777777">
        <w:trPr>
          <w:trHeight w:val="60"/>
        </w:trPr>
        <w:tc>
          <w:tcPr>
            <w:tcW w:w="199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AC07482"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c>
          <w:tcPr>
            <w:tcW w:w="54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428B7F"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by the Contaminated Sites Environment Protection Policy made under the </w:t>
            </w:r>
            <w:r w:rsidRPr="007D495D">
              <w:rPr>
                <w:rFonts w:ascii="Times" w:hAnsi="Times" w:cs="Times"/>
                <w:i/>
                <w:iCs/>
                <w:color w:val="000000"/>
                <w:sz w:val="16"/>
                <w:szCs w:val="16"/>
              </w:rPr>
              <w:t>Environment Protection Act 1997.</w:t>
            </w:r>
          </w:p>
        </w:tc>
      </w:tr>
      <w:tr w:rsidR="007D495D" w:rsidRPr="007D495D" w14:paraId="4A7DF159" w14:textId="77777777">
        <w:trPr>
          <w:trHeight w:val="60"/>
        </w:trPr>
        <w:tc>
          <w:tcPr>
            <w:tcW w:w="199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BFE953"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c>
          <w:tcPr>
            <w:tcW w:w="54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66F2D0"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NEPM is implemented by audits of contaminated sites required under the NT planning process, the Northern Territory Contaminated Land Guideline (2017), legislative directive environmental audits and voluntary audits.</w:t>
            </w:r>
          </w:p>
        </w:tc>
      </w:tr>
    </w:tbl>
    <w:p w14:paraId="5CA0D0BA"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207450E8"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Implementation issues arising</w:t>
      </w:r>
    </w:p>
    <w:p w14:paraId="295085E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Contamination by per-and polyfluoroalkyl substances (PFASs) including </w:t>
      </w:r>
      <w:proofErr w:type="spellStart"/>
      <w:r w:rsidRPr="007D495D">
        <w:rPr>
          <w:rFonts w:ascii="Times" w:hAnsi="Times" w:cs="Times"/>
          <w:color w:val="000000"/>
          <w:sz w:val="16"/>
          <w:szCs w:val="16"/>
        </w:rPr>
        <w:t>perfluorooctane</w:t>
      </w:r>
      <w:proofErr w:type="spellEnd"/>
      <w:r w:rsidRPr="007D495D">
        <w:rPr>
          <w:rFonts w:ascii="Times" w:hAnsi="Times" w:cs="Times"/>
          <w:color w:val="000000"/>
          <w:sz w:val="16"/>
          <w:szCs w:val="16"/>
        </w:rPr>
        <w:t xml:space="preserve"> sulfonic acid (PFOS) and perfluorooctanoic acid (PFOA) remained a focus across all jurisdictions. </w:t>
      </w:r>
    </w:p>
    <w:p w14:paraId="112D1262"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The general approaches in the ASC NEPM underpin the collaborative work among all jurisdictions on the PFAS National Environmental Management Plan (NEMP), a uniform and consistent approach to assessment, management and remediation. Further national guidance for version 2.0 of the PFAS NEMP was developed, together with extensive stakeholder engagement and consultation, across 2018-19. The PFAS NEMP assists landowners, operators, and industry who are responding to contamination, as well as communities and governments, by providing consistent national standards and guidance. </w:t>
      </w:r>
    </w:p>
    <w:p w14:paraId="092706EE"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Many jurisdictions were of the view that amending NEPC processes to permit easier ability to update and make changes, such as adding criteria for emerging contaminants (such as PFAS) and deriving new Ecological Investigation Levels (EILs) would be strongly desirable. Jurisdictions also suggested it would be helpful to expand the NEPM to include site remediation and management. Such issues should be considered during the next review of the NEPM.</w:t>
      </w:r>
    </w:p>
    <w:p w14:paraId="39419D52"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For detailed implementation activities, please refer to jurisdictional reports as listed in Part 5.</w:t>
      </w:r>
    </w:p>
    <w:p w14:paraId="253D29DC" w14:textId="77777777" w:rsidR="007D495D" w:rsidRPr="007D495D" w:rsidRDefault="007D495D" w:rsidP="00470BBE">
      <w:pPr>
        <w:keepNext/>
        <w:tabs>
          <w:tab w:val="left" w:pos="426"/>
        </w:tabs>
        <w:suppressAutoHyphens/>
        <w:autoSpaceDE w:val="0"/>
        <w:autoSpaceDN w:val="0"/>
        <w:adjustRightInd w:val="0"/>
        <w:spacing w:before="113" w:after="57"/>
        <w:textAlignment w:val="center"/>
        <w:rPr>
          <w:rFonts w:ascii="Calibri" w:hAnsi="Calibri" w:cs="Calibri"/>
          <w:i/>
          <w:iCs/>
          <w:color w:val="000000"/>
          <w:sz w:val="18"/>
          <w:szCs w:val="18"/>
        </w:rPr>
      </w:pPr>
      <w:r w:rsidRPr="007D495D">
        <w:rPr>
          <w:rFonts w:ascii="Calibri" w:hAnsi="Calibri" w:cs="Calibri"/>
          <w:i/>
          <w:iCs/>
          <w:color w:val="000000"/>
          <w:sz w:val="18"/>
          <w:szCs w:val="18"/>
        </w:rPr>
        <w:lastRenderedPageBreak/>
        <w:t>Table 2: Summary of implementation issues arising</w:t>
      </w:r>
    </w:p>
    <w:tbl>
      <w:tblPr>
        <w:tblW w:w="0" w:type="auto"/>
        <w:tblInd w:w="-5" w:type="dxa"/>
        <w:tblLayout w:type="fixed"/>
        <w:tblCellMar>
          <w:left w:w="0" w:type="dxa"/>
          <w:right w:w="0" w:type="dxa"/>
        </w:tblCellMar>
        <w:tblLook w:val="0000" w:firstRow="0" w:lastRow="0" w:firstColumn="0" w:lastColumn="0" w:noHBand="0" w:noVBand="0"/>
      </w:tblPr>
      <w:tblGrid>
        <w:gridCol w:w="2530"/>
        <w:gridCol w:w="4877"/>
      </w:tblGrid>
      <w:tr w:rsidR="007D495D" w:rsidRPr="007D495D" w14:paraId="35E84B3E" w14:textId="77777777">
        <w:trPr>
          <w:trHeight w:val="60"/>
          <w:tblHeader/>
        </w:trPr>
        <w:tc>
          <w:tcPr>
            <w:tcW w:w="253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67B92F2" w14:textId="77777777" w:rsidR="007D495D" w:rsidRPr="007D495D" w:rsidRDefault="007D495D" w:rsidP="00470BBE">
            <w:pPr>
              <w:keepNext/>
              <w:suppressAutoHyphens/>
              <w:autoSpaceDE w:val="0"/>
              <w:autoSpaceDN w:val="0"/>
              <w:adjustRightInd w:val="0"/>
              <w:spacing w:before="57" w:after="57"/>
              <w:textAlignment w:val="center"/>
              <w:rPr>
                <w:rFonts w:ascii="Times" w:hAnsi="Times" w:cs="Times"/>
                <w:b/>
                <w:bCs/>
                <w:color w:val="FFFFFF"/>
                <w:sz w:val="16"/>
                <w:szCs w:val="16"/>
              </w:rPr>
            </w:pPr>
            <w:r w:rsidRPr="007D495D">
              <w:rPr>
                <w:rFonts w:ascii="Times" w:hAnsi="Times" w:cs="Times"/>
                <w:b/>
                <w:bCs/>
                <w:color w:val="FFFFFF"/>
                <w:sz w:val="16"/>
                <w:szCs w:val="16"/>
              </w:rPr>
              <w:t>Jurisdiction</w:t>
            </w:r>
          </w:p>
        </w:tc>
        <w:tc>
          <w:tcPr>
            <w:tcW w:w="48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DC12654" w14:textId="77777777" w:rsidR="007D495D" w:rsidRPr="007D495D" w:rsidRDefault="007D495D" w:rsidP="00470BBE">
            <w:pPr>
              <w:keepNext/>
              <w:suppressAutoHyphens/>
              <w:autoSpaceDE w:val="0"/>
              <w:autoSpaceDN w:val="0"/>
              <w:adjustRightInd w:val="0"/>
              <w:spacing w:before="57" w:after="57"/>
              <w:textAlignment w:val="center"/>
              <w:rPr>
                <w:rFonts w:ascii="Times" w:hAnsi="Times" w:cs="Times"/>
                <w:b/>
                <w:bCs/>
                <w:color w:val="FFFFFF"/>
                <w:sz w:val="16"/>
                <w:szCs w:val="16"/>
              </w:rPr>
            </w:pPr>
            <w:r w:rsidRPr="007D495D">
              <w:rPr>
                <w:rFonts w:ascii="Times" w:hAnsi="Times" w:cs="Times"/>
                <w:b/>
                <w:bCs/>
                <w:color w:val="FFFFFF"/>
                <w:sz w:val="16"/>
                <w:szCs w:val="16"/>
              </w:rPr>
              <w:t>Summary of implementation issues arising</w:t>
            </w:r>
          </w:p>
        </w:tc>
      </w:tr>
      <w:tr w:rsidR="007D495D" w:rsidRPr="007D495D" w14:paraId="08F68776" w14:textId="77777777">
        <w:trPr>
          <w:trHeight w:val="60"/>
        </w:trPr>
        <w:tc>
          <w:tcPr>
            <w:tcW w:w="25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B9B647D" w14:textId="77777777" w:rsidR="007D495D" w:rsidRPr="007D495D" w:rsidRDefault="007D495D" w:rsidP="00470BBE">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Commonwealth</w:t>
            </w:r>
          </w:p>
        </w:tc>
        <w:tc>
          <w:tcPr>
            <w:tcW w:w="48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6AD685" w14:textId="77777777" w:rsidR="007D495D" w:rsidRPr="007D495D" w:rsidRDefault="007D495D" w:rsidP="00470BBE">
            <w:pPr>
              <w:keepNext/>
              <w:tabs>
                <w:tab w:val="left" w:pos="170"/>
                <w:tab w:val="left" w:pos="360"/>
              </w:tabs>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No issues reported. </w:t>
            </w:r>
          </w:p>
          <w:p w14:paraId="34B46E41" w14:textId="77777777" w:rsidR="007D495D" w:rsidRPr="007D495D" w:rsidRDefault="007D495D" w:rsidP="00470BBE">
            <w:pPr>
              <w:keepNext/>
              <w:tabs>
                <w:tab w:val="left" w:pos="170"/>
                <w:tab w:val="left" w:pos="360"/>
              </w:tabs>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Continued to conduct site assessments in accordance with the NEPM.</w:t>
            </w:r>
          </w:p>
        </w:tc>
      </w:tr>
      <w:tr w:rsidR="007D495D" w:rsidRPr="007D495D" w14:paraId="20438EB9" w14:textId="77777777">
        <w:trPr>
          <w:trHeight w:val="60"/>
        </w:trPr>
        <w:tc>
          <w:tcPr>
            <w:tcW w:w="25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4B77728" w14:textId="77777777" w:rsidR="007D495D" w:rsidRPr="007D495D" w:rsidRDefault="007D495D" w:rsidP="00470BBE">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New South Wales</w:t>
            </w:r>
          </w:p>
        </w:tc>
        <w:tc>
          <w:tcPr>
            <w:tcW w:w="48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6329B3" w14:textId="77777777" w:rsidR="007D495D" w:rsidRPr="007D495D" w:rsidRDefault="007D495D" w:rsidP="00470BBE">
            <w:pPr>
              <w:keepNext/>
              <w:tabs>
                <w:tab w:val="left" w:pos="170"/>
                <w:tab w:val="left" w:pos="360"/>
              </w:tabs>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Identified the limited number of Ecological Investigation Levels (EILs) for contaminants and the need for a consistent framework for the derivation and adoption of new EILs.</w:t>
            </w:r>
          </w:p>
        </w:tc>
      </w:tr>
      <w:tr w:rsidR="007D495D" w:rsidRPr="007D495D" w14:paraId="0B8B6172" w14:textId="77777777">
        <w:trPr>
          <w:trHeight w:val="60"/>
        </w:trPr>
        <w:tc>
          <w:tcPr>
            <w:tcW w:w="25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C708C0" w14:textId="77777777" w:rsidR="007D495D" w:rsidRPr="007D495D" w:rsidRDefault="007D495D" w:rsidP="00470BBE">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Victoria</w:t>
            </w:r>
          </w:p>
        </w:tc>
        <w:tc>
          <w:tcPr>
            <w:tcW w:w="48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A79AC6" w14:textId="77777777" w:rsidR="007D495D" w:rsidRPr="007D495D" w:rsidRDefault="007D495D" w:rsidP="00470BBE">
            <w:pPr>
              <w:keepNext/>
              <w:tabs>
                <w:tab w:val="left" w:pos="170"/>
                <w:tab w:val="left" w:pos="360"/>
              </w:tabs>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Continued to question the adequacy of the Health Investigation Levels (HILs) for lead in soil for the protection of human health.</w:t>
            </w:r>
          </w:p>
          <w:p w14:paraId="58E95C6B" w14:textId="77777777" w:rsidR="007D495D" w:rsidRPr="007D495D" w:rsidRDefault="007D495D" w:rsidP="00470BBE">
            <w:pPr>
              <w:keepNext/>
              <w:tabs>
                <w:tab w:val="left" w:pos="170"/>
                <w:tab w:val="left" w:pos="360"/>
              </w:tabs>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Noted the need to continually update guidance to minimise discrepancies in subsequently developed policies and frameworks.</w:t>
            </w:r>
          </w:p>
        </w:tc>
      </w:tr>
      <w:tr w:rsidR="007D495D" w:rsidRPr="007D495D" w14:paraId="05EC47ED" w14:textId="77777777">
        <w:trPr>
          <w:trHeight w:val="60"/>
        </w:trPr>
        <w:tc>
          <w:tcPr>
            <w:tcW w:w="25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260D74" w14:textId="77777777" w:rsidR="007D495D" w:rsidRPr="007D495D" w:rsidRDefault="007D495D" w:rsidP="00470BBE">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Queensland</w:t>
            </w:r>
          </w:p>
        </w:tc>
        <w:tc>
          <w:tcPr>
            <w:tcW w:w="48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7DF2070" w14:textId="77777777" w:rsidR="007D495D" w:rsidRPr="007D495D" w:rsidRDefault="007D495D" w:rsidP="00470BBE">
            <w:pPr>
              <w:keepNext/>
              <w:tabs>
                <w:tab w:val="left" w:pos="170"/>
                <w:tab w:val="left" w:pos="360"/>
              </w:tabs>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r>
            <w:proofErr w:type="gramStart"/>
            <w:r w:rsidRPr="007D495D">
              <w:rPr>
                <w:rFonts w:ascii="Times" w:hAnsi="Times" w:cs="Times"/>
                <w:color w:val="000000"/>
                <w:sz w:val="16"/>
                <w:szCs w:val="16"/>
              </w:rPr>
              <w:t>Again</w:t>
            </w:r>
            <w:proofErr w:type="gramEnd"/>
            <w:r w:rsidRPr="007D495D">
              <w:rPr>
                <w:rFonts w:ascii="Times" w:hAnsi="Times" w:cs="Times"/>
                <w:color w:val="000000"/>
                <w:sz w:val="16"/>
                <w:szCs w:val="16"/>
              </w:rPr>
              <w:t xml:space="preserve"> noted that the lack of adequate guidance for particular common types of contamination including fluorinated organic chemicals that are now commonly encountered on contaminated sites is limiting the effective implementation of the NEPM.</w:t>
            </w:r>
          </w:p>
        </w:tc>
      </w:tr>
      <w:tr w:rsidR="007D495D" w:rsidRPr="007D495D" w14:paraId="1E97827C" w14:textId="77777777">
        <w:trPr>
          <w:trHeight w:val="60"/>
        </w:trPr>
        <w:tc>
          <w:tcPr>
            <w:tcW w:w="25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8FFD67" w14:textId="77777777" w:rsidR="007D495D" w:rsidRPr="007D495D" w:rsidRDefault="007D495D" w:rsidP="00470BBE">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Western Australia</w:t>
            </w:r>
          </w:p>
        </w:tc>
        <w:tc>
          <w:tcPr>
            <w:tcW w:w="48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F93C00" w14:textId="77777777" w:rsidR="007D495D" w:rsidRPr="007D495D" w:rsidRDefault="007D495D" w:rsidP="00470BBE">
            <w:pPr>
              <w:keepNext/>
              <w:tabs>
                <w:tab w:val="left" w:pos="170"/>
                <w:tab w:val="left" w:pos="360"/>
              </w:tabs>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Noted the limited number of EILs provided in the NEPM is a major limitation to consistency in implementation.</w:t>
            </w:r>
          </w:p>
          <w:p w14:paraId="1E7F8ED7" w14:textId="77777777" w:rsidR="007D495D" w:rsidRPr="007D495D" w:rsidRDefault="007D495D" w:rsidP="00470BBE">
            <w:pPr>
              <w:keepNext/>
              <w:tabs>
                <w:tab w:val="left" w:pos="170"/>
                <w:tab w:val="left" w:pos="360"/>
              </w:tabs>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Raised the need for periodic review of the guidance in the context of advances in scientific information and updated technical information.</w:t>
            </w:r>
          </w:p>
        </w:tc>
      </w:tr>
      <w:tr w:rsidR="007D495D" w:rsidRPr="007D495D" w14:paraId="3DC1EDF2" w14:textId="77777777">
        <w:trPr>
          <w:trHeight w:val="60"/>
        </w:trPr>
        <w:tc>
          <w:tcPr>
            <w:tcW w:w="25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758140"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South Australia</w:t>
            </w:r>
          </w:p>
        </w:tc>
        <w:tc>
          <w:tcPr>
            <w:tcW w:w="48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EC428C"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r>
            <w:proofErr w:type="gramStart"/>
            <w:r w:rsidRPr="007D495D">
              <w:rPr>
                <w:rFonts w:ascii="Times" w:hAnsi="Times" w:cs="Times"/>
                <w:color w:val="000000"/>
                <w:sz w:val="16"/>
                <w:szCs w:val="16"/>
              </w:rPr>
              <w:t>Again</w:t>
            </w:r>
            <w:proofErr w:type="gramEnd"/>
            <w:r w:rsidRPr="007D495D">
              <w:rPr>
                <w:rFonts w:ascii="Times" w:hAnsi="Times" w:cs="Times"/>
                <w:color w:val="000000"/>
                <w:sz w:val="16"/>
                <w:szCs w:val="16"/>
              </w:rPr>
              <w:t xml:space="preserve"> raised the need to plan for the required 10-year review of the NEPM to ensure that it incorporates new scientific knowledge and updated technical information and maintain credibility as a protector of the environment and human health. </w:t>
            </w:r>
          </w:p>
        </w:tc>
      </w:tr>
      <w:tr w:rsidR="007D495D" w:rsidRPr="007D495D" w14:paraId="1549C1A7" w14:textId="77777777">
        <w:trPr>
          <w:trHeight w:val="60"/>
        </w:trPr>
        <w:tc>
          <w:tcPr>
            <w:tcW w:w="25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3D224C5"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Tasmania</w:t>
            </w:r>
          </w:p>
        </w:tc>
        <w:tc>
          <w:tcPr>
            <w:tcW w:w="48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D97AD3"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Supports continued development of the NEPM including guidance on managing emerging contaminants of concern and ongoing review/updating of criteria.</w:t>
            </w:r>
          </w:p>
        </w:tc>
      </w:tr>
      <w:tr w:rsidR="007D495D" w:rsidRPr="007D495D" w14:paraId="2F7DA823" w14:textId="77777777">
        <w:trPr>
          <w:trHeight w:val="60"/>
        </w:trPr>
        <w:tc>
          <w:tcPr>
            <w:tcW w:w="25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96E4B5"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c>
          <w:tcPr>
            <w:tcW w:w="48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D0C0B5"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Requested changes to NEPM development to allow for the inclusion of criteria for emerging contaminants outside of the formal review process.</w:t>
            </w:r>
          </w:p>
        </w:tc>
      </w:tr>
      <w:tr w:rsidR="007D495D" w:rsidRPr="007D495D" w14:paraId="14739C54" w14:textId="77777777">
        <w:trPr>
          <w:trHeight w:val="60"/>
        </w:trPr>
        <w:tc>
          <w:tcPr>
            <w:tcW w:w="25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2A80C07"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c>
          <w:tcPr>
            <w:tcW w:w="48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E21CB2"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There are increases in the inappropriate use of the ASC NEPM in illegal dumping matters to justify the illegal dumping of waste.</w:t>
            </w:r>
          </w:p>
        </w:tc>
      </w:tr>
    </w:tbl>
    <w:p w14:paraId="32410DCF"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04BB9DD9"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3—JURISDICTIONAL Report ON ACTIVITIES UNDER the NEPM</w:t>
      </w:r>
    </w:p>
    <w:p w14:paraId="2CA34F49"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The NEPM provides consistent, science based, and effective national methodology and guidance that is widely used across Australia by industry, site owners, and governments. </w:t>
      </w:r>
    </w:p>
    <w:p w14:paraId="10255D41"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Most jurisdictions have amended, or are in the process of updating, their implementation frameworks to fully meet the requirements of the amended NEPM. </w:t>
      </w:r>
    </w:p>
    <w:p w14:paraId="04774B84"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All jurisdictions continue to report a high level of compliance with the guidelines as set out in the NEPM in the assessment and management of their contaminated sites. </w:t>
      </w:r>
    </w:p>
    <w:p w14:paraId="6F98A7F5"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Jurisdictions continued to undertake a range of activities dealing with contamination of groundwater and sediments with persistent organic pollutants, such as per-and polyfluoroalkyl substances such as PFOS, PFOA, and </w:t>
      </w:r>
      <w:proofErr w:type="spellStart"/>
      <w:r w:rsidRPr="007D495D">
        <w:rPr>
          <w:rFonts w:ascii="Times" w:hAnsi="Times" w:cs="Times"/>
          <w:color w:val="000000"/>
          <w:sz w:val="16"/>
          <w:szCs w:val="16"/>
        </w:rPr>
        <w:t>PFHxS</w:t>
      </w:r>
      <w:proofErr w:type="spellEnd"/>
      <w:r w:rsidRPr="007D495D">
        <w:rPr>
          <w:rFonts w:ascii="Times" w:hAnsi="Times" w:cs="Times"/>
          <w:color w:val="000000"/>
          <w:sz w:val="16"/>
          <w:szCs w:val="16"/>
        </w:rPr>
        <w:t>.</w:t>
      </w:r>
    </w:p>
    <w:p w14:paraId="4E704F8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Clause 9 of the NEPM sets out the information that jurisdictions are required to report. Please refer to jurisdictional reports in Part 5.</w:t>
      </w:r>
    </w:p>
    <w:p w14:paraId="45A72D3B" w14:textId="77777777" w:rsidR="007D495D" w:rsidRPr="007D495D" w:rsidRDefault="007D495D" w:rsidP="00470BBE">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lastRenderedPageBreak/>
        <w:t>Part 4—Assessment of NEPM effectiveness</w:t>
      </w:r>
    </w:p>
    <w:p w14:paraId="397F05B4" w14:textId="77777777" w:rsidR="007D495D" w:rsidRPr="007D495D" w:rsidRDefault="007D495D" w:rsidP="00470BBE">
      <w:pPr>
        <w:keepNext/>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The NEPM continues to provide consistent, consolidated guidance to professional practitioners in assessing site contamination. </w:t>
      </w:r>
    </w:p>
    <w:p w14:paraId="590A98FD" w14:textId="77777777" w:rsidR="007D495D" w:rsidRPr="007D495D" w:rsidRDefault="007D495D" w:rsidP="00470BBE">
      <w:pPr>
        <w:keepNext/>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2013 amendment to the NEPM is now almost fully implemented by all jurisdictions. Amendments have been well supported by environmental auditors and others in the site assessment industry and the consistency of site assessments and human health risk assessments submitted to agencies continues to improve across the country.</w:t>
      </w:r>
    </w:p>
    <w:p w14:paraId="069C1082"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Jurisdictions identified the need for the NEPM to be more responsive to new and/or updated standards, and emerging chemicals. </w:t>
      </w:r>
    </w:p>
    <w:p w14:paraId="2C32029A"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5—Reporting on implementation by jurisdictions</w:t>
      </w:r>
    </w:p>
    <w:p w14:paraId="159A8A57"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annexes to this report are in Appendix 3:</w:t>
      </w:r>
    </w:p>
    <w:tbl>
      <w:tblPr>
        <w:tblW w:w="0" w:type="auto"/>
        <w:tblInd w:w="-5" w:type="dxa"/>
        <w:tblLayout w:type="fixed"/>
        <w:tblCellMar>
          <w:left w:w="0" w:type="dxa"/>
          <w:right w:w="0" w:type="dxa"/>
        </w:tblCellMar>
        <w:tblLook w:val="0000" w:firstRow="0" w:lastRow="0" w:firstColumn="0" w:lastColumn="0" w:noHBand="0" w:noVBand="0"/>
      </w:tblPr>
      <w:tblGrid>
        <w:gridCol w:w="1242"/>
        <w:gridCol w:w="4890"/>
      </w:tblGrid>
      <w:tr w:rsidR="008F19D2" w:rsidRPr="007D495D" w14:paraId="47241B4A" w14:textId="77777777" w:rsidTr="00470BBE">
        <w:trPr>
          <w:trHeight w:val="60"/>
        </w:trPr>
        <w:tc>
          <w:tcPr>
            <w:tcW w:w="1242" w:type="dxa"/>
            <w:tcBorders>
              <w:top w:val="single" w:sz="6" w:space="0" w:color="auto"/>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622FDB"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1:</w:t>
            </w:r>
          </w:p>
        </w:tc>
        <w:tc>
          <w:tcPr>
            <w:tcW w:w="4890" w:type="dxa"/>
            <w:tcBorders>
              <w:top w:val="single" w:sz="6" w:space="0" w:color="auto"/>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D2BE2C"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Commonwealth</w:t>
            </w:r>
          </w:p>
        </w:tc>
      </w:tr>
      <w:tr w:rsidR="008F19D2" w:rsidRPr="007D495D" w14:paraId="70DA3FBE"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F37B2FC"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2:</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DA43DE"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New South Wales</w:t>
            </w:r>
          </w:p>
        </w:tc>
      </w:tr>
      <w:tr w:rsidR="008F19D2" w:rsidRPr="007D495D" w14:paraId="210D736B"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FCC3F00"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3:</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99E141"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Victoria</w:t>
            </w:r>
          </w:p>
        </w:tc>
      </w:tr>
      <w:tr w:rsidR="008F19D2" w:rsidRPr="007D495D" w14:paraId="36C33737"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11903D"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4:</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D728C2"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Queensland</w:t>
            </w:r>
          </w:p>
        </w:tc>
      </w:tr>
      <w:tr w:rsidR="008F19D2" w:rsidRPr="007D495D" w14:paraId="6AF65938"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2A0CD2"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5:</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A3ADE4F"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Western Australia</w:t>
            </w:r>
          </w:p>
        </w:tc>
      </w:tr>
      <w:tr w:rsidR="008F19D2" w:rsidRPr="007D495D" w14:paraId="76F80CE4"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7C9B08F"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6:</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871120"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South Australia</w:t>
            </w:r>
          </w:p>
        </w:tc>
      </w:tr>
      <w:tr w:rsidR="008F19D2" w:rsidRPr="007D495D" w14:paraId="3B7A4B6C"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1379EC"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7:</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390635"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Tasmania</w:t>
            </w:r>
          </w:p>
        </w:tc>
      </w:tr>
      <w:tr w:rsidR="008F19D2" w:rsidRPr="007D495D" w14:paraId="74C03241"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AC4A65"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8:</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AEEE91"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r>
      <w:tr w:rsidR="008F19D2" w:rsidRPr="007D495D" w14:paraId="3B42B85D"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54DFA7"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9:</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F14BCD8"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r>
    </w:tbl>
    <w:p w14:paraId="09A79484"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7CF93F6D" w14:textId="5A4CBADC" w:rsidR="00470BBE" w:rsidRDefault="00470BBE">
      <w:pPr>
        <w:rPr>
          <w:rFonts w:ascii="Times" w:hAnsi="Times" w:cs="Times"/>
          <w:color w:val="000000"/>
          <w:sz w:val="16"/>
          <w:szCs w:val="16"/>
        </w:rPr>
      </w:pPr>
      <w:r>
        <w:rPr>
          <w:rFonts w:ascii="Times" w:hAnsi="Times" w:cs="Times"/>
          <w:color w:val="000000"/>
          <w:sz w:val="16"/>
          <w:szCs w:val="16"/>
        </w:rPr>
        <w:br w:type="page"/>
      </w:r>
    </w:p>
    <w:p w14:paraId="010330A3" w14:textId="60261B7F" w:rsidR="007D495D" w:rsidRPr="00470BBE" w:rsidRDefault="00470BBE" w:rsidP="00CB0DA6">
      <w:pPr>
        <w:pStyle w:val="Heading1"/>
        <w:rPr>
          <w:spacing w:val="10"/>
          <w:sz w:val="32"/>
          <w:szCs w:val="32"/>
        </w:rPr>
      </w:pPr>
      <w:bookmarkStart w:id="10" w:name="_Toc58254364"/>
      <w:r w:rsidRPr="007D495D">
        <w:rPr>
          <w:spacing w:val="10"/>
          <w:sz w:val="32"/>
          <w:szCs w:val="32"/>
        </w:rPr>
        <w:lastRenderedPageBreak/>
        <w:t xml:space="preserve">NEPC report on the implementation of the </w:t>
      </w:r>
      <w:r>
        <w:rPr>
          <w:spacing w:val="10"/>
          <w:sz w:val="32"/>
          <w:szCs w:val="32"/>
        </w:rPr>
        <w:br/>
      </w:r>
      <w:r w:rsidR="007D495D" w:rsidRPr="00CB0DA6">
        <w:t>National Environment Protection (Diesel Vehicles Emissions) Measure</w:t>
      </w:r>
      <w:bookmarkEnd w:id="10"/>
    </w:p>
    <w:p w14:paraId="726D9063"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1—General Information</w:t>
      </w:r>
    </w:p>
    <w:p w14:paraId="7049287D"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NEPM details</w:t>
      </w:r>
    </w:p>
    <w:p w14:paraId="41A338D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 xml:space="preserve">Title: </w:t>
      </w:r>
      <w:r w:rsidRPr="007D495D">
        <w:rPr>
          <w:rFonts w:ascii="Times" w:hAnsi="Times" w:cs="Times"/>
          <w:color w:val="000000"/>
          <w:sz w:val="16"/>
          <w:szCs w:val="16"/>
        </w:rPr>
        <w:t>National Environment Protection (Diesel Vehicle Emissions) Measure</w:t>
      </w:r>
    </w:p>
    <w:p w14:paraId="2DC7C268"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Made by Council:</w:t>
      </w:r>
      <w:r w:rsidRPr="007D495D">
        <w:rPr>
          <w:rFonts w:ascii="Times" w:hAnsi="Times" w:cs="Times"/>
          <w:color w:val="000000"/>
          <w:sz w:val="16"/>
          <w:szCs w:val="16"/>
        </w:rPr>
        <w:t xml:space="preserve"> 29 June 2001</w:t>
      </w:r>
    </w:p>
    <w:p w14:paraId="6379DBC2"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 xml:space="preserve">Commencement date: </w:t>
      </w:r>
      <w:r w:rsidRPr="007D495D">
        <w:rPr>
          <w:rFonts w:ascii="Times" w:hAnsi="Times" w:cs="Times"/>
          <w:color w:val="000000"/>
          <w:sz w:val="16"/>
          <w:szCs w:val="16"/>
        </w:rPr>
        <w:t>18 July 2001 (advertised in Commonwealth of Australia Gazette No. GN 28, 18 July 2001, p. 2014)</w:t>
      </w:r>
    </w:p>
    <w:p w14:paraId="54F0825C"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NEPM goal (or purpose)</w:t>
      </w:r>
    </w:p>
    <w:p w14:paraId="29C5D7F1"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goal of the National Environment Protection (Diesel Vehicle Emissions) Measure is set out in clause 10 of the Measure as follows:</w:t>
      </w:r>
    </w:p>
    <w:p w14:paraId="25FA0E32" w14:textId="77777777" w:rsidR="007D495D" w:rsidRPr="007D495D" w:rsidRDefault="007D495D" w:rsidP="007D495D">
      <w:pPr>
        <w:suppressAutoHyphens/>
        <w:autoSpaceDE w:val="0"/>
        <w:autoSpaceDN w:val="0"/>
        <w:adjustRightInd w:val="0"/>
        <w:spacing w:after="113" w:line="288" w:lineRule="auto"/>
        <w:ind w:left="340" w:right="340"/>
        <w:textAlignment w:val="center"/>
        <w:rPr>
          <w:rFonts w:ascii="Times" w:hAnsi="Times" w:cs="Times"/>
          <w:i/>
          <w:iCs/>
          <w:color w:val="000000"/>
          <w:sz w:val="16"/>
          <w:szCs w:val="16"/>
        </w:rPr>
      </w:pPr>
      <w:r w:rsidRPr="007D495D">
        <w:rPr>
          <w:rFonts w:ascii="Times" w:hAnsi="Times" w:cs="Times"/>
          <w:i/>
          <w:iCs/>
          <w:color w:val="000000"/>
          <w:sz w:val="16"/>
          <w:szCs w:val="16"/>
        </w:rPr>
        <w:t>The goal of this Measure is to reduce exhaust emissions from diesel vehicles, by facilitating compliance with in-service emissions standards for diesel vehicles.</w:t>
      </w:r>
    </w:p>
    <w:p w14:paraId="04FF5F3F"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Desired environmental outcomes</w:t>
      </w:r>
    </w:p>
    <w:p w14:paraId="53F5A78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desired environmental outcome of the National Environment Protection (Diesel Vehicle Emissions) Measure is set out in clause 11 of the Measure as follows:</w:t>
      </w:r>
    </w:p>
    <w:p w14:paraId="12282C34" w14:textId="77777777" w:rsidR="007D495D" w:rsidRPr="007D495D" w:rsidRDefault="007D495D" w:rsidP="007D495D">
      <w:pPr>
        <w:suppressAutoHyphens/>
        <w:autoSpaceDE w:val="0"/>
        <w:autoSpaceDN w:val="0"/>
        <w:adjustRightInd w:val="0"/>
        <w:spacing w:after="113" w:line="288" w:lineRule="auto"/>
        <w:ind w:left="340" w:right="340"/>
        <w:textAlignment w:val="center"/>
        <w:rPr>
          <w:rFonts w:ascii="Times" w:hAnsi="Times" w:cs="Times"/>
          <w:i/>
          <w:iCs/>
          <w:color w:val="000000"/>
          <w:sz w:val="16"/>
          <w:szCs w:val="16"/>
        </w:rPr>
      </w:pPr>
      <w:r w:rsidRPr="007D495D">
        <w:rPr>
          <w:rFonts w:ascii="Times" w:hAnsi="Times" w:cs="Times"/>
          <w:i/>
          <w:iCs/>
          <w:color w:val="000000"/>
          <w:sz w:val="16"/>
          <w:szCs w:val="16"/>
        </w:rPr>
        <w:t>The desired environmental outcome of this Measure is to reduce pollution from in-service diesel vehicles.</w:t>
      </w:r>
    </w:p>
    <w:p w14:paraId="2A3471AD"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Evaluation criteria</w:t>
      </w:r>
    </w:p>
    <w:p w14:paraId="38F9C8D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effectiveness of the National Environment Protection (Diesel Vehicle Emissions) Measure has been assessed against the evaluation criteria for this NEPM.</w:t>
      </w:r>
    </w:p>
    <w:p w14:paraId="619A0B5C"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2—Implementation of the NEPM and any significant issues</w:t>
      </w:r>
    </w:p>
    <w:p w14:paraId="6DB2B7EA"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This part provides a summary of jurisdictional reports on implementation and the Council’s overall assessment of the implementation of the NEPM.</w:t>
      </w:r>
    </w:p>
    <w:p w14:paraId="7C4670A2"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Legislative, regulatory and administrative framework</w:t>
      </w:r>
    </w:p>
    <w:p w14:paraId="355BF4F5"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t>Table 1: Summary of implementation frameworks</w:t>
      </w:r>
    </w:p>
    <w:tbl>
      <w:tblPr>
        <w:tblW w:w="0" w:type="auto"/>
        <w:tblInd w:w="-5" w:type="dxa"/>
        <w:tblLayout w:type="fixed"/>
        <w:tblCellMar>
          <w:left w:w="0" w:type="dxa"/>
          <w:right w:w="0" w:type="dxa"/>
        </w:tblCellMar>
        <w:tblLook w:val="0000" w:firstRow="0" w:lastRow="0" w:firstColumn="0" w:lastColumn="0" w:noHBand="0" w:noVBand="0"/>
      </w:tblPr>
      <w:tblGrid>
        <w:gridCol w:w="2050"/>
        <w:gridCol w:w="5367"/>
      </w:tblGrid>
      <w:tr w:rsidR="007D495D" w:rsidRPr="007D495D" w14:paraId="1473A317" w14:textId="77777777">
        <w:trPr>
          <w:trHeight w:val="60"/>
          <w:tblHeader/>
        </w:trPr>
        <w:tc>
          <w:tcPr>
            <w:tcW w:w="205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3D12975"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Jurisdiction</w:t>
            </w:r>
          </w:p>
        </w:tc>
        <w:tc>
          <w:tcPr>
            <w:tcW w:w="536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A3027CD"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Summary of implementation frameworks</w:t>
            </w:r>
          </w:p>
        </w:tc>
      </w:tr>
      <w:tr w:rsidR="007D495D" w:rsidRPr="007D495D" w14:paraId="261699DD" w14:textId="77777777">
        <w:trPr>
          <w:trHeight w:val="60"/>
        </w:trPr>
        <w:tc>
          <w:tcPr>
            <w:tcW w:w="2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446500"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Commonwealth</w:t>
            </w:r>
          </w:p>
        </w:tc>
        <w:tc>
          <w:tcPr>
            <w:tcW w:w="53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E37AF4"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NEPM is implemented administratively.</w:t>
            </w:r>
          </w:p>
          <w:p w14:paraId="6EF0C731"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supported by the Australian Design Rules under the </w:t>
            </w:r>
            <w:r w:rsidRPr="007D495D">
              <w:rPr>
                <w:rFonts w:ascii="Times" w:hAnsi="Times" w:cs="Times"/>
                <w:i/>
                <w:iCs/>
                <w:color w:val="000000"/>
                <w:sz w:val="16"/>
                <w:szCs w:val="16"/>
              </w:rPr>
              <w:t>Motor Vehicle Standards Act 1989</w:t>
            </w:r>
            <w:r w:rsidRPr="007D495D">
              <w:rPr>
                <w:rFonts w:ascii="Times" w:hAnsi="Times" w:cs="Times"/>
                <w:color w:val="000000"/>
                <w:sz w:val="16"/>
                <w:szCs w:val="16"/>
              </w:rPr>
              <w:t xml:space="preserve">, and the </w:t>
            </w:r>
            <w:r w:rsidRPr="007D495D">
              <w:rPr>
                <w:rFonts w:ascii="Times" w:hAnsi="Times" w:cs="Times"/>
                <w:i/>
                <w:iCs/>
                <w:color w:val="000000"/>
                <w:sz w:val="16"/>
                <w:szCs w:val="16"/>
              </w:rPr>
              <w:t>Fuel Quality Standards Act 2000.</w:t>
            </w:r>
          </w:p>
        </w:tc>
      </w:tr>
      <w:tr w:rsidR="007D495D" w:rsidRPr="007D495D" w14:paraId="27AA76B4" w14:textId="77777777">
        <w:trPr>
          <w:trHeight w:val="60"/>
        </w:trPr>
        <w:tc>
          <w:tcPr>
            <w:tcW w:w="2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197EE3"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New South Wales</w:t>
            </w:r>
          </w:p>
        </w:tc>
        <w:tc>
          <w:tcPr>
            <w:tcW w:w="53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25AEDF"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key legislative instruments are the</w:t>
            </w:r>
            <w:r w:rsidRPr="007D495D">
              <w:rPr>
                <w:rFonts w:ascii="Times" w:hAnsi="Times" w:cs="Times"/>
                <w:i/>
                <w:iCs/>
                <w:color w:val="000000"/>
                <w:sz w:val="16"/>
                <w:szCs w:val="16"/>
              </w:rPr>
              <w:t xml:space="preserve"> Protection of the Environment Operations Act 1997</w:t>
            </w:r>
            <w:r w:rsidRPr="007D495D">
              <w:rPr>
                <w:rFonts w:ascii="Times" w:hAnsi="Times" w:cs="Times"/>
                <w:color w:val="000000"/>
                <w:sz w:val="16"/>
                <w:szCs w:val="16"/>
              </w:rPr>
              <w:t xml:space="preserve"> and the </w:t>
            </w:r>
            <w:r w:rsidRPr="007D495D">
              <w:rPr>
                <w:rFonts w:ascii="Times" w:hAnsi="Times" w:cs="Times"/>
                <w:i/>
                <w:iCs/>
                <w:color w:val="000000"/>
                <w:sz w:val="16"/>
                <w:szCs w:val="16"/>
              </w:rPr>
              <w:t>Protection of the Environment Operations (Clean Air) Regulation 2010</w:t>
            </w:r>
          </w:p>
          <w:p w14:paraId="05B263C7"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NEPM is implemented by Environment Protection Authority and Department of Roads and Maritime Services programs.</w:t>
            </w:r>
          </w:p>
        </w:tc>
      </w:tr>
      <w:tr w:rsidR="007D495D" w:rsidRPr="007D495D" w14:paraId="74F349A3" w14:textId="77777777">
        <w:trPr>
          <w:trHeight w:val="60"/>
        </w:trPr>
        <w:tc>
          <w:tcPr>
            <w:tcW w:w="2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988DB7"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Victoria</w:t>
            </w:r>
          </w:p>
        </w:tc>
        <w:tc>
          <w:tcPr>
            <w:tcW w:w="53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817367"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i/>
                <w:iC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primary legislative tools are the </w:t>
            </w:r>
            <w:r w:rsidRPr="007D495D">
              <w:rPr>
                <w:rFonts w:ascii="Times" w:hAnsi="Times" w:cs="Times"/>
                <w:i/>
                <w:iCs/>
                <w:color w:val="000000"/>
                <w:sz w:val="16"/>
                <w:szCs w:val="16"/>
              </w:rPr>
              <w:t xml:space="preserve">Environment Protection (Vehicle Emissions) Regulations 2013 </w:t>
            </w:r>
            <w:r w:rsidRPr="007D495D">
              <w:rPr>
                <w:rFonts w:ascii="Times" w:hAnsi="Times" w:cs="Times"/>
                <w:color w:val="000000"/>
                <w:sz w:val="16"/>
                <w:szCs w:val="16"/>
              </w:rPr>
              <w:t xml:space="preserve">under the </w:t>
            </w:r>
            <w:r w:rsidRPr="007D495D">
              <w:rPr>
                <w:rFonts w:ascii="Times" w:hAnsi="Times" w:cs="Times"/>
                <w:i/>
                <w:iCs/>
                <w:color w:val="000000"/>
                <w:sz w:val="16"/>
                <w:szCs w:val="16"/>
              </w:rPr>
              <w:t>Environment Protection Act 1970.</w:t>
            </w:r>
          </w:p>
          <w:p w14:paraId="55353306"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These Regulations no longer deal with heavy vehicles over 4.5 tonnes. Compliance with national heavy vehicle regulation is overseen by VicRoads.</w:t>
            </w:r>
          </w:p>
        </w:tc>
      </w:tr>
      <w:tr w:rsidR="007D495D" w:rsidRPr="007D495D" w14:paraId="2DE82896" w14:textId="77777777">
        <w:trPr>
          <w:trHeight w:val="60"/>
        </w:trPr>
        <w:tc>
          <w:tcPr>
            <w:tcW w:w="2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45CF7F6"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Queensland</w:t>
            </w:r>
          </w:p>
        </w:tc>
        <w:tc>
          <w:tcPr>
            <w:tcW w:w="53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A17B0C"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w:t>
            </w:r>
            <w:r w:rsidRPr="007D495D">
              <w:rPr>
                <w:rFonts w:ascii="Times" w:hAnsi="Times" w:cs="Times"/>
                <w:i/>
                <w:iCs/>
                <w:color w:val="000000"/>
                <w:sz w:val="16"/>
                <w:szCs w:val="16"/>
              </w:rPr>
              <w:t>National Environment Protection Council (Queensland) Act 1994</w:t>
            </w:r>
            <w:r w:rsidRPr="007D495D">
              <w:rPr>
                <w:rFonts w:ascii="Times" w:hAnsi="Times" w:cs="Times"/>
                <w:color w:val="000000"/>
                <w:sz w:val="16"/>
                <w:szCs w:val="16"/>
              </w:rPr>
              <w:t xml:space="preserve"> provides a framework to implement the NEPM.</w:t>
            </w:r>
          </w:p>
          <w:p w14:paraId="66FA5DAA"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lastRenderedPageBreak/>
              <w:t>•</w:t>
            </w:r>
            <w:r w:rsidRPr="007D495D">
              <w:rPr>
                <w:rFonts w:ascii="Times" w:hAnsi="Times" w:cs="Times"/>
                <w:color w:val="000000"/>
                <w:sz w:val="16"/>
                <w:szCs w:val="16"/>
              </w:rPr>
              <w:tab/>
              <w:t>The Department of Transport and Main Roads is responsible for implementing and reporting on the Diesel NEPM.</w:t>
            </w:r>
          </w:p>
        </w:tc>
      </w:tr>
      <w:tr w:rsidR="007D495D" w:rsidRPr="007D495D" w14:paraId="5A7BD1A5" w14:textId="77777777">
        <w:trPr>
          <w:trHeight w:val="60"/>
        </w:trPr>
        <w:tc>
          <w:tcPr>
            <w:tcW w:w="2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69D690"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lastRenderedPageBreak/>
              <w:t>Western Australia</w:t>
            </w:r>
          </w:p>
        </w:tc>
        <w:tc>
          <w:tcPr>
            <w:tcW w:w="53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592481"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i/>
                <w:iC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NEPM is implemented by the</w:t>
            </w:r>
            <w:r w:rsidRPr="007D495D">
              <w:rPr>
                <w:rFonts w:ascii="Times" w:hAnsi="Times" w:cs="Times"/>
                <w:i/>
                <w:iCs/>
                <w:color w:val="000000"/>
                <w:sz w:val="16"/>
                <w:szCs w:val="16"/>
              </w:rPr>
              <w:t xml:space="preserve"> National Environment Protection Council (Western Australia) Act 1996</w:t>
            </w:r>
            <w:r w:rsidRPr="007D495D">
              <w:rPr>
                <w:rFonts w:ascii="Times" w:hAnsi="Times" w:cs="Times"/>
                <w:color w:val="000000"/>
                <w:sz w:val="16"/>
                <w:szCs w:val="16"/>
              </w:rPr>
              <w:t xml:space="preserve"> and the </w:t>
            </w:r>
            <w:r w:rsidRPr="007D495D">
              <w:rPr>
                <w:rFonts w:ascii="Times" w:hAnsi="Times" w:cs="Times"/>
                <w:i/>
                <w:iCs/>
                <w:color w:val="000000"/>
                <w:sz w:val="16"/>
                <w:szCs w:val="16"/>
              </w:rPr>
              <w:t>Environmental Protection Act 1986.</w:t>
            </w:r>
          </w:p>
          <w:p w14:paraId="5FDA7308"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Vehicle emissions in Western Australia are regulated under the</w:t>
            </w:r>
            <w:r w:rsidRPr="007D495D">
              <w:rPr>
                <w:rFonts w:ascii="Times" w:hAnsi="Times" w:cs="Times"/>
                <w:i/>
                <w:iCs/>
                <w:color w:val="000000"/>
                <w:sz w:val="16"/>
                <w:szCs w:val="16"/>
              </w:rPr>
              <w:t xml:space="preserve"> Road Traffic (Vehicles) Act 2012</w:t>
            </w:r>
            <w:r w:rsidRPr="007D495D">
              <w:rPr>
                <w:rFonts w:ascii="Times" w:hAnsi="Times" w:cs="Times"/>
                <w:color w:val="000000"/>
                <w:sz w:val="16"/>
                <w:szCs w:val="16"/>
              </w:rPr>
              <w:t xml:space="preserve"> and </w:t>
            </w:r>
            <w:r w:rsidRPr="007D495D">
              <w:rPr>
                <w:rFonts w:ascii="Times" w:hAnsi="Times" w:cs="Times"/>
                <w:i/>
                <w:iCs/>
                <w:color w:val="000000"/>
                <w:sz w:val="16"/>
                <w:szCs w:val="16"/>
              </w:rPr>
              <w:t xml:space="preserve">Road Traffic (Vehicles) Regulations 2014, </w:t>
            </w:r>
            <w:r w:rsidRPr="007D495D">
              <w:rPr>
                <w:rFonts w:ascii="Times" w:hAnsi="Times" w:cs="Times"/>
                <w:color w:val="000000"/>
                <w:sz w:val="16"/>
                <w:szCs w:val="16"/>
              </w:rPr>
              <w:t>administered by the Department of Transport.</w:t>
            </w:r>
          </w:p>
        </w:tc>
      </w:tr>
      <w:tr w:rsidR="007D495D" w:rsidRPr="007D495D" w14:paraId="5766784C" w14:textId="77777777">
        <w:trPr>
          <w:trHeight w:val="60"/>
        </w:trPr>
        <w:tc>
          <w:tcPr>
            <w:tcW w:w="2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B269BAE"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South Australia</w:t>
            </w:r>
          </w:p>
        </w:tc>
        <w:tc>
          <w:tcPr>
            <w:tcW w:w="53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32F3BE6"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transitional provisions in the </w:t>
            </w:r>
            <w:r w:rsidRPr="007D495D">
              <w:rPr>
                <w:rFonts w:ascii="Times" w:hAnsi="Times" w:cs="Times"/>
                <w:i/>
                <w:iCs/>
                <w:color w:val="000000"/>
                <w:sz w:val="16"/>
                <w:szCs w:val="16"/>
              </w:rPr>
              <w:t>Environment Protection (Miscellaneous) Amendment Act 2005</w:t>
            </w:r>
            <w:r w:rsidRPr="007D495D">
              <w:rPr>
                <w:rFonts w:ascii="Times" w:hAnsi="Times" w:cs="Times"/>
                <w:color w:val="000000"/>
                <w:sz w:val="16"/>
                <w:szCs w:val="16"/>
              </w:rPr>
              <w:t xml:space="preserve"> enable the NEPM to continue to operate as an Environment Protection Policy.</w:t>
            </w:r>
          </w:p>
          <w:p w14:paraId="7619D0A6"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Vehicle emissions in South Australia are regulated under Road Traffic (Vehicle Standards) Rules 1999, administered by the Department of Planning, Transport and Infrastructure.</w:t>
            </w:r>
          </w:p>
        </w:tc>
      </w:tr>
      <w:tr w:rsidR="007D495D" w:rsidRPr="007D495D" w14:paraId="681E4568" w14:textId="77777777">
        <w:trPr>
          <w:trHeight w:val="60"/>
        </w:trPr>
        <w:tc>
          <w:tcPr>
            <w:tcW w:w="2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21EF87"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Tasmania</w:t>
            </w:r>
          </w:p>
        </w:tc>
        <w:tc>
          <w:tcPr>
            <w:tcW w:w="53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EEC171"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NEPM is a state policy under the</w:t>
            </w:r>
            <w:r w:rsidRPr="007D495D">
              <w:rPr>
                <w:rFonts w:ascii="Times" w:hAnsi="Times" w:cs="Times"/>
                <w:i/>
                <w:iCs/>
                <w:color w:val="000000"/>
                <w:sz w:val="16"/>
                <w:szCs w:val="16"/>
              </w:rPr>
              <w:t xml:space="preserve"> State Policies and Projects Act 1993.</w:t>
            </w:r>
          </w:p>
          <w:p w14:paraId="2B7FFD1F"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Department of State Growth uses the ‘ten second rule’ to target smoky motor vehicles.</w:t>
            </w:r>
          </w:p>
        </w:tc>
      </w:tr>
      <w:tr w:rsidR="007D495D" w:rsidRPr="007D495D" w14:paraId="2E828661" w14:textId="77777777">
        <w:trPr>
          <w:trHeight w:val="60"/>
        </w:trPr>
        <w:tc>
          <w:tcPr>
            <w:tcW w:w="2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599AFE"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c>
          <w:tcPr>
            <w:tcW w:w="53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49BF7E9"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key legislative instrument is the</w:t>
            </w:r>
            <w:r w:rsidRPr="007D495D">
              <w:rPr>
                <w:rFonts w:ascii="Times" w:hAnsi="Times" w:cs="Times"/>
                <w:i/>
                <w:iCs/>
                <w:color w:val="000000"/>
                <w:sz w:val="16"/>
                <w:szCs w:val="16"/>
              </w:rPr>
              <w:t xml:space="preserve"> Road Transport (Vehicle Registration) Regulation 2000</w:t>
            </w:r>
            <w:r w:rsidRPr="007D495D">
              <w:rPr>
                <w:rFonts w:ascii="Times" w:hAnsi="Times" w:cs="Times"/>
                <w:color w:val="000000"/>
                <w:sz w:val="16"/>
                <w:szCs w:val="16"/>
              </w:rPr>
              <w:t>, implemented by Access Canberra.</w:t>
            </w:r>
          </w:p>
        </w:tc>
      </w:tr>
      <w:tr w:rsidR="007D495D" w:rsidRPr="007D495D" w14:paraId="44F36BAD" w14:textId="77777777">
        <w:trPr>
          <w:trHeight w:val="60"/>
        </w:trPr>
        <w:tc>
          <w:tcPr>
            <w:tcW w:w="20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69FDD2"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c>
          <w:tcPr>
            <w:tcW w:w="53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3B3F2C"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Vehicle performance standards are enforced under the Motor Vehicles Act implemented by the Department of Transport.</w:t>
            </w:r>
          </w:p>
        </w:tc>
      </w:tr>
    </w:tbl>
    <w:p w14:paraId="68D31631"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05074992"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Implementation issues arising</w:t>
      </w:r>
    </w:p>
    <w:p w14:paraId="039E0B82"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Table 2 summarises the implementation issues that arose throughout the 2018-19 reporting year. For implementation activities refer to jurisdictional reports as listed in Appendix 5.</w:t>
      </w:r>
    </w:p>
    <w:p w14:paraId="612C26CF"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t>Table 2: Summary of implementation issues arising</w:t>
      </w:r>
    </w:p>
    <w:tbl>
      <w:tblPr>
        <w:tblW w:w="0" w:type="auto"/>
        <w:tblInd w:w="-5" w:type="dxa"/>
        <w:tblLayout w:type="fixed"/>
        <w:tblCellMar>
          <w:left w:w="0" w:type="dxa"/>
          <w:right w:w="0" w:type="dxa"/>
        </w:tblCellMar>
        <w:tblLook w:val="0000" w:firstRow="0" w:lastRow="0" w:firstColumn="0" w:lastColumn="0" w:noHBand="0" w:noVBand="0"/>
      </w:tblPr>
      <w:tblGrid>
        <w:gridCol w:w="1979"/>
        <w:gridCol w:w="5438"/>
      </w:tblGrid>
      <w:tr w:rsidR="007D495D" w:rsidRPr="007D495D" w14:paraId="2BADED8A" w14:textId="77777777">
        <w:trPr>
          <w:trHeight w:val="60"/>
          <w:tblHeader/>
        </w:trPr>
        <w:tc>
          <w:tcPr>
            <w:tcW w:w="197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5D9AFF5"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Jurisdiction</w:t>
            </w:r>
          </w:p>
        </w:tc>
        <w:tc>
          <w:tcPr>
            <w:tcW w:w="543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B404543"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Summary of implementation issues arising</w:t>
            </w:r>
          </w:p>
        </w:tc>
      </w:tr>
      <w:tr w:rsidR="007D495D" w:rsidRPr="007D495D" w14:paraId="04A100D2" w14:textId="77777777">
        <w:trPr>
          <w:trHeight w:val="60"/>
        </w:trPr>
        <w:tc>
          <w:tcPr>
            <w:tcW w:w="19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A7E8493"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Commonwealth</w:t>
            </w:r>
          </w:p>
        </w:tc>
        <w:tc>
          <w:tcPr>
            <w:tcW w:w="543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B0D324"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issues reported.</w:t>
            </w:r>
          </w:p>
        </w:tc>
      </w:tr>
      <w:tr w:rsidR="007D495D" w:rsidRPr="007D495D" w14:paraId="3138366E" w14:textId="77777777">
        <w:trPr>
          <w:trHeight w:val="60"/>
        </w:trPr>
        <w:tc>
          <w:tcPr>
            <w:tcW w:w="19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FA92BC4"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New South Wales</w:t>
            </w:r>
          </w:p>
        </w:tc>
        <w:tc>
          <w:tcPr>
            <w:tcW w:w="543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00CFE1"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issues reported.</w:t>
            </w:r>
          </w:p>
          <w:p w14:paraId="22339DC4"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All Diesel NEPM-funded programs have now ceased.</w:t>
            </w:r>
          </w:p>
        </w:tc>
      </w:tr>
      <w:tr w:rsidR="007D495D" w:rsidRPr="007D495D" w14:paraId="3D52407C" w14:textId="77777777">
        <w:trPr>
          <w:trHeight w:val="60"/>
        </w:trPr>
        <w:tc>
          <w:tcPr>
            <w:tcW w:w="19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8CE5B6"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Victoria</w:t>
            </w:r>
          </w:p>
        </w:tc>
        <w:tc>
          <w:tcPr>
            <w:tcW w:w="543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556975"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issues reported.</w:t>
            </w:r>
          </w:p>
          <w:p w14:paraId="33BB8E63"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VIPAC Emissions Test Facility remained closed during the reporting period due to high maintenance costs and low throughput of vehicles.</w:t>
            </w:r>
          </w:p>
        </w:tc>
      </w:tr>
      <w:tr w:rsidR="007D495D" w:rsidRPr="007D495D" w14:paraId="15F14A3B" w14:textId="77777777">
        <w:trPr>
          <w:trHeight w:val="60"/>
        </w:trPr>
        <w:tc>
          <w:tcPr>
            <w:tcW w:w="19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80AAB1"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Queensland</w:t>
            </w:r>
          </w:p>
        </w:tc>
        <w:tc>
          <w:tcPr>
            <w:tcW w:w="543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211361"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issues reported.</w:t>
            </w:r>
          </w:p>
        </w:tc>
      </w:tr>
      <w:tr w:rsidR="007D495D" w:rsidRPr="007D495D" w14:paraId="4AD7EE65" w14:textId="77777777">
        <w:trPr>
          <w:trHeight w:val="60"/>
        </w:trPr>
        <w:tc>
          <w:tcPr>
            <w:tcW w:w="19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B972AD"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Western Australia</w:t>
            </w:r>
          </w:p>
        </w:tc>
        <w:tc>
          <w:tcPr>
            <w:tcW w:w="543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714E5C"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issues reported.</w:t>
            </w:r>
          </w:p>
        </w:tc>
      </w:tr>
      <w:tr w:rsidR="007D495D" w:rsidRPr="007D495D" w14:paraId="70B6C6E4" w14:textId="77777777">
        <w:trPr>
          <w:trHeight w:val="60"/>
        </w:trPr>
        <w:tc>
          <w:tcPr>
            <w:tcW w:w="19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E183C3"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South Australia</w:t>
            </w:r>
          </w:p>
        </w:tc>
        <w:tc>
          <w:tcPr>
            <w:tcW w:w="543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88BF55"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issues reported.</w:t>
            </w:r>
          </w:p>
          <w:p w14:paraId="3F210482"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Regency Park Emissions Test Facility remained closed during the reporting period due to high maintenance costs and low throughput of vehicles. </w:t>
            </w:r>
          </w:p>
        </w:tc>
      </w:tr>
      <w:tr w:rsidR="007D495D" w:rsidRPr="007D495D" w14:paraId="7C353AEB" w14:textId="77777777">
        <w:trPr>
          <w:trHeight w:val="60"/>
        </w:trPr>
        <w:tc>
          <w:tcPr>
            <w:tcW w:w="19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F90699"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lastRenderedPageBreak/>
              <w:t>Tasmania</w:t>
            </w:r>
          </w:p>
        </w:tc>
        <w:tc>
          <w:tcPr>
            <w:tcW w:w="543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7EF978"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specific issues were reported, however the NEPM is of limited relevance because diesel vehicles are not major contributors to air emissions in urban areas.</w:t>
            </w:r>
          </w:p>
        </w:tc>
      </w:tr>
      <w:tr w:rsidR="007D495D" w:rsidRPr="007D495D" w14:paraId="48296DAA" w14:textId="77777777">
        <w:trPr>
          <w:trHeight w:val="60"/>
        </w:trPr>
        <w:tc>
          <w:tcPr>
            <w:tcW w:w="19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2250C5"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c>
          <w:tcPr>
            <w:tcW w:w="543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8151BC"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specific issues were reported, however the NEPM is of limited relevance because diesel vehicles are not major contributors to air emissions in the ACT airshed.</w:t>
            </w:r>
          </w:p>
        </w:tc>
      </w:tr>
      <w:tr w:rsidR="007D495D" w:rsidRPr="007D495D" w14:paraId="3A05F47C" w14:textId="77777777">
        <w:trPr>
          <w:trHeight w:val="60"/>
        </w:trPr>
        <w:tc>
          <w:tcPr>
            <w:tcW w:w="19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86100D3"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c>
          <w:tcPr>
            <w:tcW w:w="543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699856"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No specific issues were reported, however the NEPM is of limited relevance because diesel vehicles are not major contributors to air emissions in urban areas.</w:t>
            </w:r>
          </w:p>
        </w:tc>
      </w:tr>
    </w:tbl>
    <w:p w14:paraId="1BEA2C3D"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3—JURISDICTIONAL REPORT ON ACTIVITIES UNDER THE NEPM</w:t>
      </w:r>
    </w:p>
    <w:p w14:paraId="01AFEB64"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Amendments to fuel standards under the Commonwealth Fuel Quality Standards Act 2000 to better align with international best practice and to further reduce vehicle emissions remain under consideration.</w:t>
      </w:r>
    </w:p>
    <w:p w14:paraId="54E61CE4"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Jurisdictions continue to run a number of programs to monitor and reduce emissions from their diesel fleets, including smoky vehicle reporting programs, upgrades to government vehicle and bus fleets and emissions testing and repair programs. </w:t>
      </w:r>
    </w:p>
    <w:p w14:paraId="1AEF2E3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For details of individual programs and initiatives, please refer to jurisdictional reports as listed in Part 5 below. </w:t>
      </w:r>
    </w:p>
    <w:p w14:paraId="64CC1D10"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4—Assessment of NEPM effectiveness</w:t>
      </w:r>
    </w:p>
    <w:p w14:paraId="0583D40B" w14:textId="48F97618"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While there are some limitations on the ability to quantify the overall effectiveness of the NEPM</w:t>
      </w:r>
      <w:r w:rsidR="00CC4679">
        <w:rPr>
          <w:rFonts w:ascii="Times" w:hAnsi="Times" w:cs="Times"/>
          <w:color w:val="000000"/>
          <w:sz w:val="16"/>
          <w:szCs w:val="16"/>
        </w:rPr>
        <w:t>-</w:t>
      </w:r>
      <w:r w:rsidRPr="007D495D">
        <w:rPr>
          <w:rFonts w:ascii="Times" w:hAnsi="Times" w:cs="Times"/>
          <w:color w:val="000000"/>
          <w:sz w:val="16"/>
          <w:szCs w:val="16"/>
        </w:rPr>
        <w:t xml:space="preserve">based initiatives implemented to date, jurisdictions report that the NEPM continues to help reduce emissions from diesel vehicles across Australia and is a useful component of the broader framework to manage vehicle emissions and air quality more generally. </w:t>
      </w:r>
    </w:p>
    <w:p w14:paraId="2D6A6CAF"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A number of jurisdictions continued to note increases in the numbers of registered on- and off-road diesel vehicles resulting in them becoming an increasingly higher proportion of their in-service fleets. Fleet turnover, combined with the introduction of more stringent vehicle emissions regulations, means considerable progress is being made toward achieving NEPM goals through national initiatives including the Australian Design Rules and fuel quality standards, particularly for smaller vehicles. </w:t>
      </w:r>
    </w:p>
    <w:p w14:paraId="66D84260"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5—Reporting on implementation by jurisdictions</w:t>
      </w:r>
    </w:p>
    <w:p w14:paraId="11773DAF"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annexes to this report are in Appendix 4:</w:t>
      </w:r>
    </w:p>
    <w:tbl>
      <w:tblPr>
        <w:tblW w:w="0" w:type="auto"/>
        <w:tblInd w:w="-5" w:type="dxa"/>
        <w:tblLayout w:type="fixed"/>
        <w:tblCellMar>
          <w:left w:w="0" w:type="dxa"/>
          <w:right w:w="0" w:type="dxa"/>
        </w:tblCellMar>
        <w:tblLook w:val="0000" w:firstRow="0" w:lastRow="0" w:firstColumn="0" w:lastColumn="0" w:noHBand="0" w:noVBand="0"/>
      </w:tblPr>
      <w:tblGrid>
        <w:gridCol w:w="1242"/>
        <w:gridCol w:w="4890"/>
      </w:tblGrid>
      <w:tr w:rsidR="008F19D2" w:rsidRPr="007D495D" w14:paraId="088D10B7" w14:textId="77777777" w:rsidTr="00470BBE">
        <w:trPr>
          <w:trHeight w:val="60"/>
        </w:trPr>
        <w:tc>
          <w:tcPr>
            <w:tcW w:w="1242" w:type="dxa"/>
            <w:tcBorders>
              <w:top w:val="single" w:sz="6" w:space="0" w:color="auto"/>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704EBA"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1:</w:t>
            </w:r>
          </w:p>
        </w:tc>
        <w:tc>
          <w:tcPr>
            <w:tcW w:w="4890" w:type="dxa"/>
            <w:tcBorders>
              <w:top w:val="single" w:sz="6" w:space="0" w:color="auto"/>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488DE7B"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Commonwealth</w:t>
            </w:r>
          </w:p>
        </w:tc>
      </w:tr>
      <w:tr w:rsidR="008F19D2" w:rsidRPr="007D495D" w14:paraId="14023FDC"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C6FC40"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2:</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AC7DD76"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New South Wales</w:t>
            </w:r>
          </w:p>
        </w:tc>
      </w:tr>
      <w:tr w:rsidR="008F19D2" w:rsidRPr="007D495D" w14:paraId="30B64A57"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58A2A1"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3:</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463CDD0"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Victoria</w:t>
            </w:r>
          </w:p>
        </w:tc>
      </w:tr>
      <w:tr w:rsidR="008F19D2" w:rsidRPr="007D495D" w14:paraId="41ADB703"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C4EBF99"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4:</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19422C"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Queensland</w:t>
            </w:r>
          </w:p>
        </w:tc>
      </w:tr>
      <w:tr w:rsidR="008F19D2" w:rsidRPr="007D495D" w14:paraId="578DDDC1"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52BFFD"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5:</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9C14D7"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Western Australia</w:t>
            </w:r>
          </w:p>
        </w:tc>
      </w:tr>
      <w:tr w:rsidR="008F19D2" w:rsidRPr="007D495D" w14:paraId="2CEF6C15"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8811CE3"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6:</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3E2043"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South Australia</w:t>
            </w:r>
          </w:p>
        </w:tc>
      </w:tr>
      <w:tr w:rsidR="008F19D2" w:rsidRPr="007D495D" w14:paraId="27875732"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8122A88"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7:</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F6997E"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Tasmania</w:t>
            </w:r>
          </w:p>
        </w:tc>
      </w:tr>
      <w:tr w:rsidR="008F19D2" w:rsidRPr="007D495D" w14:paraId="0DDF9534"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28E239"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8:</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7B5C01"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r>
      <w:tr w:rsidR="008F19D2" w:rsidRPr="007D495D" w14:paraId="22121CB7" w14:textId="77777777" w:rsidTr="00470BBE">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6BA6DC"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9:</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ED1DE4"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r>
    </w:tbl>
    <w:p w14:paraId="2BE45D57"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72DDA9AB"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3CC307DF" w14:textId="0229465B" w:rsidR="007D495D" w:rsidRPr="007D495D" w:rsidRDefault="00470BBE" w:rsidP="00CB0DA6">
      <w:pPr>
        <w:pStyle w:val="Heading1"/>
      </w:pPr>
      <w:bookmarkStart w:id="11" w:name="_Toc58254365"/>
      <w:r w:rsidRPr="007D495D">
        <w:rPr>
          <w:spacing w:val="10"/>
          <w:sz w:val="32"/>
          <w:szCs w:val="32"/>
        </w:rPr>
        <w:lastRenderedPageBreak/>
        <w:t xml:space="preserve">NEPC report on the implementation of the </w:t>
      </w:r>
      <w:r>
        <w:rPr>
          <w:spacing w:val="10"/>
          <w:sz w:val="32"/>
          <w:szCs w:val="32"/>
        </w:rPr>
        <w:br/>
      </w:r>
      <w:r w:rsidR="007D495D" w:rsidRPr="007D495D">
        <w:t>National Environment Protection (Movement of Controlled Waste between States and Territories) Measure</w:t>
      </w:r>
      <w:bookmarkEnd w:id="11"/>
    </w:p>
    <w:p w14:paraId="2111CE81"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1—General Information</w:t>
      </w:r>
    </w:p>
    <w:p w14:paraId="432BF232"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NEPM details</w:t>
      </w:r>
    </w:p>
    <w:p w14:paraId="07F73F02"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Title:</w:t>
      </w:r>
      <w:r w:rsidRPr="007D495D">
        <w:rPr>
          <w:rFonts w:ascii="Times" w:hAnsi="Times" w:cs="Times"/>
          <w:color w:val="000000"/>
          <w:sz w:val="16"/>
          <w:szCs w:val="16"/>
        </w:rPr>
        <w:t xml:space="preserve"> National Environment Protection Council (Movement of Controlled Waste between States and Territories) Measure</w:t>
      </w:r>
    </w:p>
    <w:p w14:paraId="3338F736"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 xml:space="preserve">Made by Council: </w:t>
      </w:r>
      <w:r w:rsidRPr="007D495D">
        <w:rPr>
          <w:rFonts w:ascii="Times" w:hAnsi="Times" w:cs="Times"/>
          <w:color w:val="000000"/>
          <w:sz w:val="16"/>
          <w:szCs w:val="16"/>
        </w:rPr>
        <w:t>26 June 1998</w:t>
      </w:r>
    </w:p>
    <w:p w14:paraId="2B709109"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 xml:space="preserve">Commencement date: </w:t>
      </w:r>
      <w:r w:rsidRPr="007D495D">
        <w:rPr>
          <w:rFonts w:ascii="Times" w:hAnsi="Times" w:cs="Times"/>
          <w:color w:val="000000"/>
          <w:sz w:val="16"/>
          <w:szCs w:val="16"/>
        </w:rPr>
        <w:t>8 July 1998 (advertised in the Commonwealth of Australia Gazette No. GN 27, 8 July 1998, p. 2212)</w:t>
      </w:r>
    </w:p>
    <w:p w14:paraId="1878C583"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NEPM goal (or purpose)</w:t>
      </w:r>
    </w:p>
    <w:p w14:paraId="6C3DF1C1"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desired Goal for the National Environment Protection (Movement of Controlled Waste between States and Territories) Measure is set out in clause 11 of the Measure as follows:</w:t>
      </w:r>
    </w:p>
    <w:p w14:paraId="1F7057AD" w14:textId="77777777" w:rsidR="007D495D" w:rsidRPr="007D495D" w:rsidRDefault="007D495D" w:rsidP="007D495D">
      <w:pPr>
        <w:suppressAutoHyphens/>
        <w:autoSpaceDE w:val="0"/>
        <w:autoSpaceDN w:val="0"/>
        <w:adjustRightInd w:val="0"/>
        <w:spacing w:after="113" w:line="288" w:lineRule="auto"/>
        <w:ind w:left="340" w:right="340"/>
        <w:textAlignment w:val="center"/>
        <w:rPr>
          <w:rFonts w:ascii="Times" w:hAnsi="Times" w:cs="Times"/>
          <w:i/>
          <w:iCs/>
          <w:color w:val="000000"/>
          <w:sz w:val="16"/>
          <w:szCs w:val="16"/>
        </w:rPr>
      </w:pPr>
      <w:r w:rsidRPr="007D495D">
        <w:rPr>
          <w:rFonts w:ascii="Times" w:hAnsi="Times" w:cs="Times"/>
          <w:i/>
          <w:iCs/>
          <w:color w:val="000000"/>
          <w:sz w:val="16"/>
          <w:szCs w:val="16"/>
        </w:rPr>
        <w:t>The National environment protection goal of this Measure is to assist in achieving the desired environmental outcomes set out in clause 12 by providing a basis for ensuring that controlled wastes which are to be moved between states and territories are properly identified, transported, and otherwise handled in ways consistent with environmentally sound practices for the management of such wastes.</w:t>
      </w:r>
    </w:p>
    <w:p w14:paraId="33E04451"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Desired environmental outcomes</w:t>
      </w:r>
    </w:p>
    <w:p w14:paraId="3DA9A14E"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desired environmental outcome for the National Environment Protection (Movement of Controlled Waste between States and Territories) Measure is set out in clause 12 of the Measure as follows:</w:t>
      </w:r>
    </w:p>
    <w:p w14:paraId="2F9E0AEC" w14:textId="77777777" w:rsidR="007D495D" w:rsidRPr="007D495D" w:rsidRDefault="007D495D" w:rsidP="007D495D">
      <w:pPr>
        <w:suppressAutoHyphens/>
        <w:autoSpaceDE w:val="0"/>
        <w:autoSpaceDN w:val="0"/>
        <w:adjustRightInd w:val="0"/>
        <w:spacing w:after="113" w:line="288" w:lineRule="auto"/>
        <w:ind w:left="340" w:right="340"/>
        <w:textAlignment w:val="center"/>
        <w:rPr>
          <w:rFonts w:ascii="Times" w:hAnsi="Times" w:cs="Times"/>
          <w:i/>
          <w:iCs/>
          <w:color w:val="000000"/>
          <w:sz w:val="16"/>
          <w:szCs w:val="16"/>
        </w:rPr>
      </w:pPr>
      <w:r w:rsidRPr="007D495D">
        <w:rPr>
          <w:rFonts w:ascii="Times" w:hAnsi="Times" w:cs="Times"/>
          <w:i/>
          <w:iCs/>
          <w:color w:val="000000"/>
          <w:sz w:val="16"/>
          <w:szCs w:val="16"/>
        </w:rPr>
        <w:t>The desired environmental outcomes of this Measure are to minimise the potential for adverse impacts associated with the movement of controlled waste on the environment and human health.</w:t>
      </w:r>
    </w:p>
    <w:p w14:paraId="5D15D48D"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Evaluation criteria</w:t>
      </w:r>
    </w:p>
    <w:p w14:paraId="298816BE"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The effectiveness of the National Environment Protection (Movement of Controlled Waste between States and Territories) Measure has been assessed against the evaluation criteria for this NEPM. </w:t>
      </w:r>
    </w:p>
    <w:p w14:paraId="64DD319E"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2—Implementation of the NEPM and any significant issues</w:t>
      </w:r>
    </w:p>
    <w:p w14:paraId="14C555E4"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This part provides a summary of jurisdictional reports on implementation and the Council’s overall assessment of the implementation of the NEPM.</w:t>
      </w:r>
    </w:p>
    <w:p w14:paraId="717CB6FC"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Legislative, regulatory and administrative framework</w:t>
      </w:r>
    </w:p>
    <w:p w14:paraId="5884D35D"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t>Table 1: Summary of implementation frameworks</w:t>
      </w:r>
    </w:p>
    <w:tbl>
      <w:tblPr>
        <w:tblW w:w="0" w:type="auto"/>
        <w:tblInd w:w="-5" w:type="dxa"/>
        <w:tblLayout w:type="fixed"/>
        <w:tblCellMar>
          <w:left w:w="0" w:type="dxa"/>
          <w:right w:w="0" w:type="dxa"/>
        </w:tblCellMar>
        <w:tblLook w:val="0000" w:firstRow="0" w:lastRow="0" w:firstColumn="0" w:lastColumn="0" w:noHBand="0" w:noVBand="0"/>
      </w:tblPr>
      <w:tblGrid>
        <w:gridCol w:w="1965"/>
        <w:gridCol w:w="5452"/>
      </w:tblGrid>
      <w:tr w:rsidR="007D495D" w:rsidRPr="007D495D" w14:paraId="676DE775" w14:textId="77777777">
        <w:trPr>
          <w:trHeight w:val="60"/>
          <w:tblHeader/>
        </w:trPr>
        <w:tc>
          <w:tcPr>
            <w:tcW w:w="196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AAD6D53"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Jurisdiction</w:t>
            </w:r>
          </w:p>
        </w:tc>
        <w:tc>
          <w:tcPr>
            <w:tcW w:w="545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A48017C"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Summary of implementation frameworks</w:t>
            </w:r>
          </w:p>
        </w:tc>
      </w:tr>
      <w:tr w:rsidR="007D495D" w:rsidRPr="007D495D" w14:paraId="1067D9BB"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55658B"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Commonwealth</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D2570DF"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NEPM is implemented administratively.</w:t>
            </w:r>
          </w:p>
        </w:tc>
      </w:tr>
      <w:tr w:rsidR="007D495D" w:rsidRPr="007D495D" w14:paraId="3D43EA88"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B188FAE"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New South Wales</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84D019D"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key legislative instruments are the </w:t>
            </w:r>
            <w:r w:rsidRPr="007D495D">
              <w:rPr>
                <w:rFonts w:ascii="Times" w:hAnsi="Times" w:cs="Times"/>
                <w:i/>
                <w:iCs/>
                <w:color w:val="000000"/>
                <w:sz w:val="16"/>
                <w:szCs w:val="16"/>
              </w:rPr>
              <w:t>Protection of the Environment Operations Act 1997</w:t>
            </w:r>
            <w:r w:rsidRPr="007D495D">
              <w:rPr>
                <w:rFonts w:ascii="Times" w:hAnsi="Times" w:cs="Times"/>
                <w:color w:val="000000"/>
                <w:sz w:val="16"/>
                <w:szCs w:val="16"/>
              </w:rPr>
              <w:t xml:space="preserve"> and the </w:t>
            </w:r>
            <w:r w:rsidRPr="007D495D">
              <w:rPr>
                <w:rFonts w:ascii="Times" w:hAnsi="Times" w:cs="Times"/>
                <w:i/>
                <w:iCs/>
                <w:color w:val="000000"/>
                <w:sz w:val="16"/>
                <w:szCs w:val="16"/>
              </w:rPr>
              <w:t>Protection of the Environment Operations (Waste) Regulation 2014.</w:t>
            </w:r>
          </w:p>
        </w:tc>
      </w:tr>
      <w:tr w:rsidR="007D495D" w:rsidRPr="007D495D" w14:paraId="106813DE"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1893F0A"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Victoria</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446875"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key legislative instruments are the Waste Management Policy (Movement of Controlled Waste between States and Territories) 2001 made under the </w:t>
            </w:r>
            <w:r w:rsidRPr="007D495D">
              <w:rPr>
                <w:rFonts w:ascii="Times" w:hAnsi="Times" w:cs="Times"/>
                <w:i/>
                <w:iCs/>
                <w:color w:val="000000"/>
                <w:sz w:val="16"/>
                <w:szCs w:val="16"/>
              </w:rPr>
              <w:t>Environment Protection Act 1970.</w:t>
            </w:r>
            <w:r w:rsidRPr="007D495D">
              <w:rPr>
                <w:rFonts w:ascii="Times" w:hAnsi="Times" w:cs="Times"/>
                <w:color w:val="000000"/>
                <w:sz w:val="16"/>
                <w:szCs w:val="16"/>
              </w:rPr>
              <w:t xml:space="preserve"> </w:t>
            </w:r>
          </w:p>
        </w:tc>
      </w:tr>
      <w:tr w:rsidR="007D495D" w:rsidRPr="007D495D" w14:paraId="60EBE5D7"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CEEA71"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Queensland</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404ACC5"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i/>
                <w:iC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key legislative instrument is the</w:t>
            </w:r>
            <w:r w:rsidRPr="007D495D">
              <w:rPr>
                <w:rFonts w:ascii="Times" w:hAnsi="Times" w:cs="Times"/>
                <w:i/>
                <w:iCs/>
                <w:color w:val="000000"/>
                <w:sz w:val="16"/>
                <w:szCs w:val="16"/>
              </w:rPr>
              <w:t xml:space="preserve"> Environmental Protection Act 1994.</w:t>
            </w:r>
          </w:p>
          <w:p w14:paraId="3264D27D"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lastRenderedPageBreak/>
              <w:t>•</w:t>
            </w:r>
            <w:r w:rsidRPr="007D495D">
              <w:rPr>
                <w:rFonts w:ascii="Times" w:hAnsi="Times" w:cs="Times"/>
                <w:color w:val="000000"/>
                <w:sz w:val="16"/>
                <w:szCs w:val="16"/>
              </w:rPr>
              <w:tab/>
              <w:t xml:space="preserve">Requirements for the licensing of controlled waste transporters are included in the </w:t>
            </w:r>
            <w:r w:rsidRPr="007D495D">
              <w:rPr>
                <w:rFonts w:ascii="Times" w:hAnsi="Times" w:cs="Times"/>
                <w:i/>
                <w:iCs/>
                <w:color w:val="000000"/>
                <w:sz w:val="16"/>
                <w:szCs w:val="16"/>
              </w:rPr>
              <w:t>Environmental Protection Regulation 2008.</w:t>
            </w:r>
          </w:p>
        </w:tc>
      </w:tr>
      <w:tr w:rsidR="007D495D" w:rsidRPr="007D495D" w14:paraId="252E29B2"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DD608A"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lastRenderedPageBreak/>
              <w:t>Western Australia</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CD7C80"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primary legislative instruments are the </w:t>
            </w:r>
            <w:r w:rsidRPr="007D495D">
              <w:rPr>
                <w:rFonts w:ascii="Times" w:hAnsi="Times" w:cs="Times"/>
                <w:i/>
                <w:iCs/>
                <w:color w:val="000000"/>
                <w:sz w:val="16"/>
                <w:szCs w:val="16"/>
              </w:rPr>
              <w:t>Environmental Protection Act 1986</w:t>
            </w:r>
            <w:r w:rsidRPr="007D495D">
              <w:rPr>
                <w:rFonts w:ascii="Times" w:hAnsi="Times" w:cs="Times"/>
                <w:color w:val="000000"/>
                <w:sz w:val="16"/>
                <w:szCs w:val="16"/>
              </w:rPr>
              <w:t xml:space="preserve"> and the </w:t>
            </w:r>
            <w:r w:rsidRPr="007D495D">
              <w:rPr>
                <w:rFonts w:ascii="Times" w:hAnsi="Times" w:cs="Times"/>
                <w:i/>
                <w:iCs/>
                <w:color w:val="000000"/>
                <w:sz w:val="16"/>
                <w:szCs w:val="16"/>
              </w:rPr>
              <w:t>Environmental Protection (Controlled Waste) Regulations 2004</w:t>
            </w:r>
            <w:r w:rsidRPr="007D495D">
              <w:rPr>
                <w:rFonts w:ascii="Times" w:hAnsi="Times" w:cs="Times"/>
                <w:color w:val="000000"/>
                <w:sz w:val="16"/>
                <w:szCs w:val="16"/>
              </w:rPr>
              <w:t>.</w:t>
            </w:r>
          </w:p>
        </w:tc>
      </w:tr>
      <w:tr w:rsidR="007D495D" w:rsidRPr="007D495D" w14:paraId="13A1E33E"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025A6B"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South Australia</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53A306"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by the Environment Protection (Movement of Controlled Waste) Policy 2014 under the </w:t>
            </w:r>
            <w:r w:rsidRPr="007D495D">
              <w:rPr>
                <w:rFonts w:ascii="Times" w:hAnsi="Times" w:cs="Times"/>
                <w:i/>
                <w:iCs/>
                <w:color w:val="000000"/>
                <w:sz w:val="16"/>
                <w:szCs w:val="16"/>
              </w:rPr>
              <w:t>Environment Protection Act 1993</w:t>
            </w:r>
            <w:r w:rsidRPr="007D495D">
              <w:rPr>
                <w:rFonts w:ascii="Times" w:hAnsi="Times" w:cs="Times"/>
                <w:color w:val="000000"/>
                <w:sz w:val="16"/>
                <w:szCs w:val="16"/>
              </w:rPr>
              <w:t>.</w:t>
            </w:r>
          </w:p>
        </w:tc>
      </w:tr>
      <w:tr w:rsidR="007D495D" w:rsidRPr="007D495D" w14:paraId="2FBF412B"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4976EA1"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Tasmania</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7BFDAB"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NEPM is implemented under the</w:t>
            </w:r>
            <w:r w:rsidRPr="007D495D">
              <w:rPr>
                <w:rFonts w:ascii="Times" w:hAnsi="Times" w:cs="Times"/>
                <w:i/>
                <w:iCs/>
                <w:color w:val="000000"/>
                <w:sz w:val="16"/>
                <w:szCs w:val="16"/>
              </w:rPr>
              <w:t xml:space="preserve"> Environmental Management and Pollution Control Act 1994.</w:t>
            </w:r>
          </w:p>
        </w:tc>
      </w:tr>
      <w:tr w:rsidR="007D495D" w:rsidRPr="007D495D" w14:paraId="15444B12"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733E35D"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A65CD5"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key legislative instruments are the</w:t>
            </w:r>
            <w:r w:rsidRPr="007D495D">
              <w:rPr>
                <w:rFonts w:ascii="Times" w:hAnsi="Times" w:cs="Times"/>
                <w:i/>
                <w:iCs/>
                <w:color w:val="000000"/>
                <w:sz w:val="16"/>
                <w:szCs w:val="16"/>
              </w:rPr>
              <w:t xml:space="preserve"> Environment Protection Act 1997 </w:t>
            </w:r>
            <w:r w:rsidRPr="007D495D">
              <w:rPr>
                <w:rFonts w:ascii="Times" w:hAnsi="Times" w:cs="Times"/>
                <w:color w:val="000000"/>
                <w:sz w:val="16"/>
                <w:szCs w:val="16"/>
              </w:rPr>
              <w:t>and the</w:t>
            </w:r>
            <w:r w:rsidRPr="007D495D">
              <w:rPr>
                <w:rFonts w:ascii="Times" w:hAnsi="Times" w:cs="Times"/>
                <w:i/>
                <w:iCs/>
                <w:color w:val="000000"/>
                <w:sz w:val="16"/>
                <w:szCs w:val="16"/>
              </w:rPr>
              <w:t xml:space="preserve"> Environment Protection Regulations 2005</w:t>
            </w:r>
            <w:r w:rsidRPr="007D495D">
              <w:rPr>
                <w:rFonts w:ascii="Times" w:hAnsi="Times" w:cs="Times"/>
                <w:color w:val="000000"/>
                <w:sz w:val="16"/>
                <w:szCs w:val="16"/>
              </w:rPr>
              <w:t xml:space="preserve">. </w:t>
            </w:r>
          </w:p>
        </w:tc>
      </w:tr>
      <w:tr w:rsidR="007D495D" w:rsidRPr="007D495D" w14:paraId="29F607CD"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800B665"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623E1F"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key legislative instruments are the </w:t>
            </w:r>
            <w:r w:rsidRPr="007D495D">
              <w:rPr>
                <w:rFonts w:ascii="Times" w:hAnsi="Times" w:cs="Times"/>
                <w:i/>
                <w:iCs/>
                <w:color w:val="000000"/>
                <w:sz w:val="16"/>
                <w:szCs w:val="16"/>
              </w:rPr>
              <w:t>Waste Management and Pollution Control Act 1998</w:t>
            </w:r>
            <w:r w:rsidRPr="007D495D">
              <w:rPr>
                <w:rFonts w:ascii="Times" w:hAnsi="Times" w:cs="Times"/>
                <w:color w:val="000000"/>
                <w:sz w:val="16"/>
                <w:szCs w:val="16"/>
              </w:rPr>
              <w:t xml:space="preserve"> and the </w:t>
            </w:r>
            <w:r w:rsidRPr="007D495D">
              <w:rPr>
                <w:rFonts w:ascii="Times" w:hAnsi="Times" w:cs="Times"/>
                <w:i/>
                <w:iCs/>
                <w:color w:val="000000"/>
                <w:sz w:val="16"/>
                <w:szCs w:val="16"/>
              </w:rPr>
              <w:t xml:space="preserve">Transport of Dangerous Goods by Road and Rail (National Uniform Legislation) Act 2010. </w:t>
            </w:r>
          </w:p>
        </w:tc>
      </w:tr>
    </w:tbl>
    <w:p w14:paraId="5E960376"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3C0FA45A"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Implementation issues arising</w:t>
      </w:r>
    </w:p>
    <w:p w14:paraId="3F20EC68"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No implementation issues were reported by jurisdictions.</w:t>
      </w:r>
    </w:p>
    <w:p w14:paraId="6D1A3835"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3—JURISDICTIONAL REPORT ON ACTIVITIES UNDER THE NEPM</w:t>
      </w:r>
    </w:p>
    <w:p w14:paraId="21EB2EB6"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The Commonwealth continued work towards a single, nationally consistent electronic tracking system for inter-and intrastate movements of hazardous and controlled wastes. </w:t>
      </w:r>
    </w:p>
    <w:p w14:paraId="566BAD7E"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A number of jurisdictions focused on reviewing or updating their waste management systems and processes to enable electronic tracking of the transport of industrial waste between states and territories to both limit the possibility of the improper movement of waste and ensure its disposal at permitted facilities. </w:t>
      </w:r>
    </w:p>
    <w:p w14:paraId="7BEBAF82"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There continues to be close consultation between state and territory agencies, established under the NEPM agreement.</w:t>
      </w:r>
    </w:p>
    <w:p w14:paraId="1BB90E48"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tables below provide a national summary of the data for quantities of each waste category transported. The waste categories group the 73 waste streams and constituents listed in Schedule A of the NEPM into 15 broader types.</w:t>
      </w:r>
    </w:p>
    <w:p w14:paraId="424A44E9" w14:textId="77777777" w:rsidR="00470BBE" w:rsidRDefault="00470BBE"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sectPr w:rsidR="00470BBE" w:rsidSect="00470BBE">
          <w:footerReference w:type="even" r:id="rId9"/>
          <w:footerReference w:type="default" r:id="rId10"/>
          <w:pgSz w:w="11900" w:h="16840"/>
          <w:pgMar w:top="1132" w:right="1440" w:bottom="1440" w:left="1440" w:header="708" w:footer="708" w:gutter="0"/>
          <w:cols w:space="708"/>
          <w:docGrid w:linePitch="360"/>
        </w:sectPr>
      </w:pPr>
    </w:p>
    <w:p w14:paraId="2565A3F8" w14:textId="047CC97C"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lastRenderedPageBreak/>
        <w:t>Table 2: Summary of total movements of controlled waste within Australia, imports by states and territories for the period 1 July 2018–30 June 2019</w:t>
      </w:r>
    </w:p>
    <w:tbl>
      <w:tblPr>
        <w:tblW w:w="14317" w:type="dxa"/>
        <w:tblInd w:w="-5" w:type="dxa"/>
        <w:tblLayout w:type="fixed"/>
        <w:tblCellMar>
          <w:left w:w="0" w:type="dxa"/>
          <w:right w:w="0" w:type="dxa"/>
        </w:tblCellMar>
        <w:tblLook w:val="0000" w:firstRow="0" w:lastRow="0" w:firstColumn="0" w:lastColumn="0" w:noHBand="0" w:noVBand="0"/>
      </w:tblPr>
      <w:tblGrid>
        <w:gridCol w:w="562"/>
        <w:gridCol w:w="2699"/>
        <w:gridCol w:w="1105"/>
        <w:gridCol w:w="1106"/>
        <w:gridCol w:w="1105"/>
        <w:gridCol w:w="1106"/>
        <w:gridCol w:w="1106"/>
        <w:gridCol w:w="1105"/>
        <w:gridCol w:w="1106"/>
        <w:gridCol w:w="1105"/>
        <w:gridCol w:w="1106"/>
        <w:gridCol w:w="1106"/>
      </w:tblGrid>
      <w:tr w:rsidR="007D495D" w:rsidRPr="007D495D" w14:paraId="2DD1CED1" w14:textId="77777777" w:rsidTr="00470BBE">
        <w:trPr>
          <w:trHeight w:val="60"/>
          <w:tblHeader/>
        </w:trPr>
        <w:tc>
          <w:tcPr>
            <w:tcW w:w="56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7502355"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Code</w:t>
            </w:r>
          </w:p>
        </w:tc>
        <w:tc>
          <w:tcPr>
            <w:tcW w:w="269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8683D3B"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Description</w:t>
            </w:r>
          </w:p>
        </w:tc>
        <w:tc>
          <w:tcPr>
            <w:tcW w:w="110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201F9F9"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NSW</w:t>
            </w:r>
          </w:p>
        </w:tc>
        <w:tc>
          <w:tcPr>
            <w:tcW w:w="110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0DF6A66"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Vic</w:t>
            </w:r>
          </w:p>
        </w:tc>
        <w:tc>
          <w:tcPr>
            <w:tcW w:w="110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6019397"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Qld</w:t>
            </w:r>
          </w:p>
        </w:tc>
        <w:tc>
          <w:tcPr>
            <w:tcW w:w="110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587CBBD"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WA</w:t>
            </w:r>
          </w:p>
        </w:tc>
        <w:tc>
          <w:tcPr>
            <w:tcW w:w="110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5A0013A"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SA</w:t>
            </w:r>
          </w:p>
        </w:tc>
        <w:tc>
          <w:tcPr>
            <w:tcW w:w="110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65BF9BF"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Tas</w:t>
            </w:r>
          </w:p>
        </w:tc>
        <w:tc>
          <w:tcPr>
            <w:tcW w:w="110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188C89C"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ACT</w:t>
            </w:r>
          </w:p>
        </w:tc>
        <w:tc>
          <w:tcPr>
            <w:tcW w:w="110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784F9AA"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NT</w:t>
            </w:r>
          </w:p>
        </w:tc>
        <w:tc>
          <w:tcPr>
            <w:tcW w:w="110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36AC54D"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Ex-Terr*</w:t>
            </w:r>
          </w:p>
        </w:tc>
        <w:tc>
          <w:tcPr>
            <w:tcW w:w="110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21FECF2"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Total</w:t>
            </w:r>
          </w:p>
        </w:tc>
      </w:tr>
      <w:tr w:rsidR="007D495D" w:rsidRPr="007D495D" w14:paraId="19730DAF"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F7E5AA"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A</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329E60"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Plating &amp; heat treatment</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F286C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7.18</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28E86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68205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310.54</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AD858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E8FA7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DD805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90A28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B70B1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31AEE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1082B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317.72</w:t>
            </w:r>
          </w:p>
        </w:tc>
      </w:tr>
      <w:tr w:rsidR="007D495D" w:rsidRPr="007D495D" w14:paraId="06B5EBE5"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E0A154"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B</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99FA8A"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Acids</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2D770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21709.72</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3CC4F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445.00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45C841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183.08</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44D3E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31.00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8130F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58.74</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3F24B5"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6.00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6FEC19"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C16BB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4D8C2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0714CE"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22433.54</w:t>
            </w:r>
          </w:p>
        </w:tc>
      </w:tr>
      <w:tr w:rsidR="007D495D" w:rsidRPr="007D495D" w14:paraId="7FFF3637"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27677E"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C</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BA0232"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Alkalis</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F3259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17.68</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F4C04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1207.00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81622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286.72</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9E228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9FFBD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24.59</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D8C928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0.20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4DD82B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ED234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6FA22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AD7F7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1536.19</w:t>
            </w:r>
          </w:p>
        </w:tc>
      </w:tr>
      <w:tr w:rsidR="007D495D" w:rsidRPr="007D495D" w14:paraId="27C10A5D"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CFDB35"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D</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D196A94"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Inorganic chemicals</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31A800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26823.17</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ADE18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18600.00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B2149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4722.32</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CBE9A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ED0540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348764.28</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33B97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3906.83</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5F54C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44395B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D3049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62F0E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402816.6</w:t>
            </w:r>
          </w:p>
        </w:tc>
      </w:tr>
      <w:tr w:rsidR="007D495D" w:rsidRPr="007D495D" w14:paraId="2A3734D2"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B764F5"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E</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A8D64F"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Reactive chemicals</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1325D3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3.91</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42F73AE"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5.00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75AC8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6.13</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69B555"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5E270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0B9395"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0.20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29676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710E66"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F421E1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88692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15.24</w:t>
            </w:r>
          </w:p>
        </w:tc>
      </w:tr>
      <w:tr w:rsidR="007D495D" w:rsidRPr="007D495D" w14:paraId="79CC9C68"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F2177C"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F</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7BB68E"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Paints, resins, inks, organic sludges</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1173C8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1544.55</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378EF5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4622.00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181B0C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755.85</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6848B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39.34</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6B98C5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203.66</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749978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462F05"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868FA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420CC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F0111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7167.4</w:t>
            </w:r>
          </w:p>
        </w:tc>
      </w:tr>
      <w:tr w:rsidR="007D495D" w:rsidRPr="007D495D" w14:paraId="22591359"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99480E"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G</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6E07BE"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Organic solvents</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2BE8E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324.83</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91C5F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1587.00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663B65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269.30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5646B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E4065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103.22</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8D511F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20594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10DB329"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9F18D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88CE2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2314.35</w:t>
            </w:r>
          </w:p>
        </w:tc>
      </w:tr>
      <w:tr w:rsidR="007D495D" w:rsidRPr="007D495D" w14:paraId="78CE4506"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47EFC2"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H</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8C5C8AF"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Pesticides</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6B0A7E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8.35</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2744C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500.00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787698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1944.67</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E83FF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EA3A4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19.58</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CB5A89"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05D2D4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A00D2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24BE9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B0C6F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2472.6</w:t>
            </w:r>
          </w:p>
        </w:tc>
      </w:tr>
      <w:tr w:rsidR="007D495D" w:rsidRPr="007D495D" w14:paraId="674C9881"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3B0014"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J</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7EAD59"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Oils</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CCFE0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5168.20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3961E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1680.00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76E9AC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34372.27</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34FB1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282.32</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928F8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3300.13</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9921E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65.00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B5AE0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337.65</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6E2DF2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335.24</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967D29"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4C39A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45540.81</w:t>
            </w:r>
          </w:p>
        </w:tc>
      </w:tr>
      <w:tr w:rsidR="007D495D" w:rsidRPr="007D495D" w14:paraId="30505DF3"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8368BB"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K</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557592"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Putrescible/organic waste</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8C3F4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7479.90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635E0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1373.00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F1C16D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11090.54</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3A4917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37.19</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6D62E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11.00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E77847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92.00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20C50E"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12.50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6349A6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14460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3D0120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20096.13</w:t>
            </w:r>
          </w:p>
        </w:tc>
      </w:tr>
      <w:tr w:rsidR="007D495D" w:rsidRPr="007D495D" w14:paraId="2BBA6CB7"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6311117"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L</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36962B7"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 xml:space="preserve">Industrial </w:t>
            </w:r>
            <w:proofErr w:type="spellStart"/>
            <w:r w:rsidRPr="007D495D">
              <w:rPr>
                <w:rFonts w:ascii="Times" w:hAnsi="Times" w:cs="Times"/>
                <w:b/>
                <w:bCs/>
                <w:color w:val="000000"/>
                <w:sz w:val="16"/>
                <w:szCs w:val="16"/>
              </w:rPr>
              <w:t>washwater</w:t>
            </w:r>
            <w:proofErr w:type="spellEnd"/>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CFCEBA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E8881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4124.00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CB96C7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083CFC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1206.00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C5D88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0FD25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040DD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894F07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4D8DD0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A3C49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5330</w:t>
            </w:r>
          </w:p>
        </w:tc>
      </w:tr>
      <w:tr w:rsidR="007D495D" w:rsidRPr="007D495D" w14:paraId="6D56217B"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E96C5E"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M</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EF1B5A"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Organic chemicals</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F9374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672.67</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CB0BC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2431.00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90328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1025.98</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EF3F55"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B5D750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9.31</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5E41A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0.15</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09E73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F89F6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08B5A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A2E4D3E"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4139.11</w:t>
            </w:r>
          </w:p>
        </w:tc>
      </w:tr>
      <w:tr w:rsidR="007D495D" w:rsidRPr="007D495D" w14:paraId="338B2F8B"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4F6359"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N</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CA303F5"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Soil/sludge</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4DB917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1146.37</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66761CE"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7873.00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20202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43139.95</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7E965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5A728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11249.80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E88699"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49.50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480887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81.59</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1FFA10E"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6D28AE5"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6277A4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63540.21</w:t>
            </w:r>
          </w:p>
        </w:tc>
      </w:tr>
      <w:tr w:rsidR="007D495D" w:rsidRPr="007D495D" w14:paraId="43073260"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ABA5FC"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R</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0BA11E"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Clinical &amp; pharmaceutical</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230DD6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491.72</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A9B82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1199.00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0A181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1823.37</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4C1BF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DA20F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139.07</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2E45D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0.80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3B35B5"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242.63</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88355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7373F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433D1D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3896.59</w:t>
            </w:r>
          </w:p>
        </w:tc>
      </w:tr>
      <w:tr w:rsidR="007D495D" w:rsidRPr="007D495D" w14:paraId="05873324"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62468F7"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T</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DB8846"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Misc.</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07B64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648.82</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4E89B4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7819.00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A99082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13725.80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BDB479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65744B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607.60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F5571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1BB399"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1.80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C5DA09"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4A62D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BF78B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22803.02</w:t>
            </w:r>
          </w:p>
        </w:tc>
      </w:tr>
      <w:tr w:rsidR="007D495D" w:rsidRPr="007D495D" w14:paraId="4083851B"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C1AF11"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 </w:t>
            </w:r>
          </w:p>
        </w:tc>
        <w:tc>
          <w:tcPr>
            <w:tcW w:w="2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765E17C"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Total (tonnes)</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8848B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66046.07</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5B235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53465.00</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67D916"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113656.52</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FFECF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1595.85</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F32C6F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364490.98</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08395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4154.48</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8C944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674.37</w:t>
            </w:r>
          </w:p>
        </w:tc>
        <w:tc>
          <w:tcPr>
            <w:tcW w:w="11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20265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335.24</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6B3E8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N/A</w:t>
            </w:r>
          </w:p>
        </w:tc>
        <w:tc>
          <w:tcPr>
            <w:tcW w:w="11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49BA7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604419.51</w:t>
            </w:r>
          </w:p>
        </w:tc>
      </w:tr>
    </w:tbl>
    <w:p w14:paraId="6C1D6299"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*Note: Information regarding External Territories (Ex-Terr*) has been provided only since the reporting year 2009–10.</w:t>
      </w:r>
    </w:p>
    <w:p w14:paraId="3E5C72F4"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2C31E3F2" w14:textId="77777777" w:rsidR="00470BBE" w:rsidRDefault="00470BBE">
      <w:pPr>
        <w:rPr>
          <w:rFonts w:ascii="Calibri" w:hAnsi="Calibri" w:cs="Calibri"/>
          <w:i/>
          <w:iCs/>
          <w:color w:val="000000"/>
          <w:sz w:val="18"/>
          <w:szCs w:val="18"/>
        </w:rPr>
      </w:pPr>
      <w:r>
        <w:rPr>
          <w:rFonts w:ascii="Calibri" w:hAnsi="Calibri" w:cs="Calibri"/>
          <w:i/>
          <w:iCs/>
          <w:color w:val="000000"/>
          <w:sz w:val="18"/>
          <w:szCs w:val="18"/>
        </w:rPr>
        <w:br w:type="page"/>
      </w:r>
    </w:p>
    <w:p w14:paraId="7BB2DFB7" w14:textId="36426538"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lastRenderedPageBreak/>
        <w:t>Table 3: Summary of total movements of controlled waste within Australia, exports by states and territories for the period, 1 July 2018–30 June 2019</w:t>
      </w:r>
    </w:p>
    <w:tbl>
      <w:tblPr>
        <w:tblW w:w="0" w:type="auto"/>
        <w:tblInd w:w="-5" w:type="dxa"/>
        <w:tblLayout w:type="fixed"/>
        <w:tblCellMar>
          <w:left w:w="0" w:type="dxa"/>
          <w:right w:w="0" w:type="dxa"/>
        </w:tblCellMar>
        <w:tblLook w:val="0000" w:firstRow="0" w:lastRow="0" w:firstColumn="0" w:lastColumn="0" w:noHBand="0" w:noVBand="0"/>
      </w:tblPr>
      <w:tblGrid>
        <w:gridCol w:w="562"/>
        <w:gridCol w:w="2840"/>
        <w:gridCol w:w="1077"/>
        <w:gridCol w:w="1077"/>
        <w:gridCol w:w="1077"/>
        <w:gridCol w:w="1078"/>
        <w:gridCol w:w="1077"/>
        <w:gridCol w:w="1077"/>
        <w:gridCol w:w="1078"/>
        <w:gridCol w:w="1077"/>
        <w:gridCol w:w="1077"/>
        <w:gridCol w:w="1078"/>
      </w:tblGrid>
      <w:tr w:rsidR="007D495D" w:rsidRPr="007D495D" w14:paraId="05216645" w14:textId="77777777" w:rsidTr="00470BBE">
        <w:trPr>
          <w:trHeight w:val="60"/>
          <w:tblHeader/>
        </w:trPr>
        <w:tc>
          <w:tcPr>
            <w:tcW w:w="56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83D70F6"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Code</w:t>
            </w:r>
          </w:p>
        </w:tc>
        <w:tc>
          <w:tcPr>
            <w:tcW w:w="284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8233C0D"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Description</w:t>
            </w:r>
          </w:p>
        </w:tc>
        <w:tc>
          <w:tcPr>
            <w:tcW w:w="10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AC3786B"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NSW</w:t>
            </w:r>
          </w:p>
        </w:tc>
        <w:tc>
          <w:tcPr>
            <w:tcW w:w="10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7EF7577"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Vic</w:t>
            </w:r>
          </w:p>
        </w:tc>
        <w:tc>
          <w:tcPr>
            <w:tcW w:w="10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87A32D7"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Qld</w:t>
            </w:r>
          </w:p>
        </w:tc>
        <w:tc>
          <w:tcPr>
            <w:tcW w:w="107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2FD4F6E"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WA</w:t>
            </w:r>
          </w:p>
        </w:tc>
        <w:tc>
          <w:tcPr>
            <w:tcW w:w="10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ADCE2F7"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SA</w:t>
            </w:r>
          </w:p>
        </w:tc>
        <w:tc>
          <w:tcPr>
            <w:tcW w:w="10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6FBD375"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Tas</w:t>
            </w:r>
          </w:p>
        </w:tc>
        <w:tc>
          <w:tcPr>
            <w:tcW w:w="107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5EBEC0C"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ACT</w:t>
            </w:r>
          </w:p>
        </w:tc>
        <w:tc>
          <w:tcPr>
            <w:tcW w:w="10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6CB5934"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NT</w:t>
            </w:r>
          </w:p>
        </w:tc>
        <w:tc>
          <w:tcPr>
            <w:tcW w:w="10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22A1FB8"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Ex-Terr*</w:t>
            </w:r>
          </w:p>
        </w:tc>
        <w:tc>
          <w:tcPr>
            <w:tcW w:w="107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50FAB0A" w14:textId="77777777" w:rsidR="007D495D" w:rsidRPr="007D495D" w:rsidRDefault="007D495D" w:rsidP="007D495D">
            <w:pPr>
              <w:suppressAutoHyphens/>
              <w:autoSpaceDE w:val="0"/>
              <w:autoSpaceDN w:val="0"/>
              <w:adjustRightInd w:val="0"/>
              <w:spacing w:before="57" w:after="57" w:line="180" w:lineRule="atLeast"/>
              <w:jc w:val="center"/>
              <w:textAlignment w:val="center"/>
              <w:rPr>
                <w:rFonts w:ascii="Times" w:hAnsi="Times" w:cs="Times"/>
                <w:b/>
                <w:bCs/>
                <w:color w:val="FFFFFF"/>
                <w:sz w:val="16"/>
                <w:szCs w:val="16"/>
              </w:rPr>
            </w:pPr>
            <w:r w:rsidRPr="007D495D">
              <w:rPr>
                <w:rFonts w:ascii="Times" w:hAnsi="Times" w:cs="Times"/>
                <w:b/>
                <w:bCs/>
                <w:color w:val="FFFFFF"/>
                <w:sz w:val="16"/>
                <w:szCs w:val="16"/>
              </w:rPr>
              <w:t>Total</w:t>
            </w:r>
          </w:p>
        </w:tc>
      </w:tr>
      <w:tr w:rsidR="007D495D" w:rsidRPr="007D495D" w14:paraId="0B463D70"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5D0B0D"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A</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7DF573"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Plating &amp; heat treatment</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3DFCD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310.54</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19A99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2.59</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8AAAB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4.10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C316AE"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49C4A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60B659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45EB0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0.49</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57930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B0B26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B84BF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317.72</w:t>
            </w:r>
          </w:p>
        </w:tc>
      </w:tr>
      <w:tr w:rsidR="007D495D" w:rsidRPr="007D495D" w14:paraId="135901C5"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AF9FEC"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B</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96D6FC"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Acids</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C2488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441.30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64573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21685.16</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73282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21.32</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D8697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30.19</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51BE89"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151.00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07673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103DFE"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0.35</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2700E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98.22</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5A90A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6.00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66B7449"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22433.54</w:t>
            </w:r>
          </w:p>
        </w:tc>
      </w:tr>
      <w:tr w:rsidR="007D495D" w:rsidRPr="007D495D" w14:paraId="015ADAAA"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A58FBF"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C</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888088"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Alkalis</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B7BBB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571.72</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A870C9"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9.61</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FB8FA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8.19</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C3FD0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CF9259"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2E23C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1F025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0.18</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1A9081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946.29</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A911D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0.20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1DF55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1536.19</w:t>
            </w:r>
          </w:p>
        </w:tc>
      </w:tr>
      <w:tr w:rsidR="007D495D" w:rsidRPr="007D495D" w14:paraId="564C4E16"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835233"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D</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F528F8"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Inorganic chemicals</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31B18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16431.01</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673B0A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28944.97</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F4DBEC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5475.32</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49CC1B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16696.83</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C0792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2253.48</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F38CF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332236.83</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74302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446.45</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4693AF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332.11</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408D36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1.60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A3DC6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402816.6</w:t>
            </w:r>
          </w:p>
        </w:tc>
      </w:tr>
      <w:tr w:rsidR="007D495D" w:rsidRPr="007D495D" w14:paraId="18C75734"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5C91EF"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E</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5765E7"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Reactive chemicals</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ED0DD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5.00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397A9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9.49</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A20487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0.27</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3881E9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0A9D9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4D553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3CA2BB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0.28</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FCE3E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C0D50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0.20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B8ACB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15.24</w:t>
            </w:r>
          </w:p>
        </w:tc>
      </w:tr>
      <w:tr w:rsidR="007D495D" w:rsidRPr="007D495D" w14:paraId="4764366E"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69347E"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F</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0F8E02"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Paints, resins, inks, organic sludges</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4C79A19"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3443.85</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6F93D6"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1324.75</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876205"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1446.89</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C81529"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E09A5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621.00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8DCA4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71.50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695FB5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67.02</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D8ABA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170.39</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3EC89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A314D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7167.4</w:t>
            </w:r>
          </w:p>
        </w:tc>
      </w:tr>
      <w:tr w:rsidR="007D495D" w:rsidRPr="007D495D" w14:paraId="76818530"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A88F333"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G</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E6D22E"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Organic solvents</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1A02B6"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1183.44</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CE6A4F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334.17</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54191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349.57</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541E8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103.93</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6246609"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198.24</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6B08D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96.00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3EE1F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17.00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6FB3F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5818D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30.00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BEEC7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2314.35</w:t>
            </w:r>
          </w:p>
        </w:tc>
      </w:tr>
      <w:tr w:rsidR="007D495D" w:rsidRPr="007D495D" w14:paraId="7A789397"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DF6FFB"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H</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3D7DF9A"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Pesticides</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A9F49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1642.20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19BA1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379.99</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05181E"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65.87</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7AF1DE"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360.00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9DA99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23.90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80CF5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9E23C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0.64</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CE67F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77928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3CFB1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2472.6</w:t>
            </w:r>
          </w:p>
        </w:tc>
      </w:tr>
      <w:tr w:rsidR="007D495D" w:rsidRPr="007D495D" w14:paraId="0BCBDB39"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C2EE94"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J</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47A52B"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Oils</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9830C6"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33859.85</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393E0B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1948.05</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B209C95"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619.62</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23BA4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345.32</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ADE77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93.64</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95D0D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115.56</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79B7D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3359.32</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8DECE5"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5134.45</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C605D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65.00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DA5A6E"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45540.81</w:t>
            </w:r>
          </w:p>
        </w:tc>
      </w:tr>
      <w:tr w:rsidR="007D495D" w:rsidRPr="007D495D" w14:paraId="758D2360"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A5C218"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K</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13E8E3"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Putrescible/organic waste</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6DA21F5"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12329.04</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55978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1656.82</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A23875"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20.86</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15CBF5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37.00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262AF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90.00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4B8AB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157CC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5822.22</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60A02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48.19</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ECEB6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92.00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0FDC8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20096.13</w:t>
            </w:r>
          </w:p>
        </w:tc>
      </w:tr>
      <w:tr w:rsidR="007D495D" w:rsidRPr="007D495D" w14:paraId="562C8FEA"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931A61"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L</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67C27F"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 xml:space="preserve">Industrial </w:t>
            </w:r>
            <w:proofErr w:type="spellStart"/>
            <w:r w:rsidRPr="007D495D">
              <w:rPr>
                <w:rFonts w:ascii="Times" w:hAnsi="Times" w:cs="Times"/>
                <w:b/>
                <w:bCs/>
                <w:color w:val="000000"/>
                <w:sz w:val="16"/>
                <w:szCs w:val="16"/>
              </w:rPr>
              <w:t>washwater</w:t>
            </w:r>
            <w:proofErr w:type="spellEnd"/>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9D520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2808.00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6008B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43A52B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105.00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83AC8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7E17C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690.00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63D0D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96.00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24F98E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A8C23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1631.00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30511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BA4A3C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5330.00</w:t>
            </w:r>
          </w:p>
        </w:tc>
      </w:tr>
      <w:tr w:rsidR="007D495D" w:rsidRPr="007D495D" w14:paraId="1EF03C23"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699F6CD"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M</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B9DD470"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Organic chemicals</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0EBAED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811.76</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9F6C5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973.58</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B0CE1B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1543.35</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3CBAB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6.63</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D4F5E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494.46</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E9469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55.06</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464C9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33.30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3F479F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211.00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4F70AE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0.15</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46983C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4139.11</w:t>
            </w:r>
          </w:p>
        </w:tc>
      </w:tr>
      <w:tr w:rsidR="007D495D" w:rsidRPr="007D495D" w14:paraId="264DFE2B"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13FC6F6"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N</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6C08058"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Soil/sludge</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08738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56701.94</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45EDC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5379.55</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ABFF606"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373.73</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4E169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293.62</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C5E44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124.59</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D3DCA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53.00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7C3B5C6"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128.78</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2149F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435.50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A205FAE"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49.50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70357D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63540.21</w:t>
            </w:r>
          </w:p>
        </w:tc>
      </w:tr>
      <w:tr w:rsidR="007D495D" w:rsidRPr="007D495D" w14:paraId="790D84B7"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1C8566"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R</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636625C"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Clinical &amp; pharmaceutical</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684821"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2594.00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A3D24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33.92</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C6179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257.42</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3853375"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253.00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1403B9"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337.00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2DF791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30.75</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36547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294.76</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53D1B3"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94.94</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A0706E"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0.80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0612D6"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3896.59</w:t>
            </w:r>
          </w:p>
        </w:tc>
      </w:tr>
      <w:tr w:rsidR="007D495D" w:rsidRPr="007D495D" w14:paraId="5E31B19C"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6A94CC1"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T</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F24DB8"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Misc.</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9C823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19598.98</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3CEAF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346.80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0F2E9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107.44</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D7C4D46"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1.96</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AD518C"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2130.00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1E168A"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6.00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538C32"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210.53</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360865"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399.48</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0ECE74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color w:val="000000"/>
                <w:sz w:val="16"/>
                <w:szCs w:val="16"/>
              </w:rPr>
              <w:t>1.80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B72624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22803.02</w:t>
            </w:r>
          </w:p>
        </w:tc>
      </w:tr>
      <w:tr w:rsidR="007D495D" w:rsidRPr="007D495D" w14:paraId="2B873DC5" w14:textId="77777777" w:rsidTr="00470BBE">
        <w:trPr>
          <w:trHeight w:val="60"/>
        </w:trPr>
        <w:tc>
          <w:tcPr>
            <w:tcW w:w="5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7789C3"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 </w:t>
            </w:r>
          </w:p>
        </w:tc>
        <w:tc>
          <w:tcPr>
            <w:tcW w:w="28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BECBA63"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b/>
                <w:bCs/>
                <w:color w:val="000000"/>
                <w:sz w:val="16"/>
                <w:szCs w:val="16"/>
              </w:rPr>
              <w:t>Total (tonnes)</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3B71274"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152732.63</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14B9F3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63029.45</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28E2B7"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10398.95</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48E748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18148.48</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1A189F"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7207.31</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2F459B"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332760.70</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8E2DD6"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10381.32</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81658D"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9503.57</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21A0F8"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249.25</w:t>
            </w:r>
          </w:p>
        </w:tc>
        <w:tc>
          <w:tcPr>
            <w:tcW w:w="10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2946A0" w14:textId="77777777" w:rsidR="007D495D" w:rsidRPr="007D495D" w:rsidRDefault="007D495D" w:rsidP="007D495D">
            <w:pPr>
              <w:suppressAutoHyphens/>
              <w:autoSpaceDE w:val="0"/>
              <w:autoSpaceDN w:val="0"/>
              <w:adjustRightInd w:val="0"/>
              <w:spacing w:after="113" w:line="180" w:lineRule="atLeast"/>
              <w:jc w:val="right"/>
              <w:textAlignment w:val="center"/>
              <w:rPr>
                <w:rFonts w:ascii="Times" w:hAnsi="Times" w:cs="Times"/>
                <w:color w:val="000000"/>
                <w:sz w:val="16"/>
                <w:szCs w:val="16"/>
              </w:rPr>
            </w:pPr>
            <w:r w:rsidRPr="007D495D">
              <w:rPr>
                <w:rFonts w:ascii="Times" w:hAnsi="Times" w:cs="Times"/>
                <w:b/>
                <w:bCs/>
                <w:color w:val="000000"/>
                <w:sz w:val="16"/>
                <w:szCs w:val="16"/>
              </w:rPr>
              <w:t>604419.51</w:t>
            </w:r>
          </w:p>
        </w:tc>
      </w:tr>
    </w:tbl>
    <w:p w14:paraId="6C875579" w14:textId="77777777" w:rsidR="00470BBE"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sectPr w:rsidR="00470BBE" w:rsidSect="00470BBE">
          <w:pgSz w:w="16840" w:h="11900" w:orient="landscape"/>
          <w:pgMar w:top="1440" w:right="1440" w:bottom="789" w:left="1132" w:header="708" w:footer="708" w:gutter="0"/>
          <w:cols w:space="708"/>
          <w:docGrid w:linePitch="360"/>
        </w:sectPr>
      </w:pPr>
      <w:r w:rsidRPr="007D495D">
        <w:rPr>
          <w:rFonts w:ascii="Times" w:hAnsi="Times" w:cs="Times"/>
          <w:color w:val="000000"/>
          <w:sz w:val="16"/>
          <w:szCs w:val="16"/>
        </w:rPr>
        <w:t>*Note: Information regarding External Territories (Ex-Terr*) has been provided only since the reporting year 2009–10.</w:t>
      </w:r>
    </w:p>
    <w:p w14:paraId="153DF226"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lastRenderedPageBreak/>
        <w:t>Figure 1: Tonnage of controlled waste moved within Australia 2018-19*</w:t>
      </w:r>
    </w:p>
    <w:p w14:paraId="047F4D90" w14:textId="0AC117C5" w:rsidR="007D495D" w:rsidRPr="007D495D" w:rsidRDefault="0033541B" w:rsidP="007D495D">
      <w:pPr>
        <w:suppressAutoHyphens/>
        <w:autoSpaceDE w:val="0"/>
        <w:autoSpaceDN w:val="0"/>
        <w:adjustRightInd w:val="0"/>
        <w:spacing w:after="113" w:line="288" w:lineRule="auto"/>
        <w:textAlignment w:val="center"/>
        <w:rPr>
          <w:rFonts w:ascii="Times" w:hAnsi="Times" w:cs="Times"/>
          <w:color w:val="000000"/>
          <w:sz w:val="16"/>
          <w:szCs w:val="16"/>
        </w:rPr>
      </w:pPr>
      <w:r>
        <w:rPr>
          <w:rFonts w:ascii="Times" w:hAnsi="Times" w:cs="Times"/>
          <w:noProof/>
          <w:color w:val="000000"/>
          <w:sz w:val="16"/>
          <w:szCs w:val="16"/>
        </w:rPr>
        <w:drawing>
          <wp:inline distT="0" distB="0" distL="0" distR="0" wp14:anchorId="2CB99684" wp14:editId="3846314A">
            <wp:extent cx="4309702" cy="2851150"/>
            <wp:effectExtent l="0" t="0" r="0" b="0"/>
            <wp:docPr id="1" name="Picture 1"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
                    <pic:cNvPicPr/>
                  </pic:nvPicPr>
                  <pic:blipFill>
                    <a:blip r:embed="rId11">
                      <a:extLst>
                        <a:ext uri="{28A0092B-C50C-407E-A947-70E740481C1C}">
                          <a14:useLocalDpi xmlns:a14="http://schemas.microsoft.com/office/drawing/2010/main" val="0"/>
                        </a:ext>
                      </a:extLst>
                    </a:blip>
                    <a:stretch>
                      <a:fillRect/>
                    </a:stretch>
                  </pic:blipFill>
                  <pic:spPr>
                    <a:xfrm>
                      <a:off x="0" y="0"/>
                      <a:ext cx="4332868" cy="2866476"/>
                    </a:xfrm>
                    <a:prstGeom prst="rect">
                      <a:avLst/>
                    </a:prstGeom>
                  </pic:spPr>
                </pic:pic>
              </a:graphicData>
            </a:graphic>
          </wp:inline>
        </w:drawing>
      </w:r>
    </w:p>
    <w:p w14:paraId="22CF31CE"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*Note: Information regarding Australia’s External Territories has been provided only since the reporting year 2009–10 (and in Figure 1, the scale of the vertical axis does not allow for the 285.09 tonnes of waste exported from Australia’s External Territories to be visually represented).</w:t>
      </w:r>
    </w:p>
    <w:p w14:paraId="01B670ED"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t>Figure 2: Tonnage of controlled waste moved within Australia 1999–2019</w:t>
      </w:r>
    </w:p>
    <w:p w14:paraId="4F16D358" w14:textId="2F47C4CA" w:rsidR="007D495D" w:rsidRPr="007D495D" w:rsidRDefault="0033541B" w:rsidP="007D495D">
      <w:pPr>
        <w:suppressAutoHyphens/>
        <w:autoSpaceDE w:val="0"/>
        <w:autoSpaceDN w:val="0"/>
        <w:adjustRightInd w:val="0"/>
        <w:spacing w:after="113" w:line="288" w:lineRule="auto"/>
        <w:textAlignment w:val="center"/>
        <w:rPr>
          <w:rFonts w:ascii="Times" w:hAnsi="Times" w:cs="Times"/>
          <w:color w:val="000000"/>
          <w:sz w:val="16"/>
          <w:szCs w:val="16"/>
        </w:rPr>
      </w:pPr>
      <w:r>
        <w:rPr>
          <w:rFonts w:ascii="Times" w:hAnsi="Times" w:cs="Times"/>
          <w:noProof/>
          <w:color w:val="000000"/>
          <w:sz w:val="16"/>
          <w:szCs w:val="16"/>
        </w:rPr>
        <w:drawing>
          <wp:inline distT="0" distB="0" distL="0" distR="0" wp14:anchorId="6F554236" wp14:editId="3D123D09">
            <wp:extent cx="4629487" cy="2514600"/>
            <wp:effectExtent l="0" t="0" r="6350" b="0"/>
            <wp:docPr id="2" name="Picture 2"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
                    <pic:cNvPicPr/>
                  </pic:nvPicPr>
                  <pic:blipFill>
                    <a:blip r:embed="rId12">
                      <a:extLst>
                        <a:ext uri="{28A0092B-C50C-407E-A947-70E740481C1C}">
                          <a14:useLocalDpi xmlns:a14="http://schemas.microsoft.com/office/drawing/2010/main" val="0"/>
                        </a:ext>
                      </a:extLst>
                    </a:blip>
                    <a:stretch>
                      <a:fillRect/>
                    </a:stretch>
                  </pic:blipFill>
                  <pic:spPr>
                    <a:xfrm>
                      <a:off x="0" y="0"/>
                      <a:ext cx="4647193" cy="2524218"/>
                    </a:xfrm>
                    <a:prstGeom prst="rect">
                      <a:avLst/>
                    </a:prstGeom>
                  </pic:spPr>
                </pic:pic>
              </a:graphicData>
            </a:graphic>
          </wp:inline>
        </w:drawing>
      </w:r>
    </w:p>
    <w:p w14:paraId="2F314ED1" w14:textId="39DE8607" w:rsid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lastRenderedPageBreak/>
        <w:t>Figure 3: Number of movements of controlled waste within Australia 2004–19*</w:t>
      </w:r>
    </w:p>
    <w:p w14:paraId="28C8895F" w14:textId="3D8C99E4" w:rsidR="0033541B" w:rsidRPr="007D495D" w:rsidRDefault="0033541B"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Pr>
          <w:rFonts w:ascii="Calibri" w:hAnsi="Calibri" w:cs="Calibri"/>
          <w:i/>
          <w:iCs/>
          <w:noProof/>
          <w:color w:val="000000"/>
          <w:sz w:val="18"/>
          <w:szCs w:val="18"/>
        </w:rPr>
        <w:drawing>
          <wp:inline distT="0" distB="0" distL="0" distR="0" wp14:anchorId="55F8A3B5" wp14:editId="56020407">
            <wp:extent cx="4324350" cy="2867996"/>
            <wp:effectExtent l="0" t="0" r="0" b="2540"/>
            <wp:docPr id="3" name="Picture 3"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
                    <pic:cNvPicPr/>
                  </pic:nvPicPr>
                  <pic:blipFill>
                    <a:blip r:embed="rId13">
                      <a:extLst>
                        <a:ext uri="{28A0092B-C50C-407E-A947-70E740481C1C}">
                          <a14:useLocalDpi xmlns:a14="http://schemas.microsoft.com/office/drawing/2010/main" val="0"/>
                        </a:ext>
                      </a:extLst>
                    </a:blip>
                    <a:stretch>
                      <a:fillRect/>
                    </a:stretch>
                  </pic:blipFill>
                  <pic:spPr>
                    <a:xfrm>
                      <a:off x="0" y="0"/>
                      <a:ext cx="4352398" cy="2886598"/>
                    </a:xfrm>
                    <a:prstGeom prst="rect">
                      <a:avLst/>
                    </a:prstGeom>
                  </pic:spPr>
                </pic:pic>
              </a:graphicData>
            </a:graphic>
          </wp:inline>
        </w:drawing>
      </w:r>
    </w:p>
    <w:p w14:paraId="11A97B06"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*Note: Information regarding number of movements has been provided only since the reporting year 2004–05.</w:t>
      </w:r>
    </w:p>
    <w:p w14:paraId="2DE15984"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4—Assessment of NEPM effectiveness</w:t>
      </w:r>
    </w:p>
    <w:p w14:paraId="3933E99B"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Jurisdictions reported that the NEPM continues to provide an effective means of tracking the interstate movement of controlled waste between states and territories. </w:t>
      </w:r>
    </w:p>
    <w:p w14:paraId="1795B22F"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NEPM also continues to be an effective tool in minimising the potential for adverse impacts associated with the movement of controlled waste on human health and the environment. However, inconsistencies between jurisdictions (</w:t>
      </w:r>
      <w:proofErr w:type="gramStart"/>
      <w:r w:rsidRPr="007D495D">
        <w:rPr>
          <w:rFonts w:ascii="Times" w:hAnsi="Times" w:cs="Times"/>
          <w:color w:val="000000"/>
          <w:sz w:val="16"/>
          <w:szCs w:val="16"/>
        </w:rPr>
        <w:t>e.g.</w:t>
      </w:r>
      <w:proofErr w:type="gramEnd"/>
      <w:r w:rsidRPr="007D495D">
        <w:rPr>
          <w:rFonts w:ascii="Times" w:hAnsi="Times" w:cs="Times"/>
          <w:color w:val="000000"/>
          <w:sz w:val="16"/>
          <w:szCs w:val="16"/>
        </w:rPr>
        <w:t xml:space="preserve"> in terms of waste classification, waste codes, terminology) and outdated waste tracking systems introduce significant data uncertainty.</w:t>
      </w:r>
    </w:p>
    <w:p w14:paraId="64E16480"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There remains a high level of communication and cooperation between jurisdictions for this NEPM.</w:t>
      </w:r>
    </w:p>
    <w:p w14:paraId="35D981E1"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5—Reporting on implementation by jurisdictions</w:t>
      </w:r>
    </w:p>
    <w:p w14:paraId="7458667B"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annexes to this report are in Appendix 5:</w:t>
      </w:r>
    </w:p>
    <w:tbl>
      <w:tblPr>
        <w:tblW w:w="0" w:type="auto"/>
        <w:tblInd w:w="-5" w:type="dxa"/>
        <w:tblLayout w:type="fixed"/>
        <w:tblCellMar>
          <w:left w:w="0" w:type="dxa"/>
          <w:right w:w="0" w:type="dxa"/>
        </w:tblCellMar>
        <w:tblLook w:val="0000" w:firstRow="0" w:lastRow="0" w:firstColumn="0" w:lastColumn="0" w:noHBand="0" w:noVBand="0"/>
      </w:tblPr>
      <w:tblGrid>
        <w:gridCol w:w="1242"/>
        <w:gridCol w:w="4890"/>
      </w:tblGrid>
      <w:tr w:rsidR="008F19D2" w:rsidRPr="007D495D" w14:paraId="0BC8008E" w14:textId="77777777" w:rsidTr="0033541B">
        <w:trPr>
          <w:trHeight w:val="60"/>
        </w:trPr>
        <w:tc>
          <w:tcPr>
            <w:tcW w:w="1242" w:type="dxa"/>
            <w:tcBorders>
              <w:top w:val="single" w:sz="6" w:space="0" w:color="auto"/>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C1D46C"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1:</w:t>
            </w:r>
          </w:p>
        </w:tc>
        <w:tc>
          <w:tcPr>
            <w:tcW w:w="4890" w:type="dxa"/>
            <w:tcBorders>
              <w:top w:val="single" w:sz="6" w:space="0" w:color="auto"/>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FF02F5"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Commonwealth</w:t>
            </w:r>
          </w:p>
        </w:tc>
      </w:tr>
      <w:tr w:rsidR="008F19D2" w:rsidRPr="007D495D" w14:paraId="2E486A53" w14:textId="77777777" w:rsidTr="0033541B">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CA099A"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2:</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DF0D65"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New South Wales</w:t>
            </w:r>
          </w:p>
        </w:tc>
      </w:tr>
      <w:tr w:rsidR="008F19D2" w:rsidRPr="007D495D" w14:paraId="397D982C" w14:textId="77777777" w:rsidTr="0033541B">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B23CC38"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3:</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5E408F"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Victoria</w:t>
            </w:r>
          </w:p>
        </w:tc>
      </w:tr>
      <w:tr w:rsidR="008F19D2" w:rsidRPr="007D495D" w14:paraId="7E025202" w14:textId="77777777" w:rsidTr="0033541B">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43912D"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4:</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251FE0"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Queensland</w:t>
            </w:r>
          </w:p>
        </w:tc>
      </w:tr>
      <w:tr w:rsidR="008F19D2" w:rsidRPr="007D495D" w14:paraId="24CCD0CC" w14:textId="77777777" w:rsidTr="0033541B">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A111090"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5:</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B52547"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Western Australia</w:t>
            </w:r>
          </w:p>
        </w:tc>
      </w:tr>
      <w:tr w:rsidR="008F19D2" w:rsidRPr="007D495D" w14:paraId="025F96C7" w14:textId="77777777" w:rsidTr="0033541B">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72E70B"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6:</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166F08"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South Australia</w:t>
            </w:r>
          </w:p>
        </w:tc>
      </w:tr>
      <w:tr w:rsidR="008F19D2" w:rsidRPr="007D495D" w14:paraId="5C48284B" w14:textId="77777777" w:rsidTr="0033541B">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8280D36"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7:</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38F9DF3"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Tasmania</w:t>
            </w:r>
          </w:p>
        </w:tc>
      </w:tr>
      <w:tr w:rsidR="008F19D2" w:rsidRPr="007D495D" w14:paraId="323BA028" w14:textId="77777777" w:rsidTr="0033541B">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73EA275"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8:</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EB3AD9"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r>
      <w:tr w:rsidR="008F19D2" w:rsidRPr="007D495D" w14:paraId="17EC69C1" w14:textId="77777777" w:rsidTr="0033541B">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47BE544"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9:</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17272A"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r>
    </w:tbl>
    <w:p w14:paraId="63A1C629" w14:textId="3F60C9D8" w:rsidR="0033541B" w:rsidRDefault="0033541B"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7F2C476C" w14:textId="77777777" w:rsidR="0033541B" w:rsidRDefault="0033541B">
      <w:pPr>
        <w:rPr>
          <w:rFonts w:ascii="Times" w:hAnsi="Times" w:cs="Times"/>
          <w:color w:val="000000"/>
          <w:sz w:val="16"/>
          <w:szCs w:val="16"/>
        </w:rPr>
      </w:pPr>
      <w:r>
        <w:rPr>
          <w:rFonts w:ascii="Times" w:hAnsi="Times" w:cs="Times"/>
          <w:color w:val="000000"/>
          <w:sz w:val="16"/>
          <w:szCs w:val="16"/>
        </w:rPr>
        <w:br w:type="page"/>
      </w:r>
    </w:p>
    <w:p w14:paraId="026031BD"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503C03D0" w14:textId="4C595270" w:rsidR="007D495D" w:rsidRPr="007D495D" w:rsidRDefault="0033541B" w:rsidP="00CB0DA6">
      <w:pPr>
        <w:pStyle w:val="Heading1"/>
      </w:pPr>
      <w:bookmarkStart w:id="12" w:name="_Toc58254366"/>
      <w:r w:rsidRPr="007D495D">
        <w:rPr>
          <w:spacing w:val="10"/>
          <w:sz w:val="32"/>
          <w:szCs w:val="32"/>
        </w:rPr>
        <w:t xml:space="preserve">NEPC report on the implementation of the </w:t>
      </w:r>
      <w:r>
        <w:rPr>
          <w:spacing w:val="10"/>
          <w:sz w:val="32"/>
          <w:szCs w:val="32"/>
        </w:rPr>
        <w:br/>
      </w:r>
      <w:r w:rsidR="007D495D" w:rsidRPr="007D495D">
        <w:t>National Environment Protection (National Pollutant Inventory) Measure</w:t>
      </w:r>
      <w:bookmarkEnd w:id="12"/>
    </w:p>
    <w:p w14:paraId="296B1223"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1—General Information</w:t>
      </w:r>
    </w:p>
    <w:p w14:paraId="0BA39ED0"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NEPM details</w:t>
      </w:r>
    </w:p>
    <w:p w14:paraId="1F1039BA"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Title:</w:t>
      </w:r>
      <w:r w:rsidRPr="007D495D">
        <w:rPr>
          <w:rFonts w:ascii="Times" w:hAnsi="Times" w:cs="Times"/>
          <w:color w:val="000000"/>
          <w:sz w:val="16"/>
          <w:szCs w:val="16"/>
        </w:rPr>
        <w:t xml:space="preserve"> National Environment Protection (National Pollutant Inventory) Measure</w:t>
      </w:r>
    </w:p>
    <w:p w14:paraId="4C8355D5"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Made by Council:</w:t>
      </w:r>
      <w:r w:rsidRPr="007D495D">
        <w:rPr>
          <w:rFonts w:ascii="Times" w:hAnsi="Times" w:cs="Times"/>
          <w:color w:val="000000"/>
          <w:sz w:val="16"/>
          <w:szCs w:val="16"/>
        </w:rPr>
        <w:t xml:space="preserve"> 27 February 1998</w:t>
      </w:r>
    </w:p>
    <w:p w14:paraId="6580AE3C"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 xml:space="preserve">Commencement date: </w:t>
      </w:r>
      <w:r w:rsidRPr="007D495D">
        <w:rPr>
          <w:rFonts w:ascii="Times" w:hAnsi="Times" w:cs="Times"/>
          <w:color w:val="000000"/>
          <w:sz w:val="16"/>
          <w:szCs w:val="16"/>
        </w:rPr>
        <w:t>Clauses 1 and 2 of the Measure commenced on the date of Gazettal 4 March 1998 (advertised in Commonwealth of Australia Gazette No. S 89, 4 March 1998, p. 1) with the remaining provisions of the Measure commencing on 1 July 1998.</w:t>
      </w:r>
    </w:p>
    <w:p w14:paraId="14A9162E"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NEPM goal (or purpose)</w:t>
      </w:r>
    </w:p>
    <w:p w14:paraId="35C4A925"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environment protection goals are established by clause 6 of this Measure as follows:</w:t>
      </w:r>
    </w:p>
    <w:p w14:paraId="5499C064" w14:textId="77777777" w:rsidR="007D495D" w:rsidRPr="007D495D" w:rsidRDefault="007D495D" w:rsidP="007D495D">
      <w:pPr>
        <w:suppressAutoHyphens/>
        <w:autoSpaceDE w:val="0"/>
        <w:autoSpaceDN w:val="0"/>
        <w:adjustRightInd w:val="0"/>
        <w:spacing w:after="113" w:line="288" w:lineRule="auto"/>
        <w:ind w:left="340" w:right="340"/>
        <w:textAlignment w:val="center"/>
        <w:rPr>
          <w:rFonts w:ascii="Times" w:hAnsi="Times" w:cs="Times"/>
          <w:i/>
          <w:iCs/>
          <w:color w:val="000000"/>
          <w:sz w:val="16"/>
          <w:szCs w:val="16"/>
        </w:rPr>
      </w:pPr>
      <w:r w:rsidRPr="007D495D">
        <w:rPr>
          <w:rFonts w:ascii="Times" w:hAnsi="Times" w:cs="Times"/>
          <w:i/>
          <w:iCs/>
          <w:color w:val="000000"/>
          <w:sz w:val="16"/>
          <w:szCs w:val="16"/>
        </w:rPr>
        <w:t>The national environment protection goals established by this Measure are to:</w:t>
      </w:r>
    </w:p>
    <w:p w14:paraId="29768EE7" w14:textId="77777777" w:rsidR="007D495D" w:rsidRPr="007D495D" w:rsidRDefault="007D495D" w:rsidP="007D495D">
      <w:pPr>
        <w:suppressAutoHyphens/>
        <w:autoSpaceDE w:val="0"/>
        <w:autoSpaceDN w:val="0"/>
        <w:adjustRightInd w:val="0"/>
        <w:spacing w:after="113" w:line="288" w:lineRule="auto"/>
        <w:ind w:left="680" w:hanging="340"/>
        <w:textAlignment w:val="center"/>
        <w:rPr>
          <w:rFonts w:ascii="Times" w:hAnsi="Times" w:cs="Times"/>
          <w:i/>
          <w:iCs/>
          <w:color w:val="000000"/>
          <w:sz w:val="16"/>
          <w:szCs w:val="16"/>
        </w:rPr>
      </w:pPr>
      <w:r w:rsidRPr="007D495D">
        <w:rPr>
          <w:rFonts w:ascii="Times" w:hAnsi="Times" w:cs="Times"/>
          <w:i/>
          <w:iCs/>
          <w:color w:val="000000"/>
          <w:sz w:val="16"/>
          <w:szCs w:val="16"/>
        </w:rPr>
        <w:t>(a)</w:t>
      </w:r>
      <w:r w:rsidRPr="007D495D">
        <w:rPr>
          <w:rFonts w:ascii="Times" w:hAnsi="Times" w:cs="Times"/>
          <w:i/>
          <w:iCs/>
          <w:color w:val="000000"/>
          <w:sz w:val="16"/>
          <w:szCs w:val="16"/>
        </w:rPr>
        <w:tab/>
        <w:t>collect a broad base of information on emissions and transfers of substances on the reporting list, and</w:t>
      </w:r>
    </w:p>
    <w:p w14:paraId="4454EDD6" w14:textId="77777777" w:rsidR="007D495D" w:rsidRPr="007D495D" w:rsidRDefault="007D495D" w:rsidP="007D495D">
      <w:pPr>
        <w:suppressAutoHyphens/>
        <w:autoSpaceDE w:val="0"/>
        <w:autoSpaceDN w:val="0"/>
        <w:adjustRightInd w:val="0"/>
        <w:spacing w:after="113" w:line="288" w:lineRule="auto"/>
        <w:ind w:left="680" w:hanging="340"/>
        <w:textAlignment w:val="center"/>
        <w:rPr>
          <w:rFonts w:ascii="Times" w:hAnsi="Times" w:cs="Times"/>
          <w:i/>
          <w:iCs/>
          <w:color w:val="000000"/>
          <w:sz w:val="16"/>
          <w:szCs w:val="16"/>
        </w:rPr>
      </w:pPr>
      <w:r w:rsidRPr="007D495D">
        <w:rPr>
          <w:rFonts w:ascii="Times" w:hAnsi="Times" w:cs="Times"/>
          <w:i/>
          <w:iCs/>
          <w:color w:val="000000"/>
          <w:sz w:val="16"/>
          <w:szCs w:val="16"/>
        </w:rPr>
        <w:t>(b)</w:t>
      </w:r>
      <w:r w:rsidRPr="007D495D">
        <w:rPr>
          <w:rFonts w:ascii="Times" w:hAnsi="Times" w:cs="Times"/>
          <w:i/>
          <w:iCs/>
          <w:color w:val="000000"/>
          <w:sz w:val="16"/>
          <w:szCs w:val="16"/>
        </w:rPr>
        <w:tab/>
        <w:t>disseminate the information collected to all sectors of the community in a useful, accessible and understandable form.</w:t>
      </w:r>
    </w:p>
    <w:p w14:paraId="0935143F"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In summary, the National Pollutant Inventory (NPI) NEPM provides the framework for the development and establishment of the NPI which is an internet database designed to provide publicly available information on the types and amounts of certain chemicals being emitted to the air, land and water.</w:t>
      </w:r>
    </w:p>
    <w:p w14:paraId="54565EC5"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Desired environmental outcomes</w:t>
      </w:r>
    </w:p>
    <w:p w14:paraId="107E9A04"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desired environmental outcomes, as set out in clause 5 of the Measure, are:</w:t>
      </w:r>
    </w:p>
    <w:p w14:paraId="63E734E3" w14:textId="77777777" w:rsidR="007D495D" w:rsidRPr="007D495D" w:rsidRDefault="007D495D" w:rsidP="007D495D">
      <w:pPr>
        <w:suppressAutoHyphens/>
        <w:autoSpaceDE w:val="0"/>
        <w:autoSpaceDN w:val="0"/>
        <w:adjustRightInd w:val="0"/>
        <w:spacing w:after="113" w:line="288" w:lineRule="auto"/>
        <w:ind w:left="340" w:right="340"/>
        <w:textAlignment w:val="center"/>
        <w:rPr>
          <w:rFonts w:ascii="Times" w:hAnsi="Times" w:cs="Times"/>
          <w:i/>
          <w:iCs/>
          <w:color w:val="000000"/>
          <w:sz w:val="16"/>
          <w:szCs w:val="16"/>
        </w:rPr>
      </w:pPr>
      <w:r w:rsidRPr="007D495D">
        <w:rPr>
          <w:rFonts w:ascii="Times" w:hAnsi="Times" w:cs="Times"/>
          <w:i/>
          <w:iCs/>
          <w:color w:val="000000"/>
          <w:sz w:val="16"/>
          <w:szCs w:val="16"/>
        </w:rPr>
        <w:t xml:space="preserve">(a) </w:t>
      </w:r>
      <w:r w:rsidRPr="007D495D">
        <w:rPr>
          <w:rFonts w:ascii="Times" w:hAnsi="Times" w:cs="Times"/>
          <w:i/>
          <w:iCs/>
          <w:color w:val="000000"/>
          <w:sz w:val="16"/>
          <w:szCs w:val="16"/>
        </w:rPr>
        <w:tab/>
        <w:t>the maintenance and improvement of:</w:t>
      </w:r>
    </w:p>
    <w:p w14:paraId="37E4D377" w14:textId="77777777" w:rsidR="007D495D" w:rsidRPr="007D495D" w:rsidRDefault="007D495D" w:rsidP="007D495D">
      <w:pPr>
        <w:suppressAutoHyphens/>
        <w:autoSpaceDE w:val="0"/>
        <w:autoSpaceDN w:val="0"/>
        <w:adjustRightInd w:val="0"/>
        <w:spacing w:after="113" w:line="288" w:lineRule="auto"/>
        <w:ind w:left="907" w:hanging="227"/>
        <w:textAlignment w:val="center"/>
        <w:rPr>
          <w:rFonts w:ascii="Times" w:hAnsi="Times" w:cs="Times"/>
          <w:i/>
          <w:iCs/>
          <w:color w:val="000000"/>
          <w:sz w:val="16"/>
          <w:szCs w:val="16"/>
        </w:rPr>
      </w:pPr>
      <w:r w:rsidRPr="007D495D">
        <w:rPr>
          <w:rFonts w:ascii="Times" w:hAnsi="Times" w:cs="Times"/>
          <w:i/>
          <w:iCs/>
          <w:color w:val="000000"/>
          <w:sz w:val="16"/>
          <w:szCs w:val="16"/>
        </w:rPr>
        <w:t>(</w:t>
      </w:r>
      <w:proofErr w:type="spellStart"/>
      <w:r w:rsidRPr="007D495D">
        <w:rPr>
          <w:rFonts w:ascii="Times" w:hAnsi="Times" w:cs="Times"/>
          <w:i/>
          <w:iCs/>
          <w:color w:val="000000"/>
          <w:sz w:val="16"/>
          <w:szCs w:val="16"/>
        </w:rPr>
        <w:t>i</w:t>
      </w:r>
      <w:proofErr w:type="spellEnd"/>
      <w:r w:rsidRPr="007D495D">
        <w:rPr>
          <w:rFonts w:ascii="Times" w:hAnsi="Times" w:cs="Times"/>
          <w:i/>
          <w:iCs/>
          <w:color w:val="000000"/>
          <w:sz w:val="16"/>
          <w:szCs w:val="16"/>
        </w:rPr>
        <w:t>)</w:t>
      </w:r>
      <w:r w:rsidRPr="007D495D">
        <w:rPr>
          <w:rFonts w:ascii="Times" w:hAnsi="Times" w:cs="Times"/>
          <w:i/>
          <w:iCs/>
          <w:color w:val="000000"/>
          <w:sz w:val="16"/>
          <w:szCs w:val="16"/>
        </w:rPr>
        <w:tab/>
        <w:t>ambient air quality; and</w:t>
      </w:r>
    </w:p>
    <w:p w14:paraId="60913E64" w14:textId="77777777" w:rsidR="007D495D" w:rsidRPr="007D495D" w:rsidRDefault="007D495D" w:rsidP="007D495D">
      <w:pPr>
        <w:suppressAutoHyphens/>
        <w:autoSpaceDE w:val="0"/>
        <w:autoSpaceDN w:val="0"/>
        <w:adjustRightInd w:val="0"/>
        <w:spacing w:after="113" w:line="288" w:lineRule="auto"/>
        <w:ind w:left="907" w:hanging="227"/>
        <w:textAlignment w:val="center"/>
        <w:rPr>
          <w:rFonts w:ascii="Times" w:hAnsi="Times" w:cs="Times"/>
          <w:i/>
          <w:iCs/>
          <w:color w:val="000000"/>
          <w:sz w:val="16"/>
          <w:szCs w:val="16"/>
        </w:rPr>
      </w:pPr>
      <w:r w:rsidRPr="007D495D">
        <w:rPr>
          <w:rFonts w:ascii="Times" w:hAnsi="Times" w:cs="Times"/>
          <w:i/>
          <w:iCs/>
          <w:color w:val="000000"/>
          <w:sz w:val="16"/>
          <w:szCs w:val="16"/>
        </w:rPr>
        <w:t>(ii)</w:t>
      </w:r>
      <w:r w:rsidRPr="007D495D">
        <w:rPr>
          <w:rFonts w:ascii="Times" w:hAnsi="Times" w:cs="Times"/>
          <w:i/>
          <w:iCs/>
          <w:color w:val="000000"/>
          <w:sz w:val="16"/>
          <w:szCs w:val="16"/>
        </w:rPr>
        <w:tab/>
        <w:t xml:space="preserve">ambient marine, estuarine and fresh water </w:t>
      </w:r>
      <w:proofErr w:type="gramStart"/>
      <w:r w:rsidRPr="007D495D">
        <w:rPr>
          <w:rFonts w:ascii="Times" w:hAnsi="Times" w:cs="Times"/>
          <w:i/>
          <w:iCs/>
          <w:color w:val="000000"/>
          <w:sz w:val="16"/>
          <w:szCs w:val="16"/>
        </w:rPr>
        <w:t>quality;</w:t>
      </w:r>
      <w:proofErr w:type="gramEnd"/>
    </w:p>
    <w:p w14:paraId="3F136B14" w14:textId="77777777" w:rsidR="007D495D" w:rsidRPr="007D495D" w:rsidRDefault="007D495D" w:rsidP="007D495D">
      <w:pPr>
        <w:suppressAutoHyphens/>
        <w:autoSpaceDE w:val="0"/>
        <w:autoSpaceDN w:val="0"/>
        <w:adjustRightInd w:val="0"/>
        <w:spacing w:after="113" w:line="288" w:lineRule="auto"/>
        <w:ind w:left="340" w:right="340"/>
        <w:textAlignment w:val="center"/>
        <w:rPr>
          <w:rFonts w:ascii="Times" w:hAnsi="Times" w:cs="Times"/>
          <w:i/>
          <w:iCs/>
          <w:color w:val="000000"/>
          <w:sz w:val="16"/>
          <w:szCs w:val="16"/>
        </w:rPr>
      </w:pPr>
      <w:r w:rsidRPr="007D495D">
        <w:rPr>
          <w:rFonts w:ascii="Times" w:hAnsi="Times" w:cs="Times"/>
          <w:i/>
          <w:iCs/>
          <w:color w:val="000000"/>
          <w:sz w:val="16"/>
          <w:szCs w:val="16"/>
        </w:rPr>
        <w:t>(b)</w:t>
      </w:r>
      <w:r w:rsidRPr="007D495D">
        <w:rPr>
          <w:rFonts w:ascii="Times" w:hAnsi="Times" w:cs="Times"/>
          <w:i/>
          <w:iCs/>
          <w:color w:val="000000"/>
          <w:sz w:val="16"/>
          <w:szCs w:val="16"/>
        </w:rPr>
        <w:tab/>
        <w:t>the minimisation of environmental impacts associated with hazardous wastes; and</w:t>
      </w:r>
    </w:p>
    <w:p w14:paraId="66FFB58E" w14:textId="77777777" w:rsidR="007D495D" w:rsidRPr="007D495D" w:rsidRDefault="007D495D" w:rsidP="007D495D">
      <w:pPr>
        <w:suppressAutoHyphens/>
        <w:autoSpaceDE w:val="0"/>
        <w:autoSpaceDN w:val="0"/>
        <w:adjustRightInd w:val="0"/>
        <w:spacing w:after="113" w:line="288" w:lineRule="auto"/>
        <w:ind w:left="340" w:right="340"/>
        <w:textAlignment w:val="center"/>
        <w:rPr>
          <w:rFonts w:ascii="Times" w:hAnsi="Times" w:cs="Times"/>
          <w:i/>
          <w:iCs/>
          <w:color w:val="000000"/>
          <w:sz w:val="16"/>
          <w:szCs w:val="16"/>
        </w:rPr>
      </w:pPr>
      <w:r w:rsidRPr="007D495D">
        <w:rPr>
          <w:rFonts w:ascii="Times" w:hAnsi="Times" w:cs="Times"/>
          <w:i/>
          <w:iCs/>
          <w:color w:val="000000"/>
          <w:sz w:val="16"/>
          <w:szCs w:val="16"/>
        </w:rPr>
        <w:t>(c)</w:t>
      </w:r>
      <w:r w:rsidRPr="007D495D">
        <w:rPr>
          <w:rFonts w:ascii="Times" w:hAnsi="Times" w:cs="Times"/>
          <w:i/>
          <w:iCs/>
          <w:color w:val="000000"/>
          <w:sz w:val="16"/>
          <w:szCs w:val="16"/>
        </w:rPr>
        <w:tab/>
        <w:t>an improvement in the sustainable use of resources.</w:t>
      </w:r>
    </w:p>
    <w:p w14:paraId="7AE4F9E0"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Evaluation criteria</w:t>
      </w:r>
    </w:p>
    <w:p w14:paraId="3D52F8CA"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effectiveness of the National Environment Protection (National Pollutant Inventory) Measure has been assessed against the evaluation criteria for this NEPM.</w:t>
      </w:r>
    </w:p>
    <w:p w14:paraId="51B2BF11" w14:textId="77777777" w:rsidR="007D495D" w:rsidRPr="007D495D" w:rsidRDefault="007D495D" w:rsidP="0033541B">
      <w:pPr>
        <w:keepNext/>
        <w:pBdr>
          <w:bottom w:val="single" w:sz="4" w:space="5" w:color="000000"/>
        </w:pBdr>
        <w:tabs>
          <w:tab w:val="left" w:pos="426"/>
        </w:tabs>
        <w:suppressAutoHyphens/>
        <w:autoSpaceDE w:val="0"/>
        <w:autoSpaceDN w:val="0"/>
        <w:adjustRightInd w:val="0"/>
        <w:spacing w:before="240" w:after="170"/>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lastRenderedPageBreak/>
        <w:t>Part 2—Implementation of the NEPM and any significant issues</w:t>
      </w:r>
    </w:p>
    <w:p w14:paraId="5158C112" w14:textId="77777777" w:rsidR="007D495D" w:rsidRPr="007D495D" w:rsidRDefault="007D495D" w:rsidP="0033541B">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This part provides a summary of jurisdictional reports on implementation and the Council’s overall assessment of the implementation of the NEPM.</w:t>
      </w:r>
    </w:p>
    <w:p w14:paraId="54F3BDD5" w14:textId="77777777" w:rsidR="007D495D" w:rsidRPr="007D495D" w:rsidRDefault="007D495D" w:rsidP="0033541B">
      <w:pPr>
        <w:keepNext/>
        <w:tabs>
          <w:tab w:val="left" w:pos="426"/>
        </w:tabs>
        <w:suppressAutoHyphens/>
        <w:autoSpaceDE w:val="0"/>
        <w:autoSpaceDN w:val="0"/>
        <w:adjustRightInd w:val="0"/>
        <w:spacing w:before="113" w:after="57"/>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Legislative, regulatory and administrative framework</w:t>
      </w:r>
    </w:p>
    <w:p w14:paraId="25C67C9B" w14:textId="77777777" w:rsidR="007D495D" w:rsidRPr="007D495D" w:rsidRDefault="007D495D" w:rsidP="0033541B">
      <w:pPr>
        <w:keepNext/>
        <w:tabs>
          <w:tab w:val="left" w:pos="426"/>
        </w:tabs>
        <w:suppressAutoHyphens/>
        <w:autoSpaceDE w:val="0"/>
        <w:autoSpaceDN w:val="0"/>
        <w:adjustRightInd w:val="0"/>
        <w:spacing w:before="113" w:after="57"/>
        <w:textAlignment w:val="center"/>
        <w:rPr>
          <w:rFonts w:ascii="Calibri" w:hAnsi="Calibri" w:cs="Calibri"/>
          <w:i/>
          <w:iCs/>
          <w:color w:val="000000"/>
          <w:sz w:val="18"/>
          <w:szCs w:val="18"/>
        </w:rPr>
      </w:pPr>
      <w:r w:rsidRPr="007D495D">
        <w:rPr>
          <w:rFonts w:ascii="Calibri" w:hAnsi="Calibri" w:cs="Calibri"/>
          <w:i/>
          <w:iCs/>
          <w:color w:val="000000"/>
          <w:sz w:val="18"/>
          <w:szCs w:val="18"/>
        </w:rPr>
        <w:t>Table 1: Summary of implementation frameworks</w:t>
      </w:r>
    </w:p>
    <w:tbl>
      <w:tblPr>
        <w:tblW w:w="0" w:type="auto"/>
        <w:tblInd w:w="-5" w:type="dxa"/>
        <w:tblLayout w:type="fixed"/>
        <w:tblCellMar>
          <w:left w:w="0" w:type="dxa"/>
          <w:right w:w="0" w:type="dxa"/>
        </w:tblCellMar>
        <w:tblLook w:val="0000" w:firstRow="0" w:lastRow="0" w:firstColumn="0" w:lastColumn="0" w:noHBand="0" w:noVBand="0"/>
      </w:tblPr>
      <w:tblGrid>
        <w:gridCol w:w="1965"/>
        <w:gridCol w:w="5452"/>
      </w:tblGrid>
      <w:tr w:rsidR="007D495D" w:rsidRPr="007D495D" w14:paraId="0A8D49A1" w14:textId="77777777">
        <w:trPr>
          <w:trHeight w:val="60"/>
          <w:tblHeader/>
        </w:trPr>
        <w:tc>
          <w:tcPr>
            <w:tcW w:w="196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AA7132F" w14:textId="77777777" w:rsidR="007D495D" w:rsidRPr="007D495D" w:rsidRDefault="007D495D" w:rsidP="0033541B">
            <w:pPr>
              <w:keepNext/>
              <w:suppressAutoHyphens/>
              <w:autoSpaceDE w:val="0"/>
              <w:autoSpaceDN w:val="0"/>
              <w:adjustRightInd w:val="0"/>
              <w:spacing w:before="57" w:after="57"/>
              <w:textAlignment w:val="center"/>
              <w:rPr>
                <w:rFonts w:ascii="Times" w:hAnsi="Times" w:cs="Times"/>
                <w:b/>
                <w:bCs/>
                <w:color w:val="FFFFFF"/>
                <w:sz w:val="16"/>
                <w:szCs w:val="16"/>
              </w:rPr>
            </w:pPr>
            <w:r w:rsidRPr="007D495D">
              <w:rPr>
                <w:rFonts w:ascii="Times" w:hAnsi="Times" w:cs="Times"/>
                <w:b/>
                <w:bCs/>
                <w:color w:val="FFFFFF"/>
                <w:sz w:val="16"/>
                <w:szCs w:val="16"/>
              </w:rPr>
              <w:t>Jurisdiction</w:t>
            </w:r>
          </w:p>
        </w:tc>
        <w:tc>
          <w:tcPr>
            <w:tcW w:w="545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697D9DB" w14:textId="77777777" w:rsidR="007D495D" w:rsidRPr="007D495D" w:rsidRDefault="007D495D" w:rsidP="0033541B">
            <w:pPr>
              <w:keepNext/>
              <w:suppressAutoHyphens/>
              <w:autoSpaceDE w:val="0"/>
              <w:autoSpaceDN w:val="0"/>
              <w:adjustRightInd w:val="0"/>
              <w:spacing w:before="57" w:after="57"/>
              <w:textAlignment w:val="center"/>
              <w:rPr>
                <w:rFonts w:ascii="Times" w:hAnsi="Times" w:cs="Times"/>
                <w:b/>
                <w:bCs/>
                <w:color w:val="FFFFFF"/>
                <w:sz w:val="16"/>
                <w:szCs w:val="16"/>
              </w:rPr>
            </w:pPr>
            <w:r w:rsidRPr="007D495D">
              <w:rPr>
                <w:rFonts w:ascii="Times" w:hAnsi="Times" w:cs="Times"/>
                <w:b/>
                <w:bCs/>
                <w:color w:val="FFFFFF"/>
                <w:sz w:val="16"/>
                <w:szCs w:val="16"/>
              </w:rPr>
              <w:t>Summary of implementation frameworks</w:t>
            </w:r>
          </w:p>
        </w:tc>
      </w:tr>
      <w:tr w:rsidR="007D495D" w:rsidRPr="007D495D" w14:paraId="4869695F"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4E5943" w14:textId="77777777" w:rsidR="007D495D" w:rsidRPr="007D495D" w:rsidRDefault="007D495D" w:rsidP="0033541B">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Commonwealth</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C34CE2" w14:textId="77777777" w:rsidR="007D495D" w:rsidRPr="007D495D" w:rsidRDefault="007D495D" w:rsidP="0033541B">
            <w:pPr>
              <w:keepNext/>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NEPM is implemented administratively.</w:t>
            </w:r>
          </w:p>
        </w:tc>
      </w:tr>
      <w:tr w:rsidR="007D495D" w:rsidRPr="007D495D" w14:paraId="22FB2B31"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FC3150" w14:textId="77777777" w:rsidR="007D495D" w:rsidRPr="007D495D" w:rsidRDefault="007D495D" w:rsidP="0033541B">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New South Wales</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BFC8EB2" w14:textId="77777777" w:rsidR="007D495D" w:rsidRPr="007D495D" w:rsidRDefault="007D495D" w:rsidP="0033541B">
            <w:pPr>
              <w:keepNext/>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key legislative instrument is the </w:t>
            </w:r>
            <w:r w:rsidRPr="007D495D">
              <w:rPr>
                <w:rFonts w:ascii="Times" w:hAnsi="Times" w:cs="Times"/>
                <w:i/>
                <w:iCs/>
                <w:color w:val="000000"/>
                <w:sz w:val="16"/>
                <w:szCs w:val="16"/>
              </w:rPr>
              <w:t>Protection of the Environment Operations (General) Regulation 2009</w:t>
            </w:r>
            <w:r w:rsidRPr="007D495D">
              <w:rPr>
                <w:rFonts w:ascii="Times" w:hAnsi="Times" w:cs="Times"/>
                <w:color w:val="000000"/>
                <w:sz w:val="16"/>
                <w:szCs w:val="16"/>
              </w:rPr>
              <w:t xml:space="preserve"> under the </w:t>
            </w:r>
            <w:r w:rsidRPr="007D495D">
              <w:rPr>
                <w:rFonts w:ascii="Times" w:hAnsi="Times" w:cs="Times"/>
                <w:i/>
                <w:iCs/>
                <w:color w:val="000000"/>
                <w:sz w:val="16"/>
                <w:szCs w:val="16"/>
              </w:rPr>
              <w:t>Protection of the Environment Operations Act 1997.</w:t>
            </w:r>
          </w:p>
        </w:tc>
      </w:tr>
      <w:tr w:rsidR="007D495D" w:rsidRPr="007D495D" w14:paraId="326063C1"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B4B944" w14:textId="77777777" w:rsidR="007D495D" w:rsidRPr="007D495D" w:rsidRDefault="007D495D" w:rsidP="0033541B">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Victoria</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341D99" w14:textId="77777777" w:rsidR="007D495D" w:rsidRPr="007D495D" w:rsidRDefault="007D495D" w:rsidP="0033541B">
            <w:pPr>
              <w:keepNext/>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key legislative instrument is the Waste Management Policy (National Pollutant Inventory) 2012 under the </w:t>
            </w:r>
            <w:r w:rsidRPr="007D495D">
              <w:rPr>
                <w:rFonts w:ascii="Times" w:hAnsi="Times" w:cs="Times"/>
                <w:i/>
                <w:iCs/>
                <w:color w:val="000000"/>
                <w:sz w:val="16"/>
                <w:szCs w:val="16"/>
              </w:rPr>
              <w:t>Environment Protection Act 1970.</w:t>
            </w:r>
          </w:p>
        </w:tc>
      </w:tr>
      <w:tr w:rsidR="007D495D" w:rsidRPr="007D495D" w14:paraId="3CD00206"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DFAF8B" w14:textId="77777777" w:rsidR="007D495D" w:rsidRPr="007D495D" w:rsidRDefault="007D495D" w:rsidP="0033541B">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Queensland</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5E2576" w14:textId="77777777" w:rsidR="007D495D" w:rsidRPr="007D495D" w:rsidRDefault="007D495D" w:rsidP="0033541B">
            <w:pPr>
              <w:keepNext/>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under the </w:t>
            </w:r>
            <w:r w:rsidRPr="007D495D">
              <w:rPr>
                <w:rFonts w:ascii="Times" w:hAnsi="Times" w:cs="Times"/>
                <w:i/>
                <w:iCs/>
                <w:color w:val="000000"/>
                <w:sz w:val="16"/>
                <w:szCs w:val="16"/>
              </w:rPr>
              <w:t>Environmental Protection Act 1994</w:t>
            </w:r>
            <w:r w:rsidRPr="007D495D">
              <w:rPr>
                <w:rFonts w:ascii="Times" w:hAnsi="Times" w:cs="Times"/>
                <w:color w:val="000000"/>
                <w:sz w:val="16"/>
                <w:szCs w:val="16"/>
              </w:rPr>
              <w:t xml:space="preserve"> and the </w:t>
            </w:r>
            <w:r w:rsidRPr="007D495D">
              <w:rPr>
                <w:rFonts w:ascii="Times" w:hAnsi="Times" w:cs="Times"/>
                <w:i/>
                <w:iCs/>
                <w:color w:val="000000"/>
                <w:sz w:val="16"/>
                <w:szCs w:val="16"/>
              </w:rPr>
              <w:t>Environmental Protection Regulation 2008.</w:t>
            </w:r>
          </w:p>
        </w:tc>
      </w:tr>
      <w:tr w:rsidR="007D495D" w:rsidRPr="007D495D" w14:paraId="3B984AA5"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EA7813" w14:textId="77777777" w:rsidR="007D495D" w:rsidRPr="007D495D" w:rsidRDefault="007D495D" w:rsidP="0033541B">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Western Australia</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0D26DA" w14:textId="77777777" w:rsidR="007D495D" w:rsidRPr="007D495D" w:rsidRDefault="007D495D" w:rsidP="0033541B">
            <w:pPr>
              <w:keepNext/>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key legislative instrument is the </w:t>
            </w:r>
            <w:r w:rsidRPr="007D495D">
              <w:rPr>
                <w:rFonts w:ascii="Times" w:hAnsi="Times" w:cs="Times"/>
                <w:i/>
                <w:iCs/>
                <w:color w:val="000000"/>
                <w:sz w:val="16"/>
                <w:szCs w:val="16"/>
              </w:rPr>
              <w:t xml:space="preserve">Environmental Protection (NEPM – NPI) Regulations 1998 </w:t>
            </w:r>
            <w:r w:rsidRPr="007D495D">
              <w:rPr>
                <w:rFonts w:ascii="Times" w:hAnsi="Times" w:cs="Times"/>
                <w:color w:val="000000"/>
                <w:sz w:val="16"/>
                <w:szCs w:val="16"/>
              </w:rPr>
              <w:t xml:space="preserve">under the </w:t>
            </w:r>
            <w:r w:rsidRPr="007D495D">
              <w:rPr>
                <w:rFonts w:ascii="Times" w:hAnsi="Times" w:cs="Times"/>
                <w:i/>
                <w:iCs/>
                <w:color w:val="000000"/>
                <w:sz w:val="16"/>
                <w:szCs w:val="16"/>
              </w:rPr>
              <w:t>Environmental Protection Act 1986.</w:t>
            </w:r>
          </w:p>
        </w:tc>
      </w:tr>
      <w:tr w:rsidR="007D495D" w:rsidRPr="007D495D" w14:paraId="6C0DCC10"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C74606D" w14:textId="77777777" w:rsidR="007D495D" w:rsidRPr="007D495D" w:rsidRDefault="007D495D" w:rsidP="0033541B">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South Australia</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A4102F" w14:textId="77777777" w:rsidR="007D495D" w:rsidRPr="007D495D" w:rsidRDefault="007D495D" w:rsidP="0033541B">
            <w:pPr>
              <w:keepNext/>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operates as an Environment Protection Policy under the </w:t>
            </w:r>
            <w:r w:rsidRPr="007D495D">
              <w:rPr>
                <w:rFonts w:ascii="Times" w:hAnsi="Times" w:cs="Times"/>
                <w:i/>
                <w:iCs/>
                <w:color w:val="000000"/>
                <w:sz w:val="16"/>
                <w:szCs w:val="16"/>
              </w:rPr>
              <w:t>Environment Protection Act 1993.</w:t>
            </w:r>
          </w:p>
        </w:tc>
      </w:tr>
      <w:tr w:rsidR="007D495D" w:rsidRPr="007D495D" w14:paraId="37C642B2"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5A7EB7" w14:textId="77777777" w:rsidR="007D495D" w:rsidRPr="007D495D" w:rsidRDefault="007D495D" w:rsidP="0033541B">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Tasmania</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BC2AE3" w14:textId="77777777" w:rsidR="007D495D" w:rsidRPr="007D495D" w:rsidRDefault="007D495D" w:rsidP="0033541B">
            <w:pPr>
              <w:keepNext/>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a state policy under the </w:t>
            </w:r>
            <w:r w:rsidRPr="007D495D">
              <w:rPr>
                <w:rFonts w:ascii="Times" w:hAnsi="Times" w:cs="Times"/>
                <w:i/>
                <w:iCs/>
                <w:color w:val="000000"/>
                <w:sz w:val="16"/>
                <w:szCs w:val="16"/>
              </w:rPr>
              <w:t xml:space="preserve">State Policies and Projects Act 1993 </w:t>
            </w:r>
            <w:r w:rsidRPr="007D495D">
              <w:rPr>
                <w:rFonts w:ascii="Times" w:hAnsi="Times" w:cs="Times"/>
                <w:color w:val="000000"/>
                <w:sz w:val="16"/>
                <w:szCs w:val="16"/>
              </w:rPr>
              <w:t xml:space="preserve">and is implemented through the </w:t>
            </w:r>
            <w:r w:rsidRPr="007D495D">
              <w:rPr>
                <w:rFonts w:ascii="Times" w:hAnsi="Times" w:cs="Times"/>
                <w:i/>
                <w:iCs/>
                <w:color w:val="000000"/>
                <w:sz w:val="16"/>
                <w:szCs w:val="16"/>
              </w:rPr>
              <w:t>Environmental Management and Pollution Control Act 1993.</w:t>
            </w:r>
          </w:p>
        </w:tc>
      </w:tr>
      <w:tr w:rsidR="007D495D" w:rsidRPr="007D495D" w14:paraId="44F36DFA"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F986CC" w14:textId="77777777" w:rsidR="007D495D" w:rsidRPr="007D495D" w:rsidRDefault="007D495D" w:rsidP="0033541B">
            <w:pPr>
              <w:keepNext/>
              <w:suppressAutoHyphens/>
              <w:autoSpaceDE w:val="0"/>
              <w:autoSpaceDN w:val="0"/>
              <w:adjustRightInd w:val="0"/>
              <w:spacing w:after="113"/>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B51BAC" w14:textId="77777777" w:rsidR="007D495D" w:rsidRPr="007D495D" w:rsidRDefault="007D495D" w:rsidP="0033541B">
            <w:pPr>
              <w:keepNext/>
              <w:suppressAutoHyphens/>
              <w:autoSpaceDE w:val="0"/>
              <w:autoSpaceDN w:val="0"/>
              <w:adjustRightInd w:val="0"/>
              <w:spacing w:after="113"/>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key legislative instrument is the </w:t>
            </w:r>
            <w:r w:rsidRPr="007D495D">
              <w:rPr>
                <w:rFonts w:ascii="Times" w:hAnsi="Times" w:cs="Times"/>
                <w:i/>
                <w:iCs/>
                <w:color w:val="000000"/>
                <w:sz w:val="16"/>
                <w:szCs w:val="16"/>
              </w:rPr>
              <w:t>Environment Protection Act 1997.</w:t>
            </w:r>
          </w:p>
        </w:tc>
      </w:tr>
      <w:tr w:rsidR="007D495D" w:rsidRPr="007D495D" w14:paraId="47F29C92" w14:textId="77777777">
        <w:trPr>
          <w:trHeight w:val="60"/>
        </w:trPr>
        <w:tc>
          <w:tcPr>
            <w:tcW w:w="19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CED727"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c>
          <w:tcPr>
            <w:tcW w:w="54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20CA03" w14:textId="77777777" w:rsidR="007D495D" w:rsidRPr="007D495D" w:rsidRDefault="007D495D" w:rsidP="007D495D">
            <w:pPr>
              <w:suppressAutoHyphens/>
              <w:autoSpaceDE w:val="0"/>
              <w:autoSpaceDN w:val="0"/>
              <w:adjustRightInd w:val="0"/>
              <w:spacing w:after="113" w:line="180" w:lineRule="atLeast"/>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by the Environment Protection (National Pollutant Inventory) Objective established under the </w:t>
            </w:r>
            <w:r w:rsidRPr="007D495D">
              <w:rPr>
                <w:rFonts w:ascii="Times" w:hAnsi="Times" w:cs="Times"/>
                <w:i/>
                <w:iCs/>
                <w:color w:val="000000"/>
                <w:sz w:val="16"/>
                <w:szCs w:val="16"/>
              </w:rPr>
              <w:t>Waste Management and Pollution Control Act 1998.</w:t>
            </w:r>
          </w:p>
        </w:tc>
      </w:tr>
    </w:tbl>
    <w:p w14:paraId="04B5D493"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Implementation issues arising</w:t>
      </w:r>
    </w:p>
    <w:p w14:paraId="4EA8C399"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A summary of implementation issues arising during 2017-18 (the NPI NEPM reporting year is a year behind the current annual report year) can be found in Table 2. For implementation activities refer to jurisdictional reports as listed in Part 5.</w:t>
      </w:r>
    </w:p>
    <w:p w14:paraId="3B64A743"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t>Table 2: Summary of implementation issues arising</w:t>
      </w:r>
    </w:p>
    <w:tbl>
      <w:tblPr>
        <w:tblW w:w="0" w:type="auto"/>
        <w:tblInd w:w="-5" w:type="dxa"/>
        <w:tblLayout w:type="fixed"/>
        <w:tblCellMar>
          <w:left w:w="0" w:type="dxa"/>
          <w:right w:w="0" w:type="dxa"/>
        </w:tblCellMar>
        <w:tblLook w:val="0000" w:firstRow="0" w:lastRow="0" w:firstColumn="0" w:lastColumn="0" w:noHBand="0" w:noVBand="0"/>
      </w:tblPr>
      <w:tblGrid>
        <w:gridCol w:w="2031"/>
        <w:gridCol w:w="5376"/>
      </w:tblGrid>
      <w:tr w:rsidR="007D495D" w:rsidRPr="007D495D" w14:paraId="4319ABA3" w14:textId="77777777">
        <w:trPr>
          <w:trHeight w:val="60"/>
          <w:tblHeader/>
        </w:trPr>
        <w:tc>
          <w:tcPr>
            <w:tcW w:w="203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F7197A6"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Jurisdiction</w:t>
            </w:r>
          </w:p>
        </w:tc>
        <w:tc>
          <w:tcPr>
            <w:tcW w:w="537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3D37AC4"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Summary of implementation issues arising</w:t>
            </w:r>
          </w:p>
        </w:tc>
      </w:tr>
      <w:tr w:rsidR="007D495D" w:rsidRPr="007D495D" w14:paraId="614E3531" w14:textId="77777777">
        <w:trPr>
          <w:trHeight w:val="60"/>
        </w:trPr>
        <w:tc>
          <w:tcPr>
            <w:tcW w:w="203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ADA5E69"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Commonwealth</w:t>
            </w:r>
          </w:p>
        </w:tc>
        <w:tc>
          <w:tcPr>
            <w:tcW w:w="53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64C5F3"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Redesigned the NPI homepage to increase usability and provide a direct link to NPI facility locations on the National Map.</w:t>
            </w:r>
          </w:p>
          <w:p w14:paraId="530AD304"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Leading the current review of the NPI.</w:t>
            </w:r>
          </w:p>
        </w:tc>
      </w:tr>
      <w:tr w:rsidR="007D495D" w:rsidRPr="007D495D" w14:paraId="1113CFDC" w14:textId="77777777">
        <w:trPr>
          <w:trHeight w:val="60"/>
        </w:trPr>
        <w:tc>
          <w:tcPr>
            <w:tcW w:w="203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5B727E"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New South Wales</w:t>
            </w:r>
          </w:p>
        </w:tc>
        <w:tc>
          <w:tcPr>
            <w:tcW w:w="53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440F83"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NPI online reporting system has led to improvements in the quality and accuracy of facility data by including estimation and validation tools and minimising the need for manual data entry, however there are opportunities for further improvements.</w:t>
            </w:r>
          </w:p>
        </w:tc>
      </w:tr>
      <w:tr w:rsidR="007D495D" w:rsidRPr="007D495D" w14:paraId="28E10106" w14:textId="77777777">
        <w:trPr>
          <w:trHeight w:val="60"/>
        </w:trPr>
        <w:tc>
          <w:tcPr>
            <w:tcW w:w="203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19F866"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Victoria</w:t>
            </w:r>
          </w:p>
        </w:tc>
        <w:tc>
          <w:tcPr>
            <w:tcW w:w="53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5B33DA"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Continued concerns with NPI data quality and NEPM enforceability, which will be raised during the review. </w:t>
            </w:r>
          </w:p>
        </w:tc>
      </w:tr>
      <w:tr w:rsidR="007D495D" w:rsidRPr="007D495D" w14:paraId="669271F8" w14:textId="77777777">
        <w:trPr>
          <w:trHeight w:val="60"/>
        </w:trPr>
        <w:tc>
          <w:tcPr>
            <w:tcW w:w="203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F0F9F3"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Queensland</w:t>
            </w:r>
          </w:p>
        </w:tc>
        <w:tc>
          <w:tcPr>
            <w:tcW w:w="53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B1D703"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Will continue to raise opportunities to improve the effectiveness and implementation of the NPI during the review.</w:t>
            </w:r>
          </w:p>
        </w:tc>
      </w:tr>
      <w:tr w:rsidR="007D495D" w:rsidRPr="007D495D" w14:paraId="43572E6B" w14:textId="77777777">
        <w:trPr>
          <w:trHeight w:val="60"/>
        </w:trPr>
        <w:tc>
          <w:tcPr>
            <w:tcW w:w="203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2B15CE"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lastRenderedPageBreak/>
              <w:t>Western Australia</w:t>
            </w:r>
          </w:p>
        </w:tc>
        <w:tc>
          <w:tcPr>
            <w:tcW w:w="53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F04A17"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Work on the Perth Air Emissions Study 2016 was undertaken during the period to update the 2011-2012 aggregated emissions data for the greater Perth metropolitan region.</w:t>
            </w:r>
          </w:p>
        </w:tc>
      </w:tr>
      <w:tr w:rsidR="007D495D" w:rsidRPr="007D495D" w14:paraId="38132330" w14:textId="77777777">
        <w:trPr>
          <w:trHeight w:val="60"/>
        </w:trPr>
        <w:tc>
          <w:tcPr>
            <w:tcW w:w="203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29CA574"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South Australia</w:t>
            </w:r>
          </w:p>
        </w:tc>
        <w:tc>
          <w:tcPr>
            <w:tcW w:w="53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83F9CE"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A detailed air emissions inventory continues to be a strategic priority for both the NPI and the SA EPA.</w:t>
            </w:r>
          </w:p>
        </w:tc>
      </w:tr>
      <w:tr w:rsidR="007D495D" w:rsidRPr="007D495D" w14:paraId="380B9A87" w14:textId="77777777">
        <w:trPr>
          <w:trHeight w:val="60"/>
        </w:trPr>
        <w:tc>
          <w:tcPr>
            <w:tcW w:w="203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39C0A1"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Tasmania</w:t>
            </w:r>
          </w:p>
        </w:tc>
        <w:tc>
          <w:tcPr>
            <w:tcW w:w="53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F9FB250"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NPI funding and support is an ongoing issue. </w:t>
            </w:r>
          </w:p>
          <w:p w14:paraId="1C886807"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Updated NPI emissions estimation techniques and other resources continue to be a critical need.</w:t>
            </w:r>
          </w:p>
        </w:tc>
      </w:tr>
      <w:tr w:rsidR="007D495D" w:rsidRPr="007D495D" w14:paraId="776B2DC7" w14:textId="77777777">
        <w:trPr>
          <w:trHeight w:val="60"/>
        </w:trPr>
        <w:tc>
          <w:tcPr>
            <w:tcW w:w="203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33F98C"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c>
          <w:tcPr>
            <w:tcW w:w="53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F934CB"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One-on-one training sessions continued to work successfully.</w:t>
            </w:r>
          </w:p>
        </w:tc>
      </w:tr>
      <w:tr w:rsidR="007D495D" w:rsidRPr="007D495D" w14:paraId="6B1B86A0" w14:textId="77777777">
        <w:trPr>
          <w:trHeight w:val="60"/>
        </w:trPr>
        <w:tc>
          <w:tcPr>
            <w:tcW w:w="203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C829EB"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c>
          <w:tcPr>
            <w:tcW w:w="53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AFD1BAD"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Continued inadequate funding to allow aggregate emissions data modelling as required by the NEPM. </w:t>
            </w:r>
          </w:p>
        </w:tc>
      </w:tr>
    </w:tbl>
    <w:p w14:paraId="1A088C9B"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5506E01D"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3—Assessment of NEPM effectiveness</w:t>
      </w:r>
    </w:p>
    <w:p w14:paraId="03D08F28"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Memoranda of Understanding (</w:t>
      </w:r>
      <w:proofErr w:type="spellStart"/>
      <w:r w:rsidRPr="007D495D">
        <w:rPr>
          <w:rFonts w:ascii="Times" w:hAnsi="Times" w:cs="Times"/>
          <w:color w:val="000000"/>
          <w:sz w:val="16"/>
          <w:szCs w:val="16"/>
        </w:rPr>
        <w:t>MoUs</w:t>
      </w:r>
      <w:proofErr w:type="spellEnd"/>
      <w:r w:rsidRPr="007D495D">
        <w:rPr>
          <w:rFonts w:ascii="Times" w:hAnsi="Times" w:cs="Times"/>
          <w:color w:val="000000"/>
          <w:sz w:val="16"/>
          <w:szCs w:val="16"/>
        </w:rPr>
        <w:t>) have been signed at heads of agency level between each jurisdiction and the Commonwealth. An MoU was in place to 30 June 2019.</w:t>
      </w:r>
    </w:p>
    <w:p w14:paraId="7310A41B"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Website and Public Awareness</w:t>
      </w:r>
    </w:p>
    <w:p w14:paraId="607490F3" w14:textId="737B774F"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Reporting information is available on the NPI website at</w:t>
      </w:r>
      <w:r w:rsidRPr="00CC4679">
        <w:rPr>
          <w:rFonts w:ascii="Times" w:hAnsi="Times" w:cs="Times"/>
          <w:color w:val="4472C4" w:themeColor="accent1"/>
          <w:sz w:val="16"/>
          <w:szCs w:val="16"/>
        </w:rPr>
        <w:t xml:space="preserve"> </w:t>
      </w:r>
      <w:hyperlink r:id="rId14" w:history="1">
        <w:r w:rsidRPr="00CC4679">
          <w:rPr>
            <w:rStyle w:val="Hyperlink"/>
            <w:rFonts w:ascii="Times" w:hAnsi="Times" w:cs="Times"/>
            <w:color w:val="4472C4" w:themeColor="accent1"/>
            <w:sz w:val="16"/>
            <w:szCs w:val="16"/>
            <w:u w:val="single"/>
          </w:rPr>
          <w:t>http://www.npi.gov.au</w:t>
        </w:r>
      </w:hyperlink>
      <w:r w:rsidRPr="007D495D">
        <w:rPr>
          <w:rFonts w:ascii="Times" w:hAnsi="Times" w:cs="Times"/>
          <w:color w:val="000000"/>
          <w:sz w:val="16"/>
          <w:szCs w:val="16"/>
        </w:rPr>
        <w:t>. The number of visitors to the NPI website increased from 306,703 in 2017-18 to 361,202 in 2018-19 with 3,717 views of the NPI dataset on the data.gov.au website.</w:t>
      </w:r>
    </w:p>
    <w:p w14:paraId="72E99EE7"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use of the NPI database by non-government organisations and the media, often focusing on specific industry sectors or facilities, is increasing. There is a clear need for improving contextual information and interpretation of NPI data to facilitate better understanding within the community.</w:t>
      </w:r>
    </w:p>
    <w:p w14:paraId="078201F3"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 xml:space="preserve">On-line reporting </w:t>
      </w:r>
    </w:p>
    <w:p w14:paraId="21918ED6"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Commonwealth continued to maintain the NPI website, including redesigning the NPI homepage during the reporting period, and database search engine. This work ensured that relevant and up to date information is accessible to the public and other key stakeholders.</w:t>
      </w:r>
    </w:p>
    <w:p w14:paraId="6564461B"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While the online reporting system training has been well received, it is acknowledged that software errors </w:t>
      </w:r>
      <w:proofErr w:type="gramStart"/>
      <w:r w:rsidRPr="007D495D">
        <w:rPr>
          <w:rFonts w:ascii="Times" w:hAnsi="Times" w:cs="Times"/>
          <w:color w:val="000000"/>
          <w:sz w:val="16"/>
          <w:szCs w:val="16"/>
        </w:rPr>
        <w:t>remain</w:t>
      </w:r>
      <w:proofErr w:type="gramEnd"/>
      <w:r w:rsidRPr="007D495D">
        <w:rPr>
          <w:rFonts w:ascii="Times" w:hAnsi="Times" w:cs="Times"/>
          <w:color w:val="000000"/>
          <w:sz w:val="16"/>
          <w:szCs w:val="16"/>
        </w:rPr>
        <w:t xml:space="preserve"> and further training is essential.</w:t>
      </w:r>
    </w:p>
    <w:p w14:paraId="52E25FB6"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Most jurisdictions have conducted industry training programs to assist reporters to use the Online Reporting System. These training programs vary from one-on-one sessions with new reporters to more formal group sessions. There is a need for continued training due to the continued high level of turnover in industry, new small business enterprises and staff within jurisdictions. </w:t>
      </w:r>
    </w:p>
    <w:p w14:paraId="517EA428"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Industry facility reporting</w:t>
      </w:r>
    </w:p>
    <w:p w14:paraId="026C609C"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Commonwealth published the 2017–18 National Pollutant Inventory (NPI) on 29 March 2019. The number of facilities reporting to the NPI rose from 4162 in 2016–17 to 4187 in 2017–18.</w:t>
      </w:r>
    </w:p>
    <w:p w14:paraId="12C2FE7E"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Figure 1 below shows the number of facilities reporting to the NPI in each jurisdiction over the past 10 years.</w:t>
      </w:r>
    </w:p>
    <w:p w14:paraId="5DA9D5A1"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lastRenderedPageBreak/>
        <w:t>Figure 1: Number of reporting facilities in each jurisdiction by year since 2008-09</w:t>
      </w:r>
    </w:p>
    <w:p w14:paraId="577578A0" w14:textId="7ADB6913" w:rsidR="007D495D" w:rsidRPr="007D495D" w:rsidRDefault="0033541B" w:rsidP="007D495D">
      <w:pPr>
        <w:suppressAutoHyphens/>
        <w:autoSpaceDE w:val="0"/>
        <w:autoSpaceDN w:val="0"/>
        <w:adjustRightInd w:val="0"/>
        <w:spacing w:after="113" w:line="288" w:lineRule="auto"/>
        <w:textAlignment w:val="center"/>
        <w:rPr>
          <w:rFonts w:ascii="Times" w:hAnsi="Times" w:cs="Times"/>
          <w:color w:val="000000"/>
          <w:sz w:val="16"/>
          <w:szCs w:val="16"/>
        </w:rPr>
      </w:pPr>
      <w:r>
        <w:rPr>
          <w:rFonts w:ascii="Times" w:hAnsi="Times" w:cs="Times"/>
          <w:noProof/>
          <w:color w:val="000000"/>
          <w:sz w:val="16"/>
          <w:szCs w:val="16"/>
        </w:rPr>
        <w:drawing>
          <wp:inline distT="0" distB="0" distL="0" distR="0" wp14:anchorId="4E5AFE67" wp14:editId="5DF88C1B">
            <wp:extent cx="4703720" cy="2844800"/>
            <wp:effectExtent l="0" t="0" r="0" b="0"/>
            <wp:docPr id="4" name="Picture 4"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
                    <pic:cNvPicPr/>
                  </pic:nvPicPr>
                  <pic:blipFill>
                    <a:blip r:embed="rId15">
                      <a:extLst>
                        <a:ext uri="{28A0092B-C50C-407E-A947-70E740481C1C}">
                          <a14:useLocalDpi xmlns:a14="http://schemas.microsoft.com/office/drawing/2010/main" val="0"/>
                        </a:ext>
                      </a:extLst>
                    </a:blip>
                    <a:stretch>
                      <a:fillRect/>
                    </a:stretch>
                  </pic:blipFill>
                  <pic:spPr>
                    <a:xfrm>
                      <a:off x="0" y="0"/>
                      <a:ext cx="4716064" cy="2852265"/>
                    </a:xfrm>
                    <a:prstGeom prst="rect">
                      <a:avLst/>
                    </a:prstGeom>
                  </pic:spPr>
                </pic:pic>
              </a:graphicData>
            </a:graphic>
          </wp:inline>
        </w:drawing>
      </w:r>
    </w:p>
    <w:p w14:paraId="50A1649F"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4—Reporting on implementation by jurisdictions</w:t>
      </w:r>
    </w:p>
    <w:p w14:paraId="5A9E011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annexes to this report are in Appendix 6:</w:t>
      </w:r>
    </w:p>
    <w:tbl>
      <w:tblPr>
        <w:tblW w:w="0" w:type="auto"/>
        <w:tblInd w:w="-5" w:type="dxa"/>
        <w:tblLayout w:type="fixed"/>
        <w:tblCellMar>
          <w:left w:w="0" w:type="dxa"/>
          <w:right w:w="0" w:type="dxa"/>
        </w:tblCellMar>
        <w:tblLook w:val="0000" w:firstRow="0" w:lastRow="0" w:firstColumn="0" w:lastColumn="0" w:noHBand="0" w:noVBand="0"/>
      </w:tblPr>
      <w:tblGrid>
        <w:gridCol w:w="1242"/>
        <w:gridCol w:w="4890"/>
      </w:tblGrid>
      <w:tr w:rsidR="008F19D2" w:rsidRPr="007D495D" w14:paraId="4C6EFDCD" w14:textId="77777777" w:rsidTr="00571FD8">
        <w:trPr>
          <w:trHeight w:val="60"/>
        </w:trPr>
        <w:tc>
          <w:tcPr>
            <w:tcW w:w="1242" w:type="dxa"/>
            <w:tcBorders>
              <w:top w:val="single" w:sz="6" w:space="0" w:color="auto"/>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3D8829"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1:</w:t>
            </w:r>
          </w:p>
        </w:tc>
        <w:tc>
          <w:tcPr>
            <w:tcW w:w="4890" w:type="dxa"/>
            <w:tcBorders>
              <w:top w:val="single" w:sz="6" w:space="0" w:color="auto"/>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9D6F6D"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Commonwealth</w:t>
            </w:r>
          </w:p>
        </w:tc>
      </w:tr>
      <w:tr w:rsidR="008F19D2" w:rsidRPr="007D495D" w14:paraId="4FBDE285"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0B74CB"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2:</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8C68FD"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New South Wales</w:t>
            </w:r>
          </w:p>
        </w:tc>
      </w:tr>
      <w:tr w:rsidR="008F19D2" w:rsidRPr="007D495D" w14:paraId="289B36A9"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A7F9E8"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3:</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2B2135"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Victoria</w:t>
            </w:r>
          </w:p>
        </w:tc>
      </w:tr>
      <w:tr w:rsidR="008F19D2" w:rsidRPr="007D495D" w14:paraId="0EE93350"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8CB953"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4:</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AE8D60"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Queensland</w:t>
            </w:r>
          </w:p>
        </w:tc>
      </w:tr>
      <w:tr w:rsidR="008F19D2" w:rsidRPr="007D495D" w14:paraId="4791ECB5"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3624D7F"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5:</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43B4EA"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Western Australia</w:t>
            </w:r>
          </w:p>
        </w:tc>
      </w:tr>
      <w:tr w:rsidR="008F19D2" w:rsidRPr="007D495D" w14:paraId="5B5F8C66"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432AB8D"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6:</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6EC2B38"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South Australia</w:t>
            </w:r>
          </w:p>
        </w:tc>
      </w:tr>
      <w:tr w:rsidR="008F19D2" w:rsidRPr="007D495D" w14:paraId="71EE772D"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B99FC58"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7:</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72AD42"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Tasmania</w:t>
            </w:r>
          </w:p>
        </w:tc>
      </w:tr>
      <w:tr w:rsidR="008F19D2" w:rsidRPr="007D495D" w14:paraId="18EC33B3"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5EF01B"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8:</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2E3844"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r>
      <w:tr w:rsidR="008F19D2" w:rsidRPr="007D495D" w14:paraId="4CE71D05"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8881599"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9:</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7B15191"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r>
    </w:tbl>
    <w:p w14:paraId="595117DD" w14:textId="79A238C7" w:rsidR="00571FD8" w:rsidRDefault="00571FD8"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5F691B95" w14:textId="77777777" w:rsidR="00571FD8" w:rsidRDefault="00571FD8">
      <w:pPr>
        <w:rPr>
          <w:rFonts w:ascii="Times" w:hAnsi="Times" w:cs="Times"/>
          <w:color w:val="000000"/>
          <w:sz w:val="16"/>
          <w:szCs w:val="16"/>
        </w:rPr>
      </w:pPr>
      <w:r>
        <w:rPr>
          <w:rFonts w:ascii="Times" w:hAnsi="Times" w:cs="Times"/>
          <w:color w:val="000000"/>
          <w:sz w:val="16"/>
          <w:szCs w:val="16"/>
        </w:rPr>
        <w:br w:type="page"/>
      </w:r>
    </w:p>
    <w:p w14:paraId="170D6B54" w14:textId="0A78FFEA" w:rsidR="007D495D" w:rsidRPr="007D495D" w:rsidRDefault="00571FD8" w:rsidP="00CB0DA6">
      <w:pPr>
        <w:pStyle w:val="Heading1"/>
      </w:pPr>
      <w:bookmarkStart w:id="13" w:name="_Toc58254367"/>
      <w:r w:rsidRPr="007D495D">
        <w:rPr>
          <w:spacing w:val="10"/>
          <w:sz w:val="32"/>
          <w:szCs w:val="32"/>
        </w:rPr>
        <w:lastRenderedPageBreak/>
        <w:t xml:space="preserve">NEPC report on the implementation of the </w:t>
      </w:r>
      <w:r>
        <w:rPr>
          <w:spacing w:val="10"/>
          <w:sz w:val="32"/>
          <w:szCs w:val="32"/>
        </w:rPr>
        <w:br/>
      </w:r>
      <w:r w:rsidR="007D495D" w:rsidRPr="00CB0DA6">
        <w:t>National Environment Protection (Used Packaging Materials) Measure</w:t>
      </w:r>
      <w:bookmarkEnd w:id="13"/>
    </w:p>
    <w:p w14:paraId="78DB3A85"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1—General Information</w:t>
      </w:r>
    </w:p>
    <w:p w14:paraId="0D610BB0"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NEPM details</w:t>
      </w:r>
    </w:p>
    <w:p w14:paraId="5F0A0CB8"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 xml:space="preserve">Title: </w:t>
      </w:r>
      <w:r w:rsidRPr="007D495D">
        <w:rPr>
          <w:rFonts w:ascii="Times" w:hAnsi="Times" w:cs="Times"/>
          <w:color w:val="000000"/>
          <w:sz w:val="16"/>
          <w:szCs w:val="16"/>
        </w:rPr>
        <w:t>National Environment Protection (Used Packaging Materials) Measure</w:t>
      </w:r>
    </w:p>
    <w:p w14:paraId="1F96C80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b/>
          <w:bCs/>
          <w:color w:val="000000"/>
          <w:sz w:val="16"/>
          <w:szCs w:val="16"/>
        </w:rPr>
        <w:t>Commencement date:</w:t>
      </w:r>
      <w:r w:rsidRPr="007D495D">
        <w:rPr>
          <w:rFonts w:ascii="Times" w:hAnsi="Times" w:cs="Times"/>
          <w:color w:val="000000"/>
          <w:sz w:val="16"/>
          <w:szCs w:val="16"/>
        </w:rPr>
        <w:t xml:space="preserve"> 15 July 2005</w:t>
      </w:r>
    </w:p>
    <w:p w14:paraId="7683D468"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NEPM goal (or purpose)</w:t>
      </w:r>
    </w:p>
    <w:p w14:paraId="3A78984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environment protection goal is established by clause 6 of this Measure as follows:</w:t>
      </w:r>
    </w:p>
    <w:p w14:paraId="3F760D32" w14:textId="77777777" w:rsidR="007D495D" w:rsidRPr="007D495D" w:rsidRDefault="007D495D" w:rsidP="007D495D">
      <w:pPr>
        <w:suppressAutoHyphens/>
        <w:autoSpaceDE w:val="0"/>
        <w:autoSpaceDN w:val="0"/>
        <w:adjustRightInd w:val="0"/>
        <w:spacing w:after="113" w:line="288" w:lineRule="auto"/>
        <w:ind w:left="340" w:right="340"/>
        <w:textAlignment w:val="center"/>
        <w:rPr>
          <w:rFonts w:ascii="Times" w:hAnsi="Times" w:cs="Times"/>
          <w:i/>
          <w:iCs/>
          <w:color w:val="000000"/>
          <w:sz w:val="16"/>
          <w:szCs w:val="16"/>
        </w:rPr>
      </w:pPr>
      <w:r w:rsidRPr="007D495D">
        <w:rPr>
          <w:rFonts w:ascii="Times" w:hAnsi="Times" w:cs="Times"/>
          <w:i/>
          <w:iCs/>
          <w:color w:val="000000"/>
          <w:sz w:val="16"/>
          <w:szCs w:val="16"/>
        </w:rPr>
        <w:t>The goal of the Measure is to reduce environmental degradation arising from the disposal of used packaging and conserve virgin materials through the encouragement of re-use and recycling of used packaging materials by supporting and complementing the voluntary strategies in the National Packaging Covenant.</w:t>
      </w:r>
    </w:p>
    <w:p w14:paraId="2EE4FC40"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 xml:space="preserve">Desired environmental outcomes </w:t>
      </w:r>
    </w:p>
    <w:p w14:paraId="21ADE8DC"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The desired environmental outcomes from the combination of the Australian Packaging Covenant and the Measure are to minimise the overall environmental impacts of packaging by pursuing the Covenant performance goals: </w:t>
      </w:r>
    </w:p>
    <w:p w14:paraId="27CB0FF2" w14:textId="77777777" w:rsidR="007D495D" w:rsidRPr="007D495D" w:rsidRDefault="007D495D" w:rsidP="007D495D">
      <w:pPr>
        <w:suppressAutoHyphens/>
        <w:autoSpaceDE w:val="0"/>
        <w:autoSpaceDN w:val="0"/>
        <w:adjustRightInd w:val="0"/>
        <w:spacing w:after="113" w:line="288" w:lineRule="auto"/>
        <w:ind w:left="680" w:hanging="340"/>
        <w:textAlignment w:val="center"/>
        <w:rPr>
          <w:rFonts w:ascii="Times" w:hAnsi="Times" w:cs="Times"/>
          <w:color w:val="000000"/>
          <w:sz w:val="16"/>
          <w:szCs w:val="16"/>
        </w:rPr>
      </w:pPr>
      <w:r w:rsidRPr="007D495D">
        <w:rPr>
          <w:rFonts w:ascii="Times" w:hAnsi="Times" w:cs="Times"/>
          <w:b/>
          <w:bCs/>
          <w:color w:val="000000"/>
          <w:sz w:val="16"/>
          <w:szCs w:val="16"/>
        </w:rPr>
        <w:t>1.</w:t>
      </w:r>
      <w:r w:rsidRPr="007D495D">
        <w:rPr>
          <w:rFonts w:ascii="Times" w:hAnsi="Times" w:cs="Times"/>
          <w:b/>
          <w:bCs/>
          <w:color w:val="000000"/>
          <w:sz w:val="16"/>
          <w:szCs w:val="16"/>
        </w:rPr>
        <w:tab/>
        <w:t>Design:</w:t>
      </w:r>
      <w:r w:rsidRPr="007D495D">
        <w:rPr>
          <w:rFonts w:ascii="Times" w:hAnsi="Times" w:cs="Times"/>
          <w:i/>
          <w:iCs/>
          <w:color w:val="000000"/>
          <w:sz w:val="16"/>
          <w:szCs w:val="16"/>
        </w:rPr>
        <w:t xml:space="preserve"> </w:t>
      </w:r>
      <w:r w:rsidRPr="007D495D">
        <w:rPr>
          <w:rFonts w:ascii="Times" w:hAnsi="Times" w:cs="Times"/>
          <w:color w:val="000000"/>
          <w:sz w:val="16"/>
          <w:szCs w:val="16"/>
        </w:rPr>
        <w:t xml:space="preserve">optimise packaging to use resources efficiently and reduce environmental impact without compromising product quality and safety. </w:t>
      </w:r>
    </w:p>
    <w:p w14:paraId="342F9074" w14:textId="77777777" w:rsidR="007D495D" w:rsidRPr="007D495D" w:rsidRDefault="007D495D" w:rsidP="007D495D">
      <w:pPr>
        <w:suppressAutoHyphens/>
        <w:autoSpaceDE w:val="0"/>
        <w:autoSpaceDN w:val="0"/>
        <w:adjustRightInd w:val="0"/>
        <w:spacing w:after="113" w:line="288" w:lineRule="auto"/>
        <w:ind w:left="680" w:hanging="340"/>
        <w:textAlignment w:val="center"/>
        <w:rPr>
          <w:rFonts w:ascii="Times" w:hAnsi="Times" w:cs="Times"/>
          <w:color w:val="000000"/>
          <w:sz w:val="16"/>
          <w:szCs w:val="16"/>
        </w:rPr>
      </w:pPr>
      <w:r w:rsidRPr="007D495D">
        <w:rPr>
          <w:rFonts w:ascii="Times" w:hAnsi="Times" w:cs="Times"/>
          <w:b/>
          <w:bCs/>
          <w:color w:val="000000"/>
          <w:sz w:val="16"/>
          <w:szCs w:val="16"/>
        </w:rPr>
        <w:t>2.</w:t>
      </w:r>
      <w:r w:rsidRPr="007D495D">
        <w:rPr>
          <w:rFonts w:ascii="Times" w:hAnsi="Times" w:cs="Times"/>
          <w:b/>
          <w:bCs/>
          <w:color w:val="000000"/>
          <w:sz w:val="16"/>
          <w:szCs w:val="16"/>
        </w:rPr>
        <w:tab/>
        <w:t>Recycling:</w:t>
      </w:r>
      <w:r w:rsidRPr="007D495D">
        <w:rPr>
          <w:rFonts w:ascii="Times" w:hAnsi="Times" w:cs="Times"/>
          <w:color w:val="000000"/>
          <w:sz w:val="16"/>
          <w:szCs w:val="16"/>
        </w:rPr>
        <w:t xml:space="preserve"> efficiently collect and recycle packaging. </w:t>
      </w:r>
    </w:p>
    <w:p w14:paraId="1FC58E4E" w14:textId="77777777" w:rsidR="007D495D" w:rsidRPr="007D495D" w:rsidRDefault="007D495D" w:rsidP="007D495D">
      <w:pPr>
        <w:suppressAutoHyphens/>
        <w:autoSpaceDE w:val="0"/>
        <w:autoSpaceDN w:val="0"/>
        <w:adjustRightInd w:val="0"/>
        <w:spacing w:after="113" w:line="288" w:lineRule="auto"/>
        <w:ind w:left="680" w:hanging="340"/>
        <w:textAlignment w:val="center"/>
        <w:rPr>
          <w:rFonts w:ascii="Times" w:hAnsi="Times" w:cs="Times"/>
          <w:color w:val="000000"/>
          <w:sz w:val="16"/>
          <w:szCs w:val="16"/>
        </w:rPr>
      </w:pPr>
      <w:r w:rsidRPr="007D495D">
        <w:rPr>
          <w:rFonts w:ascii="Times" w:hAnsi="Times" w:cs="Times"/>
          <w:b/>
          <w:bCs/>
          <w:color w:val="000000"/>
          <w:sz w:val="16"/>
          <w:szCs w:val="16"/>
        </w:rPr>
        <w:t>3.</w:t>
      </w:r>
      <w:r w:rsidRPr="007D495D">
        <w:rPr>
          <w:rFonts w:ascii="Times" w:hAnsi="Times" w:cs="Times"/>
          <w:b/>
          <w:bCs/>
          <w:color w:val="000000"/>
          <w:sz w:val="16"/>
          <w:szCs w:val="16"/>
        </w:rPr>
        <w:tab/>
        <w:t xml:space="preserve">Product Stewardship: </w:t>
      </w:r>
      <w:r w:rsidRPr="007D495D">
        <w:rPr>
          <w:rFonts w:ascii="Times" w:hAnsi="Times" w:cs="Times"/>
          <w:color w:val="000000"/>
          <w:sz w:val="16"/>
          <w:szCs w:val="16"/>
        </w:rPr>
        <w:t xml:space="preserve">demonstrate commitment by all signatories. </w:t>
      </w:r>
    </w:p>
    <w:p w14:paraId="78F109D8"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Evaluation criteria</w:t>
      </w:r>
    </w:p>
    <w:p w14:paraId="5213968F"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The effectiveness of the National Environment Protection (Used Packaging Materials) Measure has been assessed against the evaluation criteria for this NEPM. </w:t>
      </w:r>
    </w:p>
    <w:p w14:paraId="5483C5CA"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2—Implementation of the NEPM and any significant issues</w:t>
      </w:r>
    </w:p>
    <w:p w14:paraId="5E47A80E"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This part provides a summary of jurisdictional reports on implementation and the Council’s overall assessment of the implementation of the NEPM.</w:t>
      </w:r>
    </w:p>
    <w:p w14:paraId="7E06FA79"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Legislative, regulatory and administrative framework</w:t>
      </w:r>
    </w:p>
    <w:p w14:paraId="6CC3E88B"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t>Table 1: Summary of implementation frameworks</w:t>
      </w:r>
    </w:p>
    <w:tbl>
      <w:tblPr>
        <w:tblW w:w="0" w:type="auto"/>
        <w:tblInd w:w="-5" w:type="dxa"/>
        <w:tblLayout w:type="fixed"/>
        <w:tblCellMar>
          <w:left w:w="0" w:type="dxa"/>
          <w:right w:w="0" w:type="dxa"/>
        </w:tblCellMar>
        <w:tblLook w:val="0000" w:firstRow="0" w:lastRow="0" w:firstColumn="0" w:lastColumn="0" w:noHBand="0" w:noVBand="0"/>
      </w:tblPr>
      <w:tblGrid>
        <w:gridCol w:w="1951"/>
        <w:gridCol w:w="5466"/>
      </w:tblGrid>
      <w:tr w:rsidR="007D495D" w:rsidRPr="007D495D" w14:paraId="375A58D8" w14:textId="77777777">
        <w:trPr>
          <w:trHeight w:val="60"/>
          <w:tblHeader/>
        </w:trPr>
        <w:tc>
          <w:tcPr>
            <w:tcW w:w="195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2BD0E9D"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Jurisdiction</w:t>
            </w:r>
          </w:p>
        </w:tc>
        <w:tc>
          <w:tcPr>
            <w:tcW w:w="546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9E66917" w14:textId="77777777" w:rsidR="007D495D" w:rsidRPr="007D495D" w:rsidRDefault="007D495D" w:rsidP="007D495D">
            <w:pPr>
              <w:suppressAutoHyphens/>
              <w:autoSpaceDE w:val="0"/>
              <w:autoSpaceDN w:val="0"/>
              <w:adjustRightInd w:val="0"/>
              <w:spacing w:before="57" w:after="57" w:line="180" w:lineRule="atLeast"/>
              <w:textAlignment w:val="center"/>
              <w:rPr>
                <w:rFonts w:ascii="Times" w:hAnsi="Times" w:cs="Times"/>
                <w:b/>
                <w:bCs/>
                <w:color w:val="FFFFFF"/>
                <w:sz w:val="16"/>
                <w:szCs w:val="16"/>
              </w:rPr>
            </w:pPr>
            <w:r w:rsidRPr="007D495D">
              <w:rPr>
                <w:rFonts w:ascii="Times" w:hAnsi="Times" w:cs="Times"/>
                <w:b/>
                <w:bCs/>
                <w:color w:val="FFFFFF"/>
                <w:sz w:val="16"/>
                <w:szCs w:val="16"/>
              </w:rPr>
              <w:t>Summary of implementation frameworks</w:t>
            </w:r>
          </w:p>
        </w:tc>
      </w:tr>
      <w:tr w:rsidR="007D495D" w:rsidRPr="007D495D" w14:paraId="07B4AFAE" w14:textId="77777777">
        <w:trPr>
          <w:trHeight w:val="60"/>
        </w:trPr>
        <w:tc>
          <w:tcPr>
            <w:tcW w:w="195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0F26DE"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Commonwealth</w:t>
            </w:r>
          </w:p>
        </w:tc>
        <w:tc>
          <w:tcPr>
            <w:tcW w:w="54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52E8AC"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Commonwealth’s implementing legislation applies only to its jurisdictional territories and to brand owner companies with over 50% government ownership such as Australia Post.</w:t>
            </w:r>
          </w:p>
        </w:tc>
      </w:tr>
      <w:tr w:rsidR="007D495D" w:rsidRPr="007D495D" w14:paraId="776A4F16" w14:textId="77777777">
        <w:trPr>
          <w:trHeight w:val="60"/>
        </w:trPr>
        <w:tc>
          <w:tcPr>
            <w:tcW w:w="195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C46B99"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New South Wales</w:t>
            </w:r>
          </w:p>
        </w:tc>
        <w:tc>
          <w:tcPr>
            <w:tcW w:w="54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609614"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by the </w:t>
            </w:r>
            <w:r w:rsidRPr="007D495D">
              <w:rPr>
                <w:rFonts w:ascii="Times" w:hAnsi="Times" w:cs="Times"/>
                <w:i/>
                <w:iCs/>
                <w:color w:val="000000"/>
                <w:sz w:val="16"/>
                <w:szCs w:val="16"/>
              </w:rPr>
              <w:t>Protection of the Environment Operations (Waste) Regulation 2014. </w:t>
            </w:r>
          </w:p>
        </w:tc>
      </w:tr>
      <w:tr w:rsidR="007D495D" w:rsidRPr="007D495D" w14:paraId="6DAC614D" w14:textId="77777777">
        <w:trPr>
          <w:trHeight w:val="60"/>
        </w:trPr>
        <w:tc>
          <w:tcPr>
            <w:tcW w:w="195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468E652"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Victoria</w:t>
            </w:r>
          </w:p>
        </w:tc>
        <w:tc>
          <w:tcPr>
            <w:tcW w:w="54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7589DDA"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NEPM is implemented by the Waste Management Policy (Used Packaging Materials) 2006, under the</w:t>
            </w:r>
            <w:r w:rsidRPr="007D495D">
              <w:rPr>
                <w:rFonts w:ascii="Times" w:hAnsi="Times" w:cs="Times"/>
                <w:i/>
                <w:iCs/>
                <w:color w:val="000000"/>
                <w:sz w:val="16"/>
                <w:szCs w:val="16"/>
              </w:rPr>
              <w:t xml:space="preserve"> Environment Protection Act 1970.</w:t>
            </w:r>
          </w:p>
        </w:tc>
      </w:tr>
      <w:tr w:rsidR="007D495D" w:rsidRPr="007D495D" w14:paraId="15F9E099" w14:textId="77777777">
        <w:trPr>
          <w:trHeight w:val="60"/>
        </w:trPr>
        <w:tc>
          <w:tcPr>
            <w:tcW w:w="195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1DAE27"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Queensland</w:t>
            </w:r>
          </w:p>
        </w:tc>
        <w:tc>
          <w:tcPr>
            <w:tcW w:w="54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AEC64A"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NEPM is implemented by the</w:t>
            </w:r>
            <w:r w:rsidRPr="007D495D">
              <w:rPr>
                <w:rFonts w:ascii="Times" w:hAnsi="Times" w:cs="Times"/>
                <w:i/>
                <w:iCs/>
                <w:color w:val="000000"/>
                <w:sz w:val="16"/>
                <w:szCs w:val="16"/>
              </w:rPr>
              <w:t xml:space="preserve"> Waste Reduction and Recycling Regulation 2011.</w:t>
            </w:r>
          </w:p>
        </w:tc>
      </w:tr>
      <w:tr w:rsidR="007D495D" w:rsidRPr="007D495D" w14:paraId="0AFDF249" w14:textId="77777777">
        <w:trPr>
          <w:trHeight w:val="60"/>
        </w:trPr>
        <w:tc>
          <w:tcPr>
            <w:tcW w:w="195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2A0DA6"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Western Australia</w:t>
            </w:r>
          </w:p>
        </w:tc>
        <w:tc>
          <w:tcPr>
            <w:tcW w:w="54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5A5866"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implemented by the </w:t>
            </w:r>
            <w:r w:rsidRPr="007D495D">
              <w:rPr>
                <w:rFonts w:ascii="Times" w:hAnsi="Times" w:cs="Times"/>
                <w:i/>
                <w:iCs/>
                <w:color w:val="000000"/>
                <w:sz w:val="16"/>
                <w:szCs w:val="16"/>
              </w:rPr>
              <w:t xml:space="preserve">Environmental Protection (NEPM-UPM) Regulations 2013 </w:t>
            </w:r>
            <w:r w:rsidRPr="007D495D">
              <w:rPr>
                <w:rFonts w:ascii="Times" w:hAnsi="Times" w:cs="Times"/>
                <w:color w:val="000000"/>
                <w:sz w:val="16"/>
                <w:szCs w:val="16"/>
              </w:rPr>
              <w:t>under the</w:t>
            </w:r>
            <w:r w:rsidRPr="007D495D">
              <w:rPr>
                <w:rFonts w:ascii="Times" w:hAnsi="Times" w:cs="Times"/>
                <w:i/>
                <w:iCs/>
                <w:color w:val="000000"/>
                <w:sz w:val="16"/>
                <w:szCs w:val="16"/>
              </w:rPr>
              <w:t xml:space="preserve"> Environmental Protection Act 1986.</w:t>
            </w:r>
          </w:p>
        </w:tc>
      </w:tr>
      <w:tr w:rsidR="007D495D" w:rsidRPr="007D495D" w14:paraId="7D53DC2C" w14:textId="77777777">
        <w:trPr>
          <w:trHeight w:val="60"/>
        </w:trPr>
        <w:tc>
          <w:tcPr>
            <w:tcW w:w="195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449AF5"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lastRenderedPageBreak/>
              <w:t>South Australia</w:t>
            </w:r>
          </w:p>
        </w:tc>
        <w:tc>
          <w:tcPr>
            <w:tcW w:w="54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F98AF0"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 NEPM is legally enforced by the Environment Protection (Used Packaging Materials) Policy 2012 under the</w:t>
            </w:r>
            <w:r w:rsidRPr="007D495D">
              <w:rPr>
                <w:rFonts w:ascii="Times" w:hAnsi="Times" w:cs="Times"/>
                <w:i/>
                <w:iCs/>
                <w:color w:val="000000"/>
                <w:sz w:val="16"/>
                <w:szCs w:val="16"/>
              </w:rPr>
              <w:t xml:space="preserve"> Environment Protection Act 1993.</w:t>
            </w:r>
          </w:p>
        </w:tc>
      </w:tr>
      <w:tr w:rsidR="007D495D" w:rsidRPr="007D495D" w14:paraId="138AC4C4" w14:textId="77777777">
        <w:trPr>
          <w:trHeight w:val="60"/>
        </w:trPr>
        <w:tc>
          <w:tcPr>
            <w:tcW w:w="195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326CAA"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Tasmania</w:t>
            </w:r>
          </w:p>
        </w:tc>
        <w:tc>
          <w:tcPr>
            <w:tcW w:w="54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A7F5FCB"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is a state policy under the </w:t>
            </w:r>
            <w:r w:rsidRPr="007D495D">
              <w:rPr>
                <w:rFonts w:ascii="Times" w:hAnsi="Times" w:cs="Times"/>
                <w:i/>
                <w:iCs/>
                <w:color w:val="000000"/>
                <w:sz w:val="16"/>
                <w:szCs w:val="16"/>
              </w:rPr>
              <w:t xml:space="preserve">State Policies and Projects Act 1993. </w:t>
            </w:r>
          </w:p>
        </w:tc>
      </w:tr>
      <w:tr w:rsidR="007D495D" w:rsidRPr="007D495D" w14:paraId="58065C30" w14:textId="77777777">
        <w:trPr>
          <w:trHeight w:val="60"/>
        </w:trPr>
        <w:tc>
          <w:tcPr>
            <w:tcW w:w="195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DAB5AC2"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c>
          <w:tcPr>
            <w:tcW w:w="54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C5B039"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 xml:space="preserve">The NEPM will be implemented as a code of practice under the </w:t>
            </w:r>
            <w:r w:rsidRPr="007D495D">
              <w:rPr>
                <w:rFonts w:ascii="Times" w:hAnsi="Times" w:cs="Times"/>
                <w:i/>
                <w:iCs/>
                <w:color w:val="000000"/>
                <w:sz w:val="16"/>
                <w:szCs w:val="16"/>
              </w:rPr>
              <w:t>Waste Management and Resource Recovery Act 2016</w:t>
            </w:r>
          </w:p>
        </w:tc>
      </w:tr>
      <w:tr w:rsidR="007D495D" w:rsidRPr="007D495D" w14:paraId="251978A2" w14:textId="77777777">
        <w:trPr>
          <w:trHeight w:val="60"/>
        </w:trPr>
        <w:tc>
          <w:tcPr>
            <w:tcW w:w="195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70B8358" w14:textId="77777777" w:rsidR="007D495D" w:rsidRPr="007D495D" w:rsidRDefault="007D495D"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c>
          <w:tcPr>
            <w:tcW w:w="54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BA7BA4"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An Australian Packaging Covenant Organisation audit has identified businesses based in the NT which are likely to have obligations under the NEPM.</w:t>
            </w:r>
          </w:p>
          <w:p w14:paraId="10263705" w14:textId="77777777" w:rsidR="007D495D" w:rsidRPr="007D495D" w:rsidRDefault="007D495D" w:rsidP="007D495D">
            <w:pPr>
              <w:tabs>
                <w:tab w:val="left" w:pos="170"/>
                <w:tab w:val="left" w:pos="360"/>
              </w:tabs>
              <w:suppressAutoHyphens/>
              <w:autoSpaceDE w:val="0"/>
              <w:autoSpaceDN w:val="0"/>
              <w:adjustRightInd w:val="0"/>
              <w:spacing w:after="113" w:line="288" w:lineRule="auto"/>
              <w:ind w:left="170" w:hanging="170"/>
              <w:textAlignment w:val="center"/>
              <w:rPr>
                <w:rFonts w:ascii="Times" w:hAnsi="Times" w:cs="Times"/>
                <w:color w:val="000000"/>
                <w:sz w:val="16"/>
                <w:szCs w:val="16"/>
              </w:rPr>
            </w:pPr>
            <w:r w:rsidRPr="007D495D">
              <w:rPr>
                <w:rFonts w:ascii="Times" w:hAnsi="Times" w:cs="Times"/>
                <w:color w:val="000000"/>
                <w:sz w:val="16"/>
                <w:szCs w:val="16"/>
              </w:rPr>
              <w:t>•</w:t>
            </w:r>
            <w:r w:rsidRPr="007D495D">
              <w:rPr>
                <w:rFonts w:ascii="Times" w:hAnsi="Times" w:cs="Times"/>
                <w:color w:val="000000"/>
                <w:sz w:val="16"/>
                <w:szCs w:val="16"/>
              </w:rPr>
              <w:tab/>
              <w:t>There is provision under the</w:t>
            </w:r>
            <w:r w:rsidRPr="007D495D">
              <w:rPr>
                <w:rFonts w:ascii="Times" w:hAnsi="Times" w:cs="Times"/>
                <w:i/>
                <w:iCs/>
                <w:color w:val="000000"/>
                <w:sz w:val="16"/>
                <w:szCs w:val="16"/>
              </w:rPr>
              <w:t xml:space="preserve"> Waste Management and Pollution Control Act 1998 to</w:t>
            </w:r>
            <w:r w:rsidRPr="007D495D">
              <w:rPr>
                <w:rFonts w:ascii="Times" w:hAnsi="Times" w:cs="Times"/>
                <w:color w:val="000000"/>
                <w:sz w:val="16"/>
                <w:szCs w:val="16"/>
              </w:rPr>
              <w:t xml:space="preserve"> enforce the NEPM if needed.</w:t>
            </w:r>
          </w:p>
        </w:tc>
      </w:tr>
    </w:tbl>
    <w:p w14:paraId="5D35B312"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702399AB"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Implementation issues arising</w:t>
      </w:r>
    </w:p>
    <w:p w14:paraId="20CB370D"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number of signatories to the Australian Packaging Covenant significantly increased in 2018-19 from the previous reporting year. This increase is a result of the brand owner audit undertaken by APCO in 2018 to identify non-signatory organisations who were not currently meeting their obligations under the NEPM. In total, an additional 558 businesses became signatories to the Covenant in 2018-19 through the brand owner audit process.</w:t>
      </w:r>
    </w:p>
    <w:p w14:paraId="2F0BA000"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Some jurisdictions have initiated a process, including a behaviour change program, to identify free riders and start them reporting on their obligations. No individual issues were reported by </w:t>
      </w:r>
      <w:proofErr w:type="gramStart"/>
      <w:r w:rsidRPr="007D495D">
        <w:rPr>
          <w:rFonts w:ascii="Times" w:hAnsi="Times" w:cs="Times"/>
          <w:color w:val="000000"/>
          <w:sz w:val="16"/>
          <w:szCs w:val="16"/>
        </w:rPr>
        <w:t>jurisdictions</w:t>
      </w:r>
      <w:proofErr w:type="gramEnd"/>
      <w:r w:rsidRPr="007D495D">
        <w:rPr>
          <w:rFonts w:ascii="Times" w:hAnsi="Times" w:cs="Times"/>
          <w:color w:val="000000"/>
          <w:sz w:val="16"/>
          <w:szCs w:val="16"/>
        </w:rPr>
        <w:t xml:space="preserve"> so the summary of issues table has not been included.</w:t>
      </w:r>
    </w:p>
    <w:p w14:paraId="6C05F544"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3—JURISDICTIONAL REPORT ON ACTIVITIES UNDER THE NEPM</w:t>
      </w:r>
    </w:p>
    <w:p w14:paraId="3B9F26AB"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NEPM sets out the information that jurisdictions are required to report on. This information has been provided by jurisdictions in their individual reports listed in Part 5.</w:t>
      </w:r>
    </w:p>
    <w:p w14:paraId="639B366D"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All jurisdictions continued NEPM advice, collaboration, program and compliance activities with the Australian Packaging Covenant Organisation. All jurisdictions also began or maintained their own waste reduction or recycling programs.</w:t>
      </w:r>
    </w:p>
    <w:p w14:paraId="5483D84D"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The NEPM contributes to better environmental outcomes by providing a regulatory safety net for the Australian Packaging Covenant. </w:t>
      </w:r>
    </w:p>
    <w:p w14:paraId="610DE09B" w14:textId="77777777" w:rsidR="007D495D" w:rsidRPr="007D495D" w:rsidRDefault="007D495D" w:rsidP="007D495D">
      <w:pPr>
        <w:keepNext/>
        <w:tabs>
          <w:tab w:val="left" w:pos="426"/>
        </w:tabs>
        <w:suppressAutoHyphens/>
        <w:autoSpaceDE w:val="0"/>
        <w:autoSpaceDN w:val="0"/>
        <w:adjustRightInd w:val="0"/>
        <w:spacing w:before="113" w:line="288" w:lineRule="auto"/>
        <w:textAlignment w:val="center"/>
        <w:rPr>
          <w:rFonts w:ascii="Calibri" w:hAnsi="Calibri" w:cs="Calibri"/>
          <w:i/>
          <w:iCs/>
          <w:color w:val="000000"/>
          <w:sz w:val="18"/>
          <w:szCs w:val="18"/>
        </w:rPr>
      </w:pPr>
      <w:r w:rsidRPr="007D495D">
        <w:rPr>
          <w:rFonts w:ascii="Calibri" w:hAnsi="Calibri" w:cs="Calibri"/>
          <w:i/>
          <w:iCs/>
          <w:color w:val="000000"/>
          <w:sz w:val="18"/>
          <w:szCs w:val="18"/>
        </w:rPr>
        <w:t xml:space="preserve">Table 2: Australian Packaging Covenant signatories </w:t>
      </w:r>
      <w:proofErr w:type="gramStart"/>
      <w:r w:rsidRPr="007D495D">
        <w:rPr>
          <w:rFonts w:ascii="Calibri" w:hAnsi="Calibri" w:cs="Calibri"/>
          <w:i/>
          <w:iCs/>
          <w:color w:val="000000"/>
          <w:sz w:val="18"/>
          <w:szCs w:val="18"/>
        </w:rPr>
        <w:t>at</w:t>
      </w:r>
      <w:proofErr w:type="gramEnd"/>
      <w:r w:rsidRPr="007D495D">
        <w:rPr>
          <w:rFonts w:ascii="Calibri" w:hAnsi="Calibri" w:cs="Calibri"/>
          <w:i/>
          <w:iCs/>
          <w:color w:val="000000"/>
          <w:sz w:val="18"/>
          <w:szCs w:val="18"/>
        </w:rPr>
        <w:t xml:space="preserve"> 30 June 2019.</w:t>
      </w:r>
    </w:p>
    <w:tbl>
      <w:tblPr>
        <w:tblW w:w="0" w:type="auto"/>
        <w:tblInd w:w="-5" w:type="dxa"/>
        <w:tblLayout w:type="fixed"/>
        <w:tblCellMar>
          <w:left w:w="0" w:type="dxa"/>
          <w:right w:w="0" w:type="dxa"/>
        </w:tblCellMar>
        <w:tblLook w:val="0000" w:firstRow="0" w:lastRow="0" w:firstColumn="0" w:lastColumn="0" w:noHBand="0" w:noVBand="0"/>
      </w:tblPr>
      <w:tblGrid>
        <w:gridCol w:w="3703"/>
        <w:gridCol w:w="3704"/>
      </w:tblGrid>
      <w:tr w:rsidR="007D495D" w:rsidRPr="007D495D" w14:paraId="4EB113B7" w14:textId="77777777">
        <w:trPr>
          <w:trHeight w:hRule="exact" w:val="90"/>
          <w:tblHeader/>
        </w:trPr>
        <w:tc>
          <w:tcPr>
            <w:tcW w:w="3703" w:type="dxa"/>
            <w:tcBorders>
              <w:top w:val="single" w:sz="4" w:space="0" w:color="FFFFFF"/>
              <w:left w:val="single" w:sz="4" w:space="0" w:color="FFFFFF"/>
              <w:bottom w:val="single" w:sz="4" w:space="0" w:color="FFFFFF"/>
              <w:right w:val="single" w:sz="4" w:space="0" w:color="FFFFFF"/>
            </w:tcBorders>
            <w:tcMar>
              <w:top w:w="85" w:type="dxa"/>
              <w:left w:w="85" w:type="dxa"/>
              <w:bottom w:w="85" w:type="dxa"/>
              <w:right w:w="85" w:type="dxa"/>
            </w:tcMar>
            <w:vAlign w:val="center"/>
          </w:tcPr>
          <w:p w14:paraId="6C6E83F5" w14:textId="77777777" w:rsidR="007D495D" w:rsidRPr="007D495D" w:rsidRDefault="007D495D" w:rsidP="007D495D">
            <w:pPr>
              <w:autoSpaceDE w:val="0"/>
              <w:autoSpaceDN w:val="0"/>
              <w:adjustRightInd w:val="0"/>
              <w:rPr>
                <w:rFonts w:ascii="Calibri Light" w:hAnsi="Calibri Light" w:cs="Calibri Light"/>
                <w:lang w:val="en-GB"/>
              </w:rPr>
            </w:pPr>
          </w:p>
        </w:tc>
        <w:tc>
          <w:tcPr>
            <w:tcW w:w="3704" w:type="dxa"/>
            <w:tcBorders>
              <w:top w:val="single" w:sz="4" w:space="0" w:color="FFFFFF"/>
              <w:left w:val="single" w:sz="4" w:space="0" w:color="FFFFFF"/>
              <w:bottom w:val="single" w:sz="4" w:space="0" w:color="FFFFFF"/>
              <w:right w:val="single" w:sz="4" w:space="0" w:color="FFFFFF"/>
            </w:tcBorders>
            <w:tcMar>
              <w:top w:w="85" w:type="dxa"/>
              <w:left w:w="85" w:type="dxa"/>
              <w:bottom w:w="85" w:type="dxa"/>
              <w:right w:w="85" w:type="dxa"/>
            </w:tcMar>
            <w:vAlign w:val="center"/>
          </w:tcPr>
          <w:p w14:paraId="66C92C30" w14:textId="77777777" w:rsidR="007D495D" w:rsidRPr="007D495D" w:rsidRDefault="007D495D" w:rsidP="007D495D">
            <w:pPr>
              <w:autoSpaceDE w:val="0"/>
              <w:autoSpaceDN w:val="0"/>
              <w:adjustRightInd w:val="0"/>
              <w:rPr>
                <w:rFonts w:ascii="Calibri Light" w:hAnsi="Calibri Light" w:cs="Calibri Light"/>
                <w:lang w:val="en-GB"/>
              </w:rPr>
            </w:pPr>
          </w:p>
        </w:tc>
      </w:tr>
      <w:tr w:rsidR="007D495D" w:rsidRPr="007D495D" w14:paraId="2452D9B9"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4E2AFE"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ACT</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3D45879"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9</w:t>
            </w:r>
          </w:p>
        </w:tc>
      </w:tr>
      <w:tr w:rsidR="007D495D" w:rsidRPr="007D495D" w14:paraId="5FAA5805"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7757CA"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NT</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6FA219"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1</w:t>
            </w:r>
          </w:p>
        </w:tc>
      </w:tr>
      <w:tr w:rsidR="007D495D" w:rsidRPr="007D495D" w14:paraId="06C9616C"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4FFA7D6"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NSW</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D6856B"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607</w:t>
            </w:r>
          </w:p>
        </w:tc>
      </w:tr>
      <w:tr w:rsidR="007D495D" w:rsidRPr="007D495D" w14:paraId="19A0F3BC"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6AB0FF9"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QLD</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90B5F3"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121</w:t>
            </w:r>
          </w:p>
        </w:tc>
      </w:tr>
      <w:tr w:rsidR="007D495D" w:rsidRPr="007D495D" w14:paraId="44E31625"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B33F93"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SA</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D9AC0CB"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79</w:t>
            </w:r>
          </w:p>
        </w:tc>
      </w:tr>
      <w:tr w:rsidR="007D495D" w:rsidRPr="007D495D" w14:paraId="067CC458"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6D56095"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TAS</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E7177C"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21</w:t>
            </w:r>
          </w:p>
        </w:tc>
      </w:tr>
      <w:tr w:rsidR="007D495D" w:rsidRPr="007D495D" w14:paraId="0A60561C"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B8524B4"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VIC</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DE0B32"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519</w:t>
            </w:r>
          </w:p>
        </w:tc>
      </w:tr>
      <w:tr w:rsidR="007D495D" w:rsidRPr="007D495D" w14:paraId="6846F42F"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CD41497"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WA</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26A2F8"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105</w:t>
            </w:r>
          </w:p>
        </w:tc>
      </w:tr>
      <w:tr w:rsidR="007D495D" w:rsidRPr="007D495D" w14:paraId="3078557E"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12A517"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TOTAL</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7541A0E" w14:textId="77777777" w:rsidR="007D495D" w:rsidRPr="007D495D" w:rsidRDefault="007D495D" w:rsidP="007D495D">
            <w:pPr>
              <w:suppressAutoHyphens/>
              <w:autoSpaceDE w:val="0"/>
              <w:autoSpaceDN w:val="0"/>
              <w:adjustRightInd w:val="0"/>
              <w:spacing w:after="113" w:line="180" w:lineRule="atLeast"/>
              <w:jc w:val="center"/>
              <w:textAlignment w:val="center"/>
              <w:rPr>
                <w:rFonts w:ascii="Times" w:hAnsi="Times" w:cs="Times"/>
                <w:color w:val="000000"/>
                <w:sz w:val="16"/>
                <w:szCs w:val="16"/>
              </w:rPr>
            </w:pPr>
            <w:r w:rsidRPr="007D495D">
              <w:rPr>
                <w:rFonts w:ascii="Times" w:hAnsi="Times" w:cs="Times"/>
                <w:color w:val="000000"/>
                <w:sz w:val="16"/>
                <w:szCs w:val="16"/>
              </w:rPr>
              <w:t>1462</w:t>
            </w:r>
          </w:p>
        </w:tc>
      </w:tr>
    </w:tbl>
    <w:p w14:paraId="1374846A"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78088E7A" w14:textId="77777777" w:rsidR="007D495D" w:rsidRPr="007D495D" w:rsidRDefault="007D495D" w:rsidP="00571FD8">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lastRenderedPageBreak/>
        <w:t>Kerbside recycling</w:t>
      </w:r>
    </w:p>
    <w:p w14:paraId="7B4ED275" w14:textId="77777777" w:rsidR="007D495D" w:rsidRPr="007D495D" w:rsidRDefault="007D495D" w:rsidP="00571FD8">
      <w:pPr>
        <w:keepNext/>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Local government authorities have continued to collect data on the composition of kerbside recycling waste streams. The amount and type of data collected in each jurisdiction varies and, therefore, no direct comparison between jurisdictions can be made.</w:t>
      </w:r>
    </w:p>
    <w:p w14:paraId="19ECC153" w14:textId="77777777" w:rsidR="007D495D" w:rsidRPr="007D495D" w:rsidRDefault="007D495D" w:rsidP="00571FD8">
      <w:pPr>
        <w:keepNext/>
        <w:suppressAutoHyphens/>
        <w:autoSpaceDE w:val="0"/>
        <w:autoSpaceDN w:val="0"/>
        <w:adjustRightInd w:val="0"/>
        <w:spacing w:after="57" w:line="288" w:lineRule="auto"/>
        <w:textAlignment w:val="center"/>
        <w:rPr>
          <w:rFonts w:ascii="Times" w:hAnsi="Times" w:cs="Times"/>
          <w:color w:val="000000"/>
          <w:sz w:val="16"/>
          <w:szCs w:val="16"/>
        </w:rPr>
      </w:pPr>
      <w:r w:rsidRPr="007D495D">
        <w:rPr>
          <w:rFonts w:ascii="Times" w:hAnsi="Times" w:cs="Times"/>
          <w:color w:val="000000"/>
          <w:sz w:val="16"/>
          <w:szCs w:val="16"/>
        </w:rPr>
        <w:t>Further information is available in jurisdictional reports as listed in Appendix 7.</w:t>
      </w:r>
    </w:p>
    <w:p w14:paraId="2AC15982" w14:textId="77777777" w:rsidR="007D495D" w:rsidRPr="007D495D" w:rsidRDefault="007D495D" w:rsidP="007D495D">
      <w:pPr>
        <w:keepNext/>
        <w:tabs>
          <w:tab w:val="left" w:pos="426"/>
        </w:tabs>
        <w:suppressAutoHyphens/>
        <w:autoSpaceDE w:val="0"/>
        <w:autoSpaceDN w:val="0"/>
        <w:adjustRightInd w:val="0"/>
        <w:spacing w:before="113" w:after="57" w:line="288" w:lineRule="auto"/>
        <w:textAlignment w:val="center"/>
        <w:rPr>
          <w:rFonts w:ascii="Calibri Light" w:hAnsi="Calibri Light" w:cs="Calibri Light"/>
          <w:b/>
          <w:bCs/>
          <w:color w:val="000000"/>
          <w:sz w:val="20"/>
          <w:szCs w:val="20"/>
        </w:rPr>
      </w:pPr>
      <w:r w:rsidRPr="007D495D">
        <w:rPr>
          <w:rFonts w:ascii="Calibri Light" w:hAnsi="Calibri Light" w:cs="Calibri Light"/>
          <w:b/>
          <w:bCs/>
          <w:color w:val="000000"/>
          <w:sz w:val="20"/>
          <w:szCs w:val="20"/>
        </w:rPr>
        <w:t>Complaints, investigations and prosecutions</w:t>
      </w:r>
    </w:p>
    <w:p w14:paraId="56938739"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There were no complaints regarding brand owners or Covenant signatories received in the reporting period, and no investigations or prosecutions were necessary.</w:t>
      </w:r>
    </w:p>
    <w:p w14:paraId="74B77BFB"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17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4—assessment OF NEPM EFFECTIVENESS</w:t>
      </w:r>
    </w:p>
    <w:p w14:paraId="3E1C4A10"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Major reforms to the operation of the APC have been initiated in response to a comprehensive review by the Commonwealth Government. These reforms include changes to APC’s governance structure, funding arrangements and the release of a new covenant. As a result of this structural change, the reporting methodology for the new covenant is evolving and the APC is working to refine the process. </w:t>
      </w:r>
    </w:p>
    <w:p w14:paraId="5E5227A5"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At the end of June 2019, there were 1462 covenant signatories.</w:t>
      </w:r>
    </w:p>
    <w:p w14:paraId="10C7CAFF"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Covenant signatories showed improvement in key performance reporting indicators related to supporting market development for recycled content in packaging and demonstrating innovation in developing and continuing sustainability initiatives.</w:t>
      </w:r>
    </w:p>
    <w:p w14:paraId="5BC35B3F"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 xml:space="preserve">The NEPM remains a less effective mechanism in the Northern Territory as the major contributors to the waste stream are brand-owners not based in the Territory. Only 2 of the 17 NT councils have kerbside recycling. </w:t>
      </w:r>
    </w:p>
    <w:p w14:paraId="70906C15" w14:textId="77777777" w:rsidR="007D495D" w:rsidRPr="007D495D" w:rsidRDefault="007D495D" w:rsidP="007D495D">
      <w:pPr>
        <w:keepNext/>
        <w:pBdr>
          <w:bottom w:val="single" w:sz="4" w:space="5" w:color="000000"/>
        </w:pBdr>
        <w:tabs>
          <w:tab w:val="left" w:pos="426"/>
        </w:tabs>
        <w:suppressAutoHyphens/>
        <w:autoSpaceDE w:val="0"/>
        <w:autoSpaceDN w:val="0"/>
        <w:adjustRightInd w:val="0"/>
        <w:spacing w:before="170" w:after="170" w:line="288" w:lineRule="auto"/>
        <w:textAlignment w:val="center"/>
        <w:rPr>
          <w:rFonts w:ascii="Calibri Light" w:hAnsi="Calibri Light" w:cs="Calibri Light"/>
          <w:caps/>
          <w:color w:val="000000"/>
          <w:sz w:val="20"/>
          <w:szCs w:val="20"/>
        </w:rPr>
      </w:pPr>
      <w:r w:rsidRPr="007D495D">
        <w:rPr>
          <w:rFonts w:ascii="Calibri Light" w:hAnsi="Calibri Light" w:cs="Calibri Light"/>
          <w:caps/>
          <w:color w:val="000000"/>
          <w:sz w:val="20"/>
          <w:szCs w:val="20"/>
        </w:rPr>
        <w:t>Part 5—Reporting on implementation by jurisdictions</w:t>
      </w:r>
    </w:p>
    <w:p w14:paraId="6F8F468E"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r w:rsidRPr="007D495D">
        <w:rPr>
          <w:rFonts w:ascii="Times" w:hAnsi="Times" w:cs="Times"/>
          <w:color w:val="000000"/>
          <w:sz w:val="16"/>
          <w:szCs w:val="16"/>
        </w:rPr>
        <w:t>The annexes to this report are in Appendix 7:</w:t>
      </w:r>
    </w:p>
    <w:tbl>
      <w:tblPr>
        <w:tblW w:w="0" w:type="auto"/>
        <w:tblInd w:w="-5" w:type="dxa"/>
        <w:tblLayout w:type="fixed"/>
        <w:tblCellMar>
          <w:left w:w="0" w:type="dxa"/>
          <w:right w:w="0" w:type="dxa"/>
        </w:tblCellMar>
        <w:tblLook w:val="0000" w:firstRow="0" w:lastRow="0" w:firstColumn="0" w:lastColumn="0" w:noHBand="0" w:noVBand="0"/>
      </w:tblPr>
      <w:tblGrid>
        <w:gridCol w:w="1242"/>
        <w:gridCol w:w="4890"/>
      </w:tblGrid>
      <w:tr w:rsidR="008F19D2" w:rsidRPr="007D495D" w14:paraId="01DDB234" w14:textId="77777777" w:rsidTr="00571FD8">
        <w:trPr>
          <w:trHeight w:val="60"/>
        </w:trPr>
        <w:tc>
          <w:tcPr>
            <w:tcW w:w="1242" w:type="dxa"/>
            <w:tcBorders>
              <w:top w:val="single" w:sz="6" w:space="0" w:color="auto"/>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3DF8D3"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1:</w:t>
            </w:r>
          </w:p>
        </w:tc>
        <w:tc>
          <w:tcPr>
            <w:tcW w:w="4890" w:type="dxa"/>
            <w:tcBorders>
              <w:top w:val="single" w:sz="6" w:space="0" w:color="auto"/>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7F8819"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Commonwealth</w:t>
            </w:r>
          </w:p>
        </w:tc>
      </w:tr>
      <w:tr w:rsidR="008F19D2" w:rsidRPr="007D495D" w14:paraId="33C49A5D"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0A2718"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2:</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8A9205"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New South Wales</w:t>
            </w:r>
          </w:p>
        </w:tc>
      </w:tr>
      <w:tr w:rsidR="008F19D2" w:rsidRPr="007D495D" w14:paraId="1FBF6746"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62A48D"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3:</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4F62A2"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Victoria</w:t>
            </w:r>
          </w:p>
        </w:tc>
      </w:tr>
      <w:tr w:rsidR="008F19D2" w:rsidRPr="007D495D" w14:paraId="7313E54A"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E9BEAD"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4:</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44A8F1"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Queensland</w:t>
            </w:r>
          </w:p>
        </w:tc>
      </w:tr>
      <w:tr w:rsidR="008F19D2" w:rsidRPr="007D495D" w14:paraId="2F40D321"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502A30"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5:</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76F5943"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Western Australia</w:t>
            </w:r>
          </w:p>
        </w:tc>
      </w:tr>
      <w:tr w:rsidR="008F19D2" w:rsidRPr="007D495D" w14:paraId="5B565D0A"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F0566D"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6:</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33091B3"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South Australia</w:t>
            </w:r>
          </w:p>
        </w:tc>
      </w:tr>
      <w:tr w:rsidR="008F19D2" w:rsidRPr="007D495D" w14:paraId="2025B1AE"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3C40AC"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7:</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189B982"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Tasmania</w:t>
            </w:r>
          </w:p>
        </w:tc>
      </w:tr>
      <w:tr w:rsidR="008F19D2" w:rsidRPr="007D495D" w14:paraId="6BAF9057"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1E2C30"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8:</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920E51"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Australian Capital Territory</w:t>
            </w:r>
          </w:p>
        </w:tc>
      </w:tr>
      <w:tr w:rsidR="008F19D2" w:rsidRPr="007D495D" w14:paraId="5F0DD07A" w14:textId="77777777" w:rsidTr="00571FD8">
        <w:trPr>
          <w:trHeight w:val="60"/>
        </w:trPr>
        <w:tc>
          <w:tcPr>
            <w:tcW w:w="12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414B0C"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Annex 9:</w:t>
            </w:r>
          </w:p>
        </w:tc>
        <w:tc>
          <w:tcPr>
            <w:tcW w:w="48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E8E57F" w14:textId="77777777" w:rsidR="008F19D2" w:rsidRPr="007D495D" w:rsidRDefault="008F19D2" w:rsidP="007D495D">
            <w:pPr>
              <w:suppressAutoHyphens/>
              <w:autoSpaceDE w:val="0"/>
              <w:autoSpaceDN w:val="0"/>
              <w:adjustRightInd w:val="0"/>
              <w:spacing w:after="113" w:line="180" w:lineRule="atLeast"/>
              <w:textAlignment w:val="center"/>
              <w:rPr>
                <w:rFonts w:ascii="Times" w:hAnsi="Times" w:cs="Times"/>
                <w:color w:val="000000"/>
                <w:sz w:val="16"/>
                <w:szCs w:val="16"/>
              </w:rPr>
            </w:pPr>
            <w:r w:rsidRPr="007D495D">
              <w:rPr>
                <w:rFonts w:ascii="Times" w:hAnsi="Times" w:cs="Times"/>
                <w:color w:val="000000"/>
                <w:sz w:val="16"/>
                <w:szCs w:val="16"/>
              </w:rPr>
              <w:t>Northern Territory</w:t>
            </w:r>
          </w:p>
        </w:tc>
      </w:tr>
    </w:tbl>
    <w:p w14:paraId="3003CE69"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1D124FD0" w14:textId="1609D911" w:rsidR="00EB6564" w:rsidRDefault="00EB6564">
      <w:pPr>
        <w:rPr>
          <w:rFonts w:ascii="Times" w:hAnsi="Times" w:cs="Times"/>
          <w:color w:val="000000"/>
          <w:sz w:val="16"/>
          <w:szCs w:val="16"/>
        </w:rPr>
      </w:pPr>
      <w:r>
        <w:rPr>
          <w:rFonts w:ascii="Times" w:hAnsi="Times" w:cs="Times"/>
          <w:color w:val="000000"/>
          <w:sz w:val="16"/>
          <w:szCs w:val="16"/>
        </w:rPr>
        <w:br w:type="page"/>
      </w:r>
    </w:p>
    <w:p w14:paraId="4B5BA810" w14:textId="77777777" w:rsidR="00EB6564" w:rsidRPr="00430022" w:rsidRDefault="00EB6564" w:rsidP="00430022">
      <w:pPr>
        <w:pStyle w:val="Heading1"/>
      </w:pPr>
      <w:bookmarkStart w:id="14" w:name="_Toc58254368"/>
      <w:r w:rsidRPr="00430022">
        <w:lastRenderedPageBreak/>
        <w:t>Appendix 1:  Jurisdictional reports on the implementation and effectiveness of the Air Toxics National Environment Protection Measure</w:t>
      </w:r>
      <w:bookmarkEnd w:id="14"/>
    </w:p>
    <w:p w14:paraId="164B55E4" w14:textId="77777777" w:rsidR="00EB6564" w:rsidRPr="009408AB" w:rsidRDefault="00EB6564" w:rsidP="00CB0DA6">
      <w:pPr>
        <w:pStyle w:val="Heading2"/>
      </w:pPr>
      <w:bookmarkStart w:id="15" w:name="_Toc58254369"/>
      <w:r w:rsidRPr="009408AB">
        <w:t>Commonwealth</w:t>
      </w:r>
      <w:bookmarkEnd w:id="15"/>
    </w:p>
    <w:p w14:paraId="632ACAC4" w14:textId="77777777" w:rsidR="00EB6564" w:rsidRDefault="00EB6564" w:rsidP="00EB6564">
      <w:pPr>
        <w:pStyle w:val="05BODYTEXT"/>
        <w:rPr>
          <w:rStyle w:val="Hyperlink"/>
        </w:rPr>
      </w:pPr>
      <w:r>
        <w:rPr>
          <w:rStyle w:val="ITALIC"/>
        </w:rPr>
        <w:t xml:space="preserve">Report to the NEPC on the implementation of the National Environment Protection (Air Toxics) Measure for the Commonwealth by the Hon </w:t>
      </w:r>
      <w:proofErr w:type="spellStart"/>
      <w:r>
        <w:rPr>
          <w:rStyle w:val="ITALIC"/>
        </w:rPr>
        <w:t>Sussan</w:t>
      </w:r>
      <w:proofErr w:type="spellEnd"/>
      <w:r>
        <w:rPr>
          <w:rStyle w:val="ITALIC"/>
        </w:rPr>
        <w:t xml:space="preserve"> Ley MP, Minister for the Environment for the reporting year ended 30 June 2019. </w:t>
      </w:r>
    </w:p>
    <w:p w14:paraId="7BB1B138" w14:textId="77777777" w:rsidR="00EB6564" w:rsidRDefault="00EB6564" w:rsidP="00EB6564">
      <w:pPr>
        <w:pStyle w:val="02HEADING2"/>
      </w:pPr>
      <w:r>
        <w:t>PART 1—Implementation of the NEPM and any significant issues</w:t>
      </w:r>
    </w:p>
    <w:p w14:paraId="6AE8A063" w14:textId="77777777" w:rsidR="00EB6564" w:rsidRDefault="00EB6564" w:rsidP="00EB6564">
      <w:pPr>
        <w:pStyle w:val="05BODYTEXT"/>
      </w:pPr>
      <w:r>
        <w:t xml:space="preserve">The National Environment Protection (Air Toxics) Measure (Air Toxics NEPM) provides a nationally consistent framework for the monitoring and reporting of specified air toxics in a range of locations in Australia. It stipulates methods and criteria for monitoring ambient concentrations of air toxics in areas close to sites where those air toxics are known to be emitted. </w:t>
      </w:r>
    </w:p>
    <w:p w14:paraId="795DD74B" w14:textId="77777777" w:rsidR="00EB6564" w:rsidRDefault="00EB6564" w:rsidP="00EB6564">
      <w:pPr>
        <w:pStyle w:val="02HEADING2"/>
      </w:pPr>
      <w:r>
        <w:t>PART 2—Assessment of NEPM effectiveness</w:t>
      </w:r>
    </w:p>
    <w:p w14:paraId="201956A7" w14:textId="77777777" w:rsidR="00EB6564" w:rsidRDefault="00EB6564" w:rsidP="00EB6564">
      <w:pPr>
        <w:pStyle w:val="05BODYTEXT"/>
      </w:pPr>
      <w:r>
        <w:t>The Air Toxics NEPM provides a framework for assessing the ambient levels of specified air toxics in a range of locations and improving the information base regarding these air toxics in Australia. This is primarily achieved through state and territory agencies’ monitoring and reporting of data.</w:t>
      </w:r>
    </w:p>
    <w:p w14:paraId="071E08A2" w14:textId="77777777" w:rsidR="00EB6564" w:rsidRDefault="00EB6564" w:rsidP="00EB6564">
      <w:pPr>
        <w:pStyle w:val="05BODYTEXT"/>
      </w:pPr>
      <w:r>
        <w:t xml:space="preserve">In April 2018, Australian Environment Ministers endorsed a work plan under the National Clean Air Agreement, which included a review of the need for the Air Toxics NEPM. In 2018 – 19 the Commonwealth undertook a survey of jurisdictional needs for and activity under this NEPM, the results of which will inform future work to review this NEPM. Responses from jurisdictions indicated that while the Air Toxics NEPM does fulfil a useful role, its ability to adequately address air toxics in Australia could be improved. </w:t>
      </w:r>
    </w:p>
    <w:p w14:paraId="263DD8AA" w14:textId="77777777" w:rsidR="00EB6564" w:rsidRDefault="00EB6564" w:rsidP="00EB6564">
      <w:pPr>
        <w:pStyle w:val="05BODYTEXT"/>
      </w:pPr>
      <w:r>
        <w:t xml:space="preserve">Any potential changes to this NEPM would need to consider outcomes from the review of the </w:t>
      </w:r>
      <w:r>
        <w:rPr>
          <w:rStyle w:val="ITALIC"/>
        </w:rPr>
        <w:t>National Environment Protection Council Act 1994</w:t>
      </w:r>
      <w:r>
        <w:t>.</w:t>
      </w:r>
    </w:p>
    <w:p w14:paraId="3FFBDD16" w14:textId="77777777" w:rsidR="00EB6564" w:rsidRPr="009408AB" w:rsidRDefault="00EB6564" w:rsidP="00CB0DA6">
      <w:pPr>
        <w:pStyle w:val="Heading2"/>
      </w:pPr>
      <w:bookmarkStart w:id="16" w:name="_Toc58254370"/>
      <w:r w:rsidRPr="009408AB">
        <w:t>New South Wales</w:t>
      </w:r>
      <w:bookmarkEnd w:id="16"/>
    </w:p>
    <w:p w14:paraId="3C5D5AC0" w14:textId="77777777" w:rsidR="00EB6564" w:rsidRDefault="00EB6564" w:rsidP="00EB6564">
      <w:pPr>
        <w:pStyle w:val="05BODYTEXT"/>
        <w:rPr>
          <w:rStyle w:val="ITALIC"/>
        </w:rPr>
      </w:pPr>
      <w:r>
        <w:rPr>
          <w:rStyle w:val="ITALIC"/>
        </w:rPr>
        <w:t>Report to the NEPC on the implementation of the National Environment Protection (Air Toxics) Measure for New South Wales by the Hon. Matt Kean MP, Minister for Energy and Environment, for the reporting year ended 30 June 2019.</w:t>
      </w:r>
    </w:p>
    <w:p w14:paraId="646F55B5" w14:textId="77777777" w:rsidR="00EB6564" w:rsidRDefault="00EB6564" w:rsidP="00EB6564">
      <w:pPr>
        <w:pStyle w:val="02HEADING2"/>
      </w:pPr>
      <w:r>
        <w:t>Part 1—Implementation of the NEPM and any significant issues</w:t>
      </w:r>
    </w:p>
    <w:p w14:paraId="1E37F86B" w14:textId="77777777" w:rsidR="00EB6564" w:rsidRDefault="00EB6564" w:rsidP="00EB6564">
      <w:pPr>
        <w:pStyle w:val="03HEADING3"/>
      </w:pPr>
      <w:r>
        <w:t>Legislative, regulatory and administrative framework</w:t>
      </w:r>
    </w:p>
    <w:p w14:paraId="6441D76B" w14:textId="77777777" w:rsidR="00EB6564" w:rsidRDefault="00EB6564" w:rsidP="00EB6564">
      <w:pPr>
        <w:pStyle w:val="05BODYTEXT"/>
      </w:pPr>
      <w:r>
        <w:t>The implementation of the National Environment Protection (Air Toxics) Measure (NEPM) in NSW is coordinated by the Environment Protection Authority and the Department of Planning, Industry and Environment. Under Part 3, Clause 8 of the NEPM, the identification of Stage 1 and Stage 2 sites for monitoring of air toxics was required within 12 months of NEPM commencement in 2004. NSW completed the desktop analysis and reported the results in the implementation report for the reporting year ended 30 June 2005.</w:t>
      </w:r>
    </w:p>
    <w:p w14:paraId="4CF206B3" w14:textId="77777777" w:rsidR="00EB6564" w:rsidRDefault="00EB6564" w:rsidP="00EB6564">
      <w:pPr>
        <w:pStyle w:val="05BODYTEXT"/>
      </w:pPr>
      <w:r>
        <w:t>Under Part 3, Clause 9 of the NEPM, monitoring of air toxics is required at Stage 2 sites (</w:t>
      </w:r>
      <w:proofErr w:type="gramStart"/>
      <w:r>
        <w:t>i.e.</w:t>
      </w:r>
      <w:proofErr w:type="gramEnd"/>
      <w:r>
        <w:t xml:space="preserve"> sites prioritised for monitoring based on the potential for significant population exposure). NSW conducted ambient monitoring for the five NEPM air toxics at two Stage 2 sites in the Sydney metropolitan area using a 1-day-in-6 cycle for a full year from October 2008 to October 2009 and reported the results in the implementation report for the reporting year ended 30 June 2010.</w:t>
      </w:r>
    </w:p>
    <w:p w14:paraId="7BF7F144" w14:textId="77777777" w:rsidR="00EB6564" w:rsidRDefault="00EB6564" w:rsidP="00EB6564">
      <w:pPr>
        <w:pStyle w:val="05BODYTEXT"/>
      </w:pPr>
      <w:r>
        <w:t xml:space="preserve">The </w:t>
      </w:r>
      <w:r>
        <w:rPr>
          <w:rStyle w:val="ITALIC"/>
        </w:rPr>
        <w:t>Protection of the Environment Operations Act 1997</w:t>
      </w:r>
      <w:r>
        <w:t xml:space="preserve">, the </w:t>
      </w:r>
      <w:r>
        <w:rPr>
          <w:rStyle w:val="ITALIC"/>
        </w:rPr>
        <w:t>Protection of the Environment Operations (Clean Air) Regulation 2010</w:t>
      </w:r>
      <w:r>
        <w:t xml:space="preserve"> and the </w:t>
      </w:r>
      <w:r>
        <w:rPr>
          <w:rStyle w:val="ITALIC"/>
        </w:rPr>
        <w:t>Protection of the Environment Operations (General) Regulation 2009</w:t>
      </w:r>
      <w:r>
        <w:t xml:space="preserve">, provide the regulatory framework for action to address air emissions including managing air toxics in New South Wales. </w:t>
      </w:r>
    </w:p>
    <w:p w14:paraId="71EFC1A6" w14:textId="77777777" w:rsidR="00EB6564" w:rsidRDefault="00EB6564" w:rsidP="00EB6564">
      <w:pPr>
        <w:pStyle w:val="02HEADING2"/>
      </w:pPr>
      <w:r>
        <w:t>Part 2—Assessment of NEPM effectiveness</w:t>
      </w:r>
    </w:p>
    <w:p w14:paraId="15E4F891" w14:textId="77777777" w:rsidR="00EB6564" w:rsidRDefault="00EB6564" w:rsidP="00EB6564">
      <w:pPr>
        <w:pStyle w:val="05BODYTEXT"/>
      </w:pPr>
      <w:r>
        <w:t>NSW has achieved the NEPM goal to estimate human exposure to the five NEPM air toxics using a consistent national framework, by conducting ambient monitoring at two Stage 2 monitoring sites in the Sydney metropolitan area in 2008 and 2009. The monitoring demonstrated that the five NEPM air toxics were well below the NEPM monitoring investigation levels that would trigger the NEPM requirement for ongoing ambient air toxics monitoring and no further monitoring has been required.</w:t>
      </w:r>
    </w:p>
    <w:p w14:paraId="0C207E83" w14:textId="77777777" w:rsidR="00EB6564" w:rsidRDefault="00EB6564" w:rsidP="00EB6564">
      <w:pPr>
        <w:pStyle w:val="03HEADING3"/>
      </w:pPr>
      <w:r>
        <w:lastRenderedPageBreak/>
        <w:t>Reporting of monitoring of air toxics</w:t>
      </w:r>
    </w:p>
    <w:p w14:paraId="55A22508" w14:textId="77777777" w:rsidR="00EB6564" w:rsidRDefault="00EB6564" w:rsidP="00EB6564">
      <w:pPr>
        <w:pStyle w:val="05BODYTEXT"/>
      </w:pPr>
      <w:r>
        <w:t xml:space="preserve">NSW data collection commenced in October 2008 and concluded in October 2009. </w:t>
      </w:r>
    </w:p>
    <w:p w14:paraId="48737BA6" w14:textId="77777777" w:rsidR="00EB6564" w:rsidRDefault="00EB6564" w:rsidP="00EB6564">
      <w:pPr>
        <w:pStyle w:val="05BODYTEXT"/>
      </w:pPr>
      <w:r>
        <w:t xml:space="preserve">The </w:t>
      </w:r>
      <w:proofErr w:type="spellStart"/>
      <w:r>
        <w:t>Turella</w:t>
      </w:r>
      <w:proofErr w:type="spellEnd"/>
      <w:r>
        <w:t xml:space="preserve"> site collected data </w:t>
      </w:r>
      <w:proofErr w:type="gramStart"/>
      <w:r>
        <w:t>on:</w:t>
      </w:r>
      <w:proofErr w:type="gramEnd"/>
      <w:r>
        <w:t xml:space="preserve"> formaldehyde and acetaldehyde; 19 polycyclic aromatic hydrocarbons including benzo(a)pyrene; and 41 volatile organic compounds including benzene, toluene and xylenes.</w:t>
      </w:r>
    </w:p>
    <w:p w14:paraId="115B5DAF" w14:textId="77777777" w:rsidR="00EB6564" w:rsidRDefault="00EB6564" w:rsidP="00EB6564">
      <w:pPr>
        <w:pStyle w:val="05BODYTEXT"/>
      </w:pPr>
      <w:r>
        <w:t xml:space="preserve">The Rozelle site collected data </w:t>
      </w:r>
      <w:proofErr w:type="gramStart"/>
      <w:r>
        <w:t>on:</w:t>
      </w:r>
      <w:proofErr w:type="gramEnd"/>
      <w:r>
        <w:t xml:space="preserve"> formaldehyde and acetaldehyde; and 41 volatile organic compounds including benzene, toluene and xylenes. </w:t>
      </w:r>
    </w:p>
    <w:p w14:paraId="7925B5E6" w14:textId="77777777" w:rsidR="00EB6564" w:rsidRDefault="00EB6564" w:rsidP="00EB6564">
      <w:pPr>
        <w:pStyle w:val="05BODYTEXT"/>
      </w:pPr>
      <w:r>
        <w:t>NEPM-compliant sampling and analysis methods were used.</w:t>
      </w:r>
    </w:p>
    <w:p w14:paraId="36C022A7" w14:textId="77777777" w:rsidR="00EB6564" w:rsidRDefault="00EB6564" w:rsidP="00EB6564">
      <w:pPr>
        <w:pStyle w:val="05BODYTEXT"/>
      </w:pPr>
      <w:r>
        <w:t>Tables 1 to 5 of the NSW implementation report for the reporting year ended 30 June 2010 and reproduced below, summarise the monitoring results for the five air toxics – benzene, benzo(a)pyrene as a marker for polycyclic aromatic hydrocarbons, formaldehyde, toluene and xylenes.</w:t>
      </w:r>
    </w:p>
    <w:p w14:paraId="03FE424E" w14:textId="77777777" w:rsidR="00EB6564" w:rsidRDefault="00EB6564" w:rsidP="00EB6564">
      <w:pPr>
        <w:pStyle w:val="05BODYTEXT"/>
      </w:pPr>
      <w:r>
        <w:t>The results clearly showed levels of air toxics were below the monitoring investigation levels. There were no occasions on which any of the air toxics monitored exceeded the monitoring investigation levels at any location. The most significant results were for benzo(a)pyrene, with levels of approximately 65 per cent of the NEPM monitoring investigation level.</w:t>
      </w:r>
    </w:p>
    <w:p w14:paraId="3000853A" w14:textId="77777777" w:rsidR="00EB6564" w:rsidRDefault="00EB6564" w:rsidP="00EB6564">
      <w:pPr>
        <w:pStyle w:val="03HEADING3"/>
      </w:pPr>
      <w:r>
        <w:t>Results of NSW Air Toxics Monitoring 2008-2009</w:t>
      </w:r>
    </w:p>
    <w:p w14:paraId="1F03DF35" w14:textId="2A7073DC" w:rsidR="00EB6564" w:rsidRDefault="00EB6564" w:rsidP="00EB6564">
      <w:pPr>
        <w:pStyle w:val="05BODYTEXT"/>
      </w:pPr>
      <w:r>
        <w:t xml:space="preserve">Tables 1 - 5: Monitoring results for benzene, benzo(a)pyrene as a marker for polycyclic aromatic hydrocarbons, formaldehyde, toluene and xylenes 2008-2009. Reproduced from the NSW report to the National Environment Protection Council (NEPC) on the implementation of the National Environment Protection (Air Toxics) Measure, for the reporting year ended 30 June 2010 </w:t>
      </w:r>
      <w:hyperlink r:id="rId16" w:history="1">
        <w:r w:rsidRPr="00CC4679">
          <w:rPr>
            <w:rStyle w:val="Hyperlink"/>
            <w:color w:val="4472C4" w:themeColor="accent1"/>
            <w:u w:val="single"/>
          </w:rPr>
          <w:t>www.nepc.gov.au/system/files/resources/ee20bb51-e1cd-82b4-559c-699771b152e7/files/nepc-annual-report-09-10.pdf</w:t>
        </w:r>
      </w:hyperlink>
      <w:r>
        <w:t>.</w:t>
      </w:r>
    </w:p>
    <w:p w14:paraId="7296C5A0" w14:textId="77777777" w:rsidR="00EB6564" w:rsidRDefault="00EB6564" w:rsidP="00EB6564">
      <w:pPr>
        <w:pStyle w:val="06TABLEHEADING"/>
      </w:pPr>
      <w:r>
        <w:t>Table 1: Monitoring Results - Benzene</w:t>
      </w:r>
    </w:p>
    <w:tbl>
      <w:tblPr>
        <w:tblW w:w="0" w:type="auto"/>
        <w:tblInd w:w="-5" w:type="dxa"/>
        <w:tblLayout w:type="fixed"/>
        <w:tblCellMar>
          <w:left w:w="0" w:type="dxa"/>
          <w:right w:w="0" w:type="dxa"/>
        </w:tblCellMar>
        <w:tblLook w:val="0000" w:firstRow="0" w:lastRow="0" w:firstColumn="0" w:lastColumn="0" w:noHBand="0" w:noVBand="0"/>
      </w:tblPr>
      <w:tblGrid>
        <w:gridCol w:w="4701"/>
        <w:gridCol w:w="1360"/>
        <w:gridCol w:w="1361"/>
      </w:tblGrid>
      <w:tr w:rsidR="00EB6564" w14:paraId="6AA5917C" w14:textId="77777777" w:rsidTr="00521338">
        <w:trPr>
          <w:trHeight w:val="289"/>
          <w:tblHeader/>
        </w:trPr>
        <w:tc>
          <w:tcPr>
            <w:tcW w:w="470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D286F02" w14:textId="77777777" w:rsidR="00EB6564" w:rsidRDefault="00EB6564">
            <w:pPr>
              <w:pStyle w:val="NoParagraphStyle"/>
              <w:spacing w:line="240" w:lineRule="auto"/>
              <w:textAlignment w:val="auto"/>
              <w:rPr>
                <w:rFonts w:ascii="Calibri" w:hAnsi="Calibri" w:cs="Calibri"/>
                <w:color w:val="auto"/>
              </w:rPr>
            </w:pPr>
          </w:p>
        </w:tc>
        <w:tc>
          <w:tcPr>
            <w:tcW w:w="13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3375826" w14:textId="77777777" w:rsidR="00EB6564" w:rsidRDefault="00EB6564">
            <w:pPr>
              <w:pStyle w:val="06bTABLEHEADERROW"/>
              <w:jc w:val="center"/>
            </w:pPr>
            <w:r>
              <w:t>Rozelle</w:t>
            </w:r>
          </w:p>
        </w:tc>
        <w:tc>
          <w:tcPr>
            <w:tcW w:w="136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D3D7B06" w14:textId="77777777" w:rsidR="00EB6564" w:rsidRDefault="00EB6564">
            <w:pPr>
              <w:pStyle w:val="06bTABLEHEADERROW"/>
              <w:jc w:val="center"/>
            </w:pPr>
            <w:r>
              <w:t>Turrella</w:t>
            </w:r>
          </w:p>
        </w:tc>
      </w:tr>
      <w:tr w:rsidR="00EB6564" w14:paraId="08840277"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CB2912" w14:textId="77777777" w:rsidR="00EB6564" w:rsidRDefault="00EB6564">
            <w:pPr>
              <w:pStyle w:val="06cTABLETEXT"/>
            </w:pPr>
            <w:r>
              <w:t>Air Toxic</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F38E60" w14:textId="77777777" w:rsidR="00EB6564" w:rsidRDefault="00EB6564">
            <w:pPr>
              <w:pStyle w:val="06cTABLETEXT"/>
              <w:jc w:val="center"/>
            </w:pPr>
            <w:r>
              <w:t>Benzene</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A9D603" w14:textId="77777777" w:rsidR="00EB6564" w:rsidRDefault="00EB6564">
            <w:pPr>
              <w:pStyle w:val="06cTABLETEXT"/>
              <w:jc w:val="center"/>
            </w:pPr>
            <w:r>
              <w:t>Benzene</w:t>
            </w:r>
          </w:p>
        </w:tc>
      </w:tr>
      <w:tr w:rsidR="00EB6564" w14:paraId="6C47EC4E"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5F4CBF" w14:textId="77777777" w:rsidR="00EB6564" w:rsidRDefault="00EB6564">
            <w:pPr>
              <w:pStyle w:val="06cTABLETEXT"/>
            </w:pPr>
            <w:r>
              <w:t>Monitoring method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101A19" w14:textId="77777777" w:rsidR="00EB6564" w:rsidRDefault="00EB6564">
            <w:pPr>
              <w:pStyle w:val="06cTABLETEXT"/>
              <w:jc w:val="center"/>
            </w:pPr>
            <w:r>
              <w:t>USEPA TO-15</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C5FB56" w14:textId="77777777" w:rsidR="00EB6564" w:rsidRDefault="00EB6564">
            <w:pPr>
              <w:pStyle w:val="06cTABLETEXT"/>
              <w:jc w:val="center"/>
            </w:pPr>
            <w:r>
              <w:t>USEPA TO-15</w:t>
            </w:r>
          </w:p>
        </w:tc>
      </w:tr>
      <w:tr w:rsidR="00EB6564" w14:paraId="7E516ED6"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4152EA" w14:textId="77777777" w:rsidR="00EB6564" w:rsidRDefault="00EB6564">
            <w:pPr>
              <w:pStyle w:val="06cTABLETEXT"/>
            </w:pPr>
            <w:r>
              <w:t>Period of monitoring</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16A81C" w14:textId="77777777" w:rsidR="00EB6564" w:rsidRDefault="00EB6564">
            <w:pPr>
              <w:pStyle w:val="06cTABLETEXT"/>
              <w:jc w:val="center"/>
            </w:pPr>
            <w:r>
              <w:t>2/10/08 to 8/10/09</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3C107D" w14:textId="77777777" w:rsidR="00EB6564" w:rsidRDefault="00EB6564">
            <w:pPr>
              <w:pStyle w:val="06cTABLETEXT"/>
              <w:jc w:val="center"/>
            </w:pPr>
            <w:r>
              <w:t>2/10/08 to 29/9/09</w:t>
            </w:r>
          </w:p>
        </w:tc>
      </w:tr>
      <w:tr w:rsidR="00EB6564" w14:paraId="757D3AF5"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16095F" w14:textId="77777777" w:rsidR="00EB6564" w:rsidRDefault="00EB6564">
            <w:pPr>
              <w:pStyle w:val="06cTABLETEXT"/>
            </w:pPr>
            <w:r>
              <w:t>Number of valid results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723E48" w14:textId="77777777" w:rsidR="00EB6564" w:rsidRDefault="00EB6564">
            <w:pPr>
              <w:pStyle w:val="06cTABLETEXT"/>
              <w:jc w:val="center"/>
            </w:pPr>
            <w:r>
              <w:t>32</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CC0F8B" w14:textId="77777777" w:rsidR="00EB6564" w:rsidRDefault="00EB6564">
            <w:pPr>
              <w:pStyle w:val="06cTABLETEXT"/>
              <w:jc w:val="center"/>
            </w:pPr>
            <w:r>
              <w:t>36</w:t>
            </w:r>
          </w:p>
        </w:tc>
      </w:tr>
      <w:tr w:rsidR="00EB6564" w14:paraId="16189234"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4BC5C2" w14:textId="77777777" w:rsidR="00EB6564" w:rsidRDefault="00EB6564">
            <w:pPr>
              <w:pStyle w:val="06cTABLETEXT"/>
            </w:pPr>
            <w:r>
              <w:t>Maximum 24-hour average concentration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EE8DF3" w14:textId="77777777" w:rsidR="00EB6564" w:rsidRDefault="00EB6564">
            <w:pPr>
              <w:pStyle w:val="06cTABLETEXT"/>
              <w:jc w:val="center"/>
            </w:pPr>
            <w:r>
              <w:t>0.90 ppb</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C88163" w14:textId="77777777" w:rsidR="00EB6564" w:rsidRDefault="00EB6564">
            <w:pPr>
              <w:pStyle w:val="06cTABLETEXT"/>
              <w:jc w:val="center"/>
            </w:pPr>
            <w:r>
              <w:t>2.00 ppb</w:t>
            </w:r>
          </w:p>
        </w:tc>
      </w:tr>
      <w:tr w:rsidR="00EB6564" w14:paraId="3902B772"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AD8332" w14:textId="77777777" w:rsidR="00EB6564" w:rsidRDefault="00EB6564">
            <w:pPr>
              <w:pStyle w:val="06cTABLETEXT"/>
            </w:pPr>
            <w:r>
              <w:t>Annual average concentration (as arithmetic mean)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68EF8BE" w14:textId="77777777" w:rsidR="00EB6564" w:rsidRDefault="00EB6564">
            <w:pPr>
              <w:pStyle w:val="06cTABLETEXT"/>
              <w:jc w:val="center"/>
            </w:pPr>
            <w:r>
              <w:t>0.26 ppb</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E97A3A" w14:textId="77777777" w:rsidR="00EB6564" w:rsidRDefault="00EB6564">
            <w:pPr>
              <w:pStyle w:val="06cTABLETEXT"/>
              <w:jc w:val="center"/>
            </w:pPr>
            <w:r>
              <w:t>0.38 ppb</w:t>
            </w:r>
          </w:p>
        </w:tc>
      </w:tr>
      <w:tr w:rsidR="00EB6564" w14:paraId="4A07C36C"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84468FB" w14:textId="77777777" w:rsidR="00EB6564" w:rsidRDefault="00EB6564">
            <w:pPr>
              <w:pStyle w:val="06cTABLETEXT"/>
            </w:pPr>
            <w:r>
              <w:t>Arithmetic Standard Deviation of 24-hour average concentrations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7C337C" w14:textId="77777777" w:rsidR="00EB6564" w:rsidRDefault="00EB6564">
            <w:pPr>
              <w:pStyle w:val="06cTABLETEXT"/>
              <w:jc w:val="center"/>
            </w:pPr>
            <w:r>
              <w:t>0.17 ppb</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CFEEC5" w14:textId="77777777" w:rsidR="00EB6564" w:rsidRDefault="00EB6564">
            <w:pPr>
              <w:pStyle w:val="06cTABLETEXT"/>
              <w:jc w:val="center"/>
            </w:pPr>
            <w:r>
              <w:t>0.34 ppb</w:t>
            </w:r>
          </w:p>
        </w:tc>
      </w:tr>
      <w:tr w:rsidR="00EB6564" w14:paraId="21CC780C"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E0E77E" w14:textId="77777777" w:rsidR="00EB6564" w:rsidRDefault="00EB6564">
            <w:pPr>
              <w:pStyle w:val="06cTABLETEXT"/>
            </w:pPr>
            <w:r>
              <w:t>Number of times monitoring investigation level exceeded*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1D9DC6" w14:textId="77777777" w:rsidR="00EB6564" w:rsidRDefault="00EB6564">
            <w:pPr>
              <w:pStyle w:val="06cTABLETEXT"/>
              <w:jc w:val="center"/>
            </w:pPr>
            <w:r>
              <w:t>0</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3A75F8" w14:textId="77777777" w:rsidR="00EB6564" w:rsidRDefault="00EB6564">
            <w:pPr>
              <w:pStyle w:val="06cTABLETEXT"/>
              <w:jc w:val="center"/>
            </w:pPr>
            <w:r>
              <w:t>0</w:t>
            </w:r>
          </w:p>
        </w:tc>
      </w:tr>
    </w:tbl>
    <w:p w14:paraId="1F8F3A56" w14:textId="77777777" w:rsidR="00EB6564" w:rsidRDefault="00EB6564" w:rsidP="00EB6564">
      <w:pPr>
        <w:pStyle w:val="05BODYTEXT"/>
        <w:rPr>
          <w:sz w:val="18"/>
          <w:szCs w:val="18"/>
        </w:rPr>
      </w:pPr>
      <w:r>
        <w:rPr>
          <w:sz w:val="18"/>
          <w:szCs w:val="18"/>
        </w:rPr>
        <w:t>* must be evaluated as “not demonstrated” if no monitoring or assessment has taken place</w:t>
      </w:r>
    </w:p>
    <w:p w14:paraId="54BDA964" w14:textId="77777777" w:rsidR="00EB6564" w:rsidRDefault="00EB6564" w:rsidP="00521338">
      <w:pPr>
        <w:pStyle w:val="06TABLEHEADING"/>
        <w:spacing w:line="240" w:lineRule="auto"/>
      </w:pPr>
      <w:r>
        <w:t xml:space="preserve">Table 2: Monitoring Results – </w:t>
      </w:r>
      <w:proofErr w:type="gramStart"/>
      <w:r>
        <w:t>Benzo(</w:t>
      </w:r>
      <w:proofErr w:type="gramEnd"/>
      <w:r>
        <w:rPr>
          <w:rFonts w:ascii="Symbol" w:hAnsi="Symbol" w:cs="Symbol"/>
          <w:i/>
          <w:iCs/>
          <w:lang w:bidi="ar-YE"/>
        </w:rPr>
        <w:t>a</w:t>
      </w:r>
      <w:r>
        <w:t>)pyrene as a marker for Polycyclic Aromatic Hydrocarbons</w:t>
      </w:r>
    </w:p>
    <w:tbl>
      <w:tblPr>
        <w:tblW w:w="0" w:type="auto"/>
        <w:tblInd w:w="-5" w:type="dxa"/>
        <w:tblLayout w:type="fixed"/>
        <w:tblCellMar>
          <w:left w:w="0" w:type="dxa"/>
          <w:right w:w="0" w:type="dxa"/>
        </w:tblCellMar>
        <w:tblLook w:val="0000" w:firstRow="0" w:lastRow="0" w:firstColumn="0" w:lastColumn="0" w:noHBand="0" w:noVBand="0"/>
      </w:tblPr>
      <w:tblGrid>
        <w:gridCol w:w="6075"/>
        <w:gridCol w:w="1361"/>
      </w:tblGrid>
      <w:tr w:rsidR="00EB6564" w14:paraId="77081904" w14:textId="77777777" w:rsidTr="001B0E75">
        <w:trPr>
          <w:trHeight w:val="261"/>
          <w:tblHeader/>
        </w:trPr>
        <w:tc>
          <w:tcPr>
            <w:tcW w:w="607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B184B5B" w14:textId="77777777" w:rsidR="00EB6564" w:rsidRDefault="00EB6564" w:rsidP="00521338">
            <w:pPr>
              <w:pStyle w:val="NoParagraphStyle"/>
              <w:keepNext/>
              <w:spacing w:line="240" w:lineRule="auto"/>
              <w:textAlignment w:val="auto"/>
              <w:rPr>
                <w:rFonts w:ascii="Calibri" w:hAnsi="Calibri" w:cs="Calibri"/>
                <w:color w:val="auto"/>
              </w:rPr>
            </w:pPr>
          </w:p>
        </w:tc>
        <w:tc>
          <w:tcPr>
            <w:tcW w:w="136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E0F965C" w14:textId="77777777" w:rsidR="00EB6564" w:rsidRDefault="00EB6564" w:rsidP="00521338">
            <w:pPr>
              <w:pStyle w:val="06bTABLEHEADERROW"/>
              <w:spacing w:line="240" w:lineRule="auto"/>
              <w:jc w:val="center"/>
            </w:pPr>
            <w:r>
              <w:t>Turrella</w:t>
            </w:r>
          </w:p>
        </w:tc>
      </w:tr>
      <w:tr w:rsidR="00EB6564" w14:paraId="26C0C39B" w14:textId="77777777">
        <w:trPr>
          <w:trHeight w:val="60"/>
        </w:trPr>
        <w:tc>
          <w:tcPr>
            <w:tcW w:w="60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B4A73E" w14:textId="77777777" w:rsidR="00EB6564" w:rsidRDefault="00EB6564" w:rsidP="00521338">
            <w:pPr>
              <w:pStyle w:val="06cTABLETEXT"/>
              <w:keepNext/>
              <w:spacing w:line="240" w:lineRule="auto"/>
            </w:pPr>
            <w:r>
              <w:t>Air Toxic</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80A183" w14:textId="77777777" w:rsidR="00EB6564" w:rsidRDefault="00EB6564" w:rsidP="00521338">
            <w:pPr>
              <w:pStyle w:val="06cTABLETEXT"/>
              <w:keepNext/>
              <w:spacing w:line="240" w:lineRule="auto"/>
              <w:jc w:val="center"/>
            </w:pPr>
            <w:r>
              <w:t>Benzo(a)pyrene</w:t>
            </w:r>
          </w:p>
        </w:tc>
      </w:tr>
      <w:tr w:rsidR="00EB6564" w14:paraId="2F8926CD" w14:textId="77777777">
        <w:trPr>
          <w:trHeight w:val="60"/>
        </w:trPr>
        <w:tc>
          <w:tcPr>
            <w:tcW w:w="60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1CE0CF" w14:textId="77777777" w:rsidR="00EB6564" w:rsidRDefault="00EB6564" w:rsidP="00521338">
            <w:pPr>
              <w:pStyle w:val="06cTABLETEXT"/>
              <w:keepNext/>
              <w:spacing w:line="240" w:lineRule="auto"/>
            </w:pPr>
            <w:r>
              <w:t>Monitoring method</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E93454" w14:textId="77777777" w:rsidR="00EB6564" w:rsidRDefault="00EB6564" w:rsidP="00521338">
            <w:pPr>
              <w:pStyle w:val="06cTABLETEXT"/>
              <w:keepNext/>
              <w:spacing w:line="240" w:lineRule="auto"/>
              <w:jc w:val="center"/>
            </w:pPr>
            <w:r>
              <w:t>USEPA TO-13</w:t>
            </w:r>
          </w:p>
        </w:tc>
      </w:tr>
      <w:tr w:rsidR="00EB6564" w14:paraId="03857E19" w14:textId="77777777">
        <w:trPr>
          <w:trHeight w:val="60"/>
        </w:trPr>
        <w:tc>
          <w:tcPr>
            <w:tcW w:w="60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A2475C" w14:textId="77777777" w:rsidR="00EB6564" w:rsidRDefault="00EB6564" w:rsidP="00521338">
            <w:pPr>
              <w:pStyle w:val="06cTABLETEXT"/>
              <w:keepNext/>
              <w:spacing w:line="240" w:lineRule="auto"/>
            </w:pPr>
            <w:r>
              <w:t>Period of monitoring</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B9879CC" w14:textId="77777777" w:rsidR="00EB6564" w:rsidRDefault="00EB6564" w:rsidP="00521338">
            <w:pPr>
              <w:pStyle w:val="06cTABLETEXT"/>
              <w:keepNext/>
              <w:spacing w:line="240" w:lineRule="auto"/>
              <w:jc w:val="center"/>
            </w:pPr>
            <w:r>
              <w:t>2/10/08 to 27/9/09</w:t>
            </w:r>
          </w:p>
        </w:tc>
      </w:tr>
      <w:tr w:rsidR="00EB6564" w14:paraId="6AC4D738" w14:textId="77777777">
        <w:trPr>
          <w:trHeight w:val="60"/>
        </w:trPr>
        <w:tc>
          <w:tcPr>
            <w:tcW w:w="60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4349A4" w14:textId="77777777" w:rsidR="00EB6564" w:rsidRDefault="00EB6564">
            <w:pPr>
              <w:pStyle w:val="06cTABLETEXT"/>
            </w:pPr>
            <w:r>
              <w:t>Number of valid results</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76CFA23" w14:textId="77777777" w:rsidR="00EB6564" w:rsidRDefault="00EB6564">
            <w:pPr>
              <w:pStyle w:val="06cTABLETEXT"/>
              <w:jc w:val="center"/>
            </w:pPr>
            <w:r>
              <w:t>16</w:t>
            </w:r>
          </w:p>
        </w:tc>
      </w:tr>
      <w:tr w:rsidR="00EB6564" w14:paraId="6B65EC0F" w14:textId="77777777">
        <w:trPr>
          <w:trHeight w:val="60"/>
        </w:trPr>
        <w:tc>
          <w:tcPr>
            <w:tcW w:w="60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817CA0" w14:textId="77777777" w:rsidR="00EB6564" w:rsidRDefault="00EB6564">
            <w:pPr>
              <w:pStyle w:val="06cTABLETEXT"/>
            </w:pPr>
            <w:r>
              <w:t>Maximum 24-hour average concentration</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96D494" w14:textId="77777777" w:rsidR="00EB6564" w:rsidRDefault="00EB6564">
            <w:pPr>
              <w:pStyle w:val="06cTABLETEXT"/>
              <w:jc w:val="center"/>
            </w:pPr>
            <w:r>
              <w:t>0.40 ng/m</w:t>
            </w:r>
            <w:r>
              <w:rPr>
                <w:vertAlign w:val="superscript"/>
              </w:rPr>
              <w:t>3</w:t>
            </w:r>
          </w:p>
        </w:tc>
      </w:tr>
      <w:tr w:rsidR="00EB6564" w14:paraId="10808823" w14:textId="77777777">
        <w:trPr>
          <w:trHeight w:val="60"/>
        </w:trPr>
        <w:tc>
          <w:tcPr>
            <w:tcW w:w="60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1DE16D" w14:textId="77777777" w:rsidR="00EB6564" w:rsidRDefault="00EB6564">
            <w:pPr>
              <w:pStyle w:val="06cTABLETEXT"/>
            </w:pPr>
            <w:r>
              <w:t>Annual average concentration (as arithmetic mean)</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5DF4AE" w14:textId="77777777" w:rsidR="00EB6564" w:rsidRDefault="00EB6564">
            <w:pPr>
              <w:pStyle w:val="06cTABLETEXT"/>
              <w:jc w:val="center"/>
            </w:pPr>
            <w:r>
              <w:t>0.21 ng/m</w:t>
            </w:r>
            <w:r>
              <w:rPr>
                <w:vertAlign w:val="superscript"/>
              </w:rPr>
              <w:t>3</w:t>
            </w:r>
          </w:p>
        </w:tc>
      </w:tr>
      <w:tr w:rsidR="00EB6564" w14:paraId="3B3FF0BA" w14:textId="77777777">
        <w:trPr>
          <w:trHeight w:val="60"/>
        </w:trPr>
        <w:tc>
          <w:tcPr>
            <w:tcW w:w="60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DF360C9" w14:textId="77777777" w:rsidR="00EB6564" w:rsidRDefault="00EB6564">
            <w:pPr>
              <w:pStyle w:val="06cTABLETEXT"/>
            </w:pPr>
            <w:r>
              <w:lastRenderedPageBreak/>
              <w:t>Arithmetic Standard Deviation of 24-hour average concentrations</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D4D017" w14:textId="77777777" w:rsidR="00EB6564" w:rsidRDefault="00EB6564">
            <w:pPr>
              <w:pStyle w:val="06cTABLETEXT"/>
              <w:jc w:val="center"/>
            </w:pPr>
            <w:r>
              <w:t>0.10 ng/m</w:t>
            </w:r>
            <w:r>
              <w:rPr>
                <w:vertAlign w:val="superscript"/>
              </w:rPr>
              <w:t>3</w:t>
            </w:r>
          </w:p>
        </w:tc>
      </w:tr>
      <w:tr w:rsidR="00EB6564" w14:paraId="2D9DDA07" w14:textId="77777777">
        <w:trPr>
          <w:trHeight w:val="60"/>
        </w:trPr>
        <w:tc>
          <w:tcPr>
            <w:tcW w:w="60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02D87A" w14:textId="77777777" w:rsidR="00EB6564" w:rsidRDefault="00EB6564">
            <w:pPr>
              <w:pStyle w:val="06cTABLETEXT"/>
            </w:pPr>
            <w:r>
              <w:t>Number of times monitoring investigation level exceeded*</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37900B" w14:textId="77777777" w:rsidR="00EB6564" w:rsidRDefault="00EB6564">
            <w:pPr>
              <w:pStyle w:val="06cTABLETEXT"/>
              <w:jc w:val="center"/>
            </w:pPr>
            <w:r>
              <w:t>0</w:t>
            </w:r>
          </w:p>
        </w:tc>
      </w:tr>
    </w:tbl>
    <w:p w14:paraId="7D3FFB06" w14:textId="77777777" w:rsidR="00EB6564" w:rsidRDefault="00EB6564" w:rsidP="00EB6564">
      <w:pPr>
        <w:pStyle w:val="05BODYTEXT"/>
        <w:rPr>
          <w:sz w:val="18"/>
          <w:szCs w:val="18"/>
        </w:rPr>
      </w:pPr>
      <w:r>
        <w:rPr>
          <w:sz w:val="18"/>
          <w:szCs w:val="18"/>
        </w:rPr>
        <w:t>* must be evaluated as “not demonstrated” if no monitoring or assessment has taken place</w:t>
      </w:r>
    </w:p>
    <w:p w14:paraId="57FC8097" w14:textId="77777777" w:rsidR="00EB6564" w:rsidRDefault="00EB6564" w:rsidP="00EB6564">
      <w:pPr>
        <w:pStyle w:val="06TABLEHEADING"/>
      </w:pPr>
      <w:r>
        <w:t>Table 3: Monitoring Results - Formaldehyde</w:t>
      </w:r>
    </w:p>
    <w:tbl>
      <w:tblPr>
        <w:tblW w:w="0" w:type="auto"/>
        <w:tblInd w:w="-5" w:type="dxa"/>
        <w:tblLayout w:type="fixed"/>
        <w:tblCellMar>
          <w:left w:w="0" w:type="dxa"/>
          <w:right w:w="0" w:type="dxa"/>
        </w:tblCellMar>
        <w:tblLook w:val="0000" w:firstRow="0" w:lastRow="0" w:firstColumn="0" w:lastColumn="0" w:noHBand="0" w:noVBand="0"/>
      </w:tblPr>
      <w:tblGrid>
        <w:gridCol w:w="4701"/>
        <w:gridCol w:w="1360"/>
        <w:gridCol w:w="1361"/>
      </w:tblGrid>
      <w:tr w:rsidR="00EB6564" w14:paraId="62671E83" w14:textId="77777777" w:rsidTr="001B0E75">
        <w:trPr>
          <w:tblHeader/>
        </w:trPr>
        <w:tc>
          <w:tcPr>
            <w:tcW w:w="470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CDE1167" w14:textId="77777777" w:rsidR="00EB6564" w:rsidRDefault="00EB6564">
            <w:pPr>
              <w:pStyle w:val="NoParagraphStyle"/>
              <w:spacing w:line="240" w:lineRule="auto"/>
              <w:textAlignment w:val="auto"/>
              <w:rPr>
                <w:rFonts w:ascii="Calibri" w:hAnsi="Calibri" w:cs="Calibri"/>
                <w:color w:val="auto"/>
              </w:rPr>
            </w:pPr>
          </w:p>
        </w:tc>
        <w:tc>
          <w:tcPr>
            <w:tcW w:w="13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E4E4927" w14:textId="77777777" w:rsidR="00EB6564" w:rsidRDefault="00EB6564">
            <w:pPr>
              <w:pStyle w:val="06bTABLEHEADERROW"/>
              <w:jc w:val="center"/>
            </w:pPr>
            <w:r>
              <w:t>Rozelle</w:t>
            </w:r>
          </w:p>
        </w:tc>
        <w:tc>
          <w:tcPr>
            <w:tcW w:w="136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C592180" w14:textId="77777777" w:rsidR="00EB6564" w:rsidRDefault="00EB6564">
            <w:pPr>
              <w:pStyle w:val="06bTABLEHEADERROW"/>
              <w:jc w:val="center"/>
            </w:pPr>
            <w:r>
              <w:t>Turrella</w:t>
            </w:r>
          </w:p>
        </w:tc>
      </w:tr>
      <w:tr w:rsidR="00EB6564" w14:paraId="1B1057B6"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0A80D3" w14:textId="77777777" w:rsidR="00EB6564" w:rsidRDefault="00EB6564">
            <w:pPr>
              <w:pStyle w:val="06cTABLETEXT"/>
            </w:pPr>
            <w:r>
              <w:t>Air Toxic</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FCF473" w14:textId="77777777" w:rsidR="00EB6564" w:rsidRDefault="00EB6564">
            <w:pPr>
              <w:pStyle w:val="06cTABLETEXT"/>
              <w:jc w:val="center"/>
            </w:pPr>
            <w:r>
              <w:t>Formaldehyde</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3A926F" w14:textId="77777777" w:rsidR="00EB6564" w:rsidRDefault="00EB6564">
            <w:pPr>
              <w:pStyle w:val="06cTABLETEXT"/>
              <w:jc w:val="center"/>
            </w:pPr>
            <w:r>
              <w:t>Formaldehyde</w:t>
            </w:r>
          </w:p>
        </w:tc>
      </w:tr>
      <w:tr w:rsidR="00EB6564" w14:paraId="1B832436"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019B1C" w14:textId="77777777" w:rsidR="00EB6564" w:rsidRDefault="00EB6564">
            <w:pPr>
              <w:pStyle w:val="06cTABLETEXT"/>
            </w:pPr>
            <w:r>
              <w:t>Monitoring method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A871A4" w14:textId="77777777" w:rsidR="00EB6564" w:rsidRDefault="00EB6564">
            <w:pPr>
              <w:pStyle w:val="06cTABLETEXT"/>
              <w:jc w:val="center"/>
            </w:pPr>
            <w:r>
              <w:t>USEPA TO-11</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61C6CB4" w14:textId="77777777" w:rsidR="00EB6564" w:rsidRDefault="00EB6564">
            <w:pPr>
              <w:pStyle w:val="06cTABLETEXT"/>
              <w:jc w:val="center"/>
            </w:pPr>
            <w:r>
              <w:t>USEPA TO-11</w:t>
            </w:r>
          </w:p>
        </w:tc>
      </w:tr>
      <w:tr w:rsidR="00EB6564" w14:paraId="1E400A30"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10F7E6" w14:textId="77777777" w:rsidR="00EB6564" w:rsidRDefault="00EB6564">
            <w:pPr>
              <w:pStyle w:val="06cTABLETEXT"/>
            </w:pPr>
            <w:r>
              <w:t>Period of monitoring</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302E295" w14:textId="77777777" w:rsidR="00EB6564" w:rsidRDefault="00EB6564">
            <w:pPr>
              <w:pStyle w:val="06cTABLETEXT"/>
              <w:jc w:val="center"/>
            </w:pPr>
            <w:r>
              <w:t>2/10/08 to 27/9/09</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BB5887" w14:textId="77777777" w:rsidR="00EB6564" w:rsidRDefault="00EB6564">
            <w:pPr>
              <w:pStyle w:val="06cTABLETEXT"/>
              <w:jc w:val="center"/>
            </w:pPr>
            <w:r>
              <w:t>2/10/08 to 27/9/09</w:t>
            </w:r>
          </w:p>
        </w:tc>
      </w:tr>
      <w:tr w:rsidR="00EB6564" w14:paraId="666F77EB"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D3906F" w14:textId="77777777" w:rsidR="00EB6564" w:rsidRDefault="00EB6564">
            <w:pPr>
              <w:pStyle w:val="06cTABLETEXT"/>
            </w:pPr>
            <w:r>
              <w:t>Number of valid results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58A041" w14:textId="77777777" w:rsidR="00EB6564" w:rsidRDefault="00EB6564">
            <w:pPr>
              <w:pStyle w:val="06cTABLETEXT"/>
              <w:jc w:val="center"/>
            </w:pPr>
            <w:r>
              <w:t>50</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708C4B7" w14:textId="77777777" w:rsidR="00EB6564" w:rsidRDefault="00EB6564">
            <w:pPr>
              <w:pStyle w:val="06cTABLETEXT"/>
              <w:jc w:val="center"/>
            </w:pPr>
            <w:r>
              <w:t>53</w:t>
            </w:r>
          </w:p>
        </w:tc>
      </w:tr>
      <w:tr w:rsidR="00EB6564" w14:paraId="6AB33DD5"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587199" w14:textId="77777777" w:rsidR="00EB6564" w:rsidRDefault="00EB6564">
            <w:pPr>
              <w:pStyle w:val="06cTABLETEXT"/>
            </w:pPr>
            <w:r>
              <w:t>Maximum 24-hour average concentration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0AE4C2" w14:textId="77777777" w:rsidR="00EB6564" w:rsidRDefault="00EB6564">
            <w:pPr>
              <w:pStyle w:val="06cTABLETEXT"/>
              <w:jc w:val="center"/>
            </w:pPr>
            <w:r>
              <w:t>3.2 ppb</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DF6A8B7" w14:textId="77777777" w:rsidR="00EB6564" w:rsidRDefault="00EB6564">
            <w:pPr>
              <w:pStyle w:val="06cTABLETEXT"/>
              <w:jc w:val="center"/>
            </w:pPr>
            <w:r>
              <w:t>4.4 ppb</w:t>
            </w:r>
          </w:p>
        </w:tc>
      </w:tr>
      <w:tr w:rsidR="00EB6564" w14:paraId="52440855"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580DE9" w14:textId="77777777" w:rsidR="00EB6564" w:rsidRDefault="00EB6564">
            <w:pPr>
              <w:pStyle w:val="06cTABLETEXT"/>
            </w:pPr>
            <w:r>
              <w:t>Annual average concentration (as arithmetic mean)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1A9550" w14:textId="77777777" w:rsidR="00EB6564" w:rsidRDefault="00EB6564">
            <w:pPr>
              <w:pStyle w:val="06cTABLETEXT"/>
              <w:jc w:val="center"/>
            </w:pPr>
            <w:r>
              <w:t>1.6 ppb</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DEE6AC" w14:textId="77777777" w:rsidR="00EB6564" w:rsidRDefault="00EB6564">
            <w:pPr>
              <w:pStyle w:val="06cTABLETEXT"/>
              <w:jc w:val="center"/>
            </w:pPr>
            <w:r>
              <w:t>1.6 ppb</w:t>
            </w:r>
          </w:p>
        </w:tc>
      </w:tr>
      <w:tr w:rsidR="00EB6564" w14:paraId="53F6FD61"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009965" w14:textId="77777777" w:rsidR="00EB6564" w:rsidRDefault="00EB6564">
            <w:pPr>
              <w:pStyle w:val="06cTABLETEXT"/>
            </w:pPr>
            <w:r>
              <w:t>Arithmetic Standard Deviation of 24-hour average concentrations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097C7B" w14:textId="77777777" w:rsidR="00EB6564" w:rsidRDefault="00EB6564">
            <w:pPr>
              <w:pStyle w:val="06cTABLETEXT"/>
              <w:jc w:val="center"/>
            </w:pPr>
            <w:r>
              <w:t>0.65 ppb</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F9246B" w14:textId="77777777" w:rsidR="00EB6564" w:rsidRDefault="00EB6564">
            <w:pPr>
              <w:pStyle w:val="06cTABLETEXT"/>
              <w:jc w:val="center"/>
            </w:pPr>
            <w:r>
              <w:t>0.66 ppb</w:t>
            </w:r>
          </w:p>
        </w:tc>
      </w:tr>
      <w:tr w:rsidR="00EB6564" w14:paraId="19E1D321"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5634A47" w14:textId="77777777" w:rsidR="00EB6564" w:rsidRDefault="00EB6564">
            <w:pPr>
              <w:pStyle w:val="06cTABLETEXT"/>
            </w:pPr>
            <w:r>
              <w:t>Number of times monitoring investigation level exceeded*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25700B" w14:textId="77777777" w:rsidR="00EB6564" w:rsidRDefault="00EB6564">
            <w:pPr>
              <w:pStyle w:val="06cTABLETEXT"/>
              <w:jc w:val="center"/>
            </w:pPr>
            <w:r>
              <w:t>0</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481F33" w14:textId="77777777" w:rsidR="00EB6564" w:rsidRDefault="00EB6564">
            <w:pPr>
              <w:pStyle w:val="06cTABLETEXT"/>
              <w:jc w:val="center"/>
            </w:pPr>
            <w:r>
              <w:t>0</w:t>
            </w:r>
          </w:p>
        </w:tc>
      </w:tr>
    </w:tbl>
    <w:p w14:paraId="0629CDC5" w14:textId="77777777" w:rsidR="00EB6564" w:rsidRDefault="00EB6564" w:rsidP="00EB6564">
      <w:pPr>
        <w:pStyle w:val="05BODYTEXT"/>
        <w:rPr>
          <w:sz w:val="18"/>
          <w:szCs w:val="18"/>
        </w:rPr>
      </w:pPr>
      <w:r>
        <w:rPr>
          <w:sz w:val="18"/>
          <w:szCs w:val="18"/>
        </w:rPr>
        <w:t>* must be evaluated as “not demonstrated” if no monitoring or assessment has taken place</w:t>
      </w:r>
    </w:p>
    <w:p w14:paraId="0CC7B27F" w14:textId="77777777" w:rsidR="00EB6564" w:rsidRDefault="00EB6564" w:rsidP="00EB6564">
      <w:pPr>
        <w:pStyle w:val="06TABLEHEADING"/>
      </w:pPr>
      <w:r>
        <w:t>Table 4: Monitoring Results - Toluene</w:t>
      </w:r>
    </w:p>
    <w:tbl>
      <w:tblPr>
        <w:tblW w:w="0" w:type="auto"/>
        <w:tblInd w:w="-5" w:type="dxa"/>
        <w:tblLayout w:type="fixed"/>
        <w:tblCellMar>
          <w:left w:w="0" w:type="dxa"/>
          <w:right w:w="0" w:type="dxa"/>
        </w:tblCellMar>
        <w:tblLook w:val="0000" w:firstRow="0" w:lastRow="0" w:firstColumn="0" w:lastColumn="0" w:noHBand="0" w:noVBand="0"/>
      </w:tblPr>
      <w:tblGrid>
        <w:gridCol w:w="4701"/>
        <w:gridCol w:w="1360"/>
        <w:gridCol w:w="1361"/>
      </w:tblGrid>
      <w:tr w:rsidR="00EB6564" w14:paraId="5EA4230A" w14:textId="77777777">
        <w:trPr>
          <w:trHeight w:val="60"/>
          <w:tblHeader/>
        </w:trPr>
        <w:tc>
          <w:tcPr>
            <w:tcW w:w="470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41760E4" w14:textId="77777777" w:rsidR="00EB6564" w:rsidRDefault="00EB6564">
            <w:pPr>
              <w:pStyle w:val="NoParagraphStyle"/>
              <w:spacing w:line="240" w:lineRule="auto"/>
              <w:textAlignment w:val="auto"/>
              <w:rPr>
                <w:rFonts w:ascii="Calibri" w:hAnsi="Calibri" w:cs="Calibri"/>
                <w:color w:val="auto"/>
              </w:rPr>
            </w:pPr>
          </w:p>
        </w:tc>
        <w:tc>
          <w:tcPr>
            <w:tcW w:w="13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FECF1DA" w14:textId="77777777" w:rsidR="00EB6564" w:rsidRDefault="00EB6564">
            <w:pPr>
              <w:pStyle w:val="06bTABLEHEADERROW"/>
              <w:jc w:val="center"/>
            </w:pPr>
            <w:r>
              <w:t>Rozelle</w:t>
            </w:r>
          </w:p>
        </w:tc>
        <w:tc>
          <w:tcPr>
            <w:tcW w:w="136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0072F07" w14:textId="77777777" w:rsidR="00EB6564" w:rsidRDefault="00EB6564">
            <w:pPr>
              <w:pStyle w:val="06bTABLEHEADERROW"/>
              <w:jc w:val="center"/>
            </w:pPr>
            <w:r>
              <w:t>Turrella</w:t>
            </w:r>
          </w:p>
        </w:tc>
      </w:tr>
      <w:tr w:rsidR="00EB6564" w14:paraId="53696712"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E12E71" w14:textId="77777777" w:rsidR="00EB6564" w:rsidRDefault="00EB6564">
            <w:pPr>
              <w:pStyle w:val="06cTABLETEXT"/>
            </w:pPr>
            <w:r>
              <w:t>Air Toxic</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BF8FE6" w14:textId="77777777" w:rsidR="00EB6564" w:rsidRDefault="00EB6564">
            <w:pPr>
              <w:pStyle w:val="06cTABLETEXT"/>
              <w:jc w:val="center"/>
            </w:pPr>
            <w:r>
              <w:t>Toluene</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6004526" w14:textId="77777777" w:rsidR="00EB6564" w:rsidRDefault="00EB6564">
            <w:pPr>
              <w:pStyle w:val="06cTABLETEXT"/>
              <w:jc w:val="center"/>
            </w:pPr>
            <w:r>
              <w:t>Toluene</w:t>
            </w:r>
          </w:p>
        </w:tc>
      </w:tr>
      <w:tr w:rsidR="00EB6564" w14:paraId="137A0F93"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A3F416" w14:textId="77777777" w:rsidR="00EB6564" w:rsidRDefault="00EB6564">
            <w:pPr>
              <w:pStyle w:val="06cTABLETEXT"/>
            </w:pPr>
            <w:r>
              <w:t>Monitoring method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D79B99" w14:textId="77777777" w:rsidR="00EB6564" w:rsidRDefault="00EB6564">
            <w:pPr>
              <w:pStyle w:val="06cTABLETEXT"/>
              <w:jc w:val="center"/>
            </w:pPr>
            <w:r>
              <w:t>USEPA TO-15</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7931D9" w14:textId="77777777" w:rsidR="00EB6564" w:rsidRDefault="00EB6564">
            <w:pPr>
              <w:pStyle w:val="06cTABLETEXT"/>
              <w:jc w:val="center"/>
            </w:pPr>
            <w:r>
              <w:t>USEPA TO-15</w:t>
            </w:r>
          </w:p>
        </w:tc>
      </w:tr>
      <w:tr w:rsidR="00EB6564" w14:paraId="6488AEBF"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B447A7" w14:textId="77777777" w:rsidR="00EB6564" w:rsidRDefault="00EB6564">
            <w:pPr>
              <w:pStyle w:val="06cTABLETEXT"/>
            </w:pPr>
            <w:r>
              <w:t>Period of monitoring</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2DB5EC" w14:textId="77777777" w:rsidR="00EB6564" w:rsidRDefault="00EB6564">
            <w:pPr>
              <w:pStyle w:val="06cTABLETEXT"/>
              <w:jc w:val="center"/>
            </w:pPr>
            <w:r>
              <w:t>2/10/08 to 8/10/09</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3A8F9EC" w14:textId="77777777" w:rsidR="00EB6564" w:rsidRDefault="00EB6564">
            <w:pPr>
              <w:pStyle w:val="06cTABLETEXT"/>
              <w:jc w:val="center"/>
            </w:pPr>
            <w:r>
              <w:t>2/10/08 to 29/9/09</w:t>
            </w:r>
          </w:p>
        </w:tc>
      </w:tr>
      <w:tr w:rsidR="00EB6564" w14:paraId="1570BD6A"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AA4B152" w14:textId="77777777" w:rsidR="00EB6564" w:rsidRDefault="00EB6564">
            <w:pPr>
              <w:pStyle w:val="06cTABLETEXT"/>
            </w:pPr>
            <w:r>
              <w:t>Number of valid results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33921F" w14:textId="77777777" w:rsidR="00EB6564" w:rsidRDefault="00EB6564">
            <w:pPr>
              <w:pStyle w:val="06cTABLETEXT"/>
              <w:jc w:val="center"/>
            </w:pPr>
            <w:r>
              <w:t>54</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79885B" w14:textId="77777777" w:rsidR="00EB6564" w:rsidRDefault="00EB6564">
            <w:pPr>
              <w:pStyle w:val="06cTABLETEXT"/>
              <w:jc w:val="center"/>
            </w:pPr>
            <w:r>
              <w:t>53</w:t>
            </w:r>
          </w:p>
        </w:tc>
      </w:tr>
      <w:tr w:rsidR="00EB6564" w14:paraId="083C5D04"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1F4162" w14:textId="77777777" w:rsidR="00EB6564" w:rsidRDefault="00EB6564">
            <w:pPr>
              <w:pStyle w:val="06cTABLETEXT"/>
            </w:pPr>
            <w:r>
              <w:t>Maximum 24-hour average concentration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1C1715" w14:textId="77777777" w:rsidR="00EB6564" w:rsidRDefault="00EB6564">
            <w:pPr>
              <w:pStyle w:val="06cTABLETEXT"/>
              <w:jc w:val="center"/>
            </w:pPr>
            <w:r>
              <w:t>3.8 ppb</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AE493D" w14:textId="77777777" w:rsidR="00EB6564" w:rsidRDefault="00EB6564">
            <w:pPr>
              <w:pStyle w:val="06cTABLETEXT"/>
              <w:jc w:val="center"/>
            </w:pPr>
            <w:r>
              <w:t>6.4 ppb</w:t>
            </w:r>
          </w:p>
        </w:tc>
      </w:tr>
      <w:tr w:rsidR="00EB6564" w14:paraId="71E5B99D"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C90A3E" w14:textId="77777777" w:rsidR="00EB6564" w:rsidRDefault="00EB6564">
            <w:pPr>
              <w:pStyle w:val="06cTABLETEXT"/>
            </w:pPr>
            <w:r>
              <w:t>Annual average concentration (as arithmetic mean)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9AB14F" w14:textId="77777777" w:rsidR="00EB6564" w:rsidRDefault="00EB6564">
            <w:pPr>
              <w:pStyle w:val="06cTABLETEXT"/>
              <w:jc w:val="center"/>
            </w:pPr>
            <w:r>
              <w:t>0.9 ppb</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90F3CC" w14:textId="77777777" w:rsidR="00EB6564" w:rsidRDefault="00EB6564">
            <w:pPr>
              <w:pStyle w:val="06cTABLETEXT"/>
              <w:jc w:val="center"/>
            </w:pPr>
            <w:r>
              <w:t>1.8 ppb</w:t>
            </w:r>
          </w:p>
        </w:tc>
      </w:tr>
      <w:tr w:rsidR="00EB6564" w14:paraId="63EC75F7"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0EBA71" w14:textId="77777777" w:rsidR="00EB6564" w:rsidRDefault="00EB6564">
            <w:pPr>
              <w:pStyle w:val="06cTABLETEXT"/>
            </w:pPr>
            <w:r>
              <w:t>Arithmetic Standard Deviation of 24-hour average concentrations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1134502" w14:textId="77777777" w:rsidR="00EB6564" w:rsidRDefault="00EB6564">
            <w:pPr>
              <w:pStyle w:val="06cTABLETEXT"/>
              <w:jc w:val="center"/>
            </w:pPr>
            <w:r>
              <w:t>0.69 ppb</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B4B5444" w14:textId="77777777" w:rsidR="00EB6564" w:rsidRDefault="00EB6564">
            <w:pPr>
              <w:pStyle w:val="06cTABLETEXT"/>
              <w:jc w:val="center"/>
            </w:pPr>
            <w:r>
              <w:t>1.35 ppb</w:t>
            </w:r>
          </w:p>
        </w:tc>
      </w:tr>
      <w:tr w:rsidR="00EB6564" w14:paraId="029AB59E"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1766697" w14:textId="77777777" w:rsidR="00EB6564" w:rsidRDefault="00EB6564">
            <w:pPr>
              <w:pStyle w:val="06cTABLETEXT"/>
            </w:pPr>
            <w:r>
              <w:t>Number of times monitoring investigation level exceeded*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4A6AE0" w14:textId="77777777" w:rsidR="00EB6564" w:rsidRDefault="00EB6564">
            <w:pPr>
              <w:pStyle w:val="06cTABLETEXT"/>
              <w:jc w:val="center"/>
            </w:pPr>
            <w:r>
              <w:t>0</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F2D9CF" w14:textId="77777777" w:rsidR="00EB6564" w:rsidRDefault="00EB6564">
            <w:pPr>
              <w:pStyle w:val="06cTABLETEXT"/>
              <w:jc w:val="center"/>
            </w:pPr>
            <w:r>
              <w:t>0</w:t>
            </w:r>
          </w:p>
        </w:tc>
      </w:tr>
    </w:tbl>
    <w:p w14:paraId="2973FA6F" w14:textId="77777777" w:rsidR="00EB6564" w:rsidRDefault="00EB6564" w:rsidP="00EB6564">
      <w:pPr>
        <w:pStyle w:val="05BODYTEXT"/>
        <w:rPr>
          <w:sz w:val="18"/>
          <w:szCs w:val="18"/>
        </w:rPr>
      </w:pPr>
      <w:r>
        <w:rPr>
          <w:sz w:val="18"/>
          <w:szCs w:val="18"/>
        </w:rPr>
        <w:t>* must be evaluated as “not demonstrated” if no monitoring or assessment has taken place</w:t>
      </w:r>
    </w:p>
    <w:p w14:paraId="615B3B0C" w14:textId="77777777" w:rsidR="00EB6564" w:rsidRDefault="00EB6564" w:rsidP="00CC4679">
      <w:pPr>
        <w:pStyle w:val="06TABLEHEADING"/>
        <w:spacing w:line="240" w:lineRule="auto"/>
      </w:pPr>
      <w:r>
        <w:lastRenderedPageBreak/>
        <w:t>Table 5: Monitoring Results – Xylenes (as total of ortho, meta and para isomers)</w:t>
      </w:r>
    </w:p>
    <w:tbl>
      <w:tblPr>
        <w:tblW w:w="0" w:type="auto"/>
        <w:tblInd w:w="-5" w:type="dxa"/>
        <w:tblLayout w:type="fixed"/>
        <w:tblCellMar>
          <w:left w:w="0" w:type="dxa"/>
          <w:right w:w="0" w:type="dxa"/>
        </w:tblCellMar>
        <w:tblLook w:val="0000" w:firstRow="0" w:lastRow="0" w:firstColumn="0" w:lastColumn="0" w:noHBand="0" w:noVBand="0"/>
      </w:tblPr>
      <w:tblGrid>
        <w:gridCol w:w="4701"/>
        <w:gridCol w:w="1360"/>
        <w:gridCol w:w="1361"/>
      </w:tblGrid>
      <w:tr w:rsidR="00EB6564" w14:paraId="40CDB821" w14:textId="77777777" w:rsidTr="001B0E75">
        <w:trPr>
          <w:tblHeader/>
        </w:trPr>
        <w:tc>
          <w:tcPr>
            <w:tcW w:w="470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3F517F0" w14:textId="77777777" w:rsidR="00EB6564" w:rsidRDefault="00EB6564" w:rsidP="00CC4679">
            <w:pPr>
              <w:pStyle w:val="NoParagraphStyle"/>
              <w:keepNext/>
              <w:spacing w:line="240" w:lineRule="auto"/>
              <w:textAlignment w:val="auto"/>
              <w:rPr>
                <w:rFonts w:ascii="Calibri" w:hAnsi="Calibri" w:cs="Calibri"/>
                <w:color w:val="auto"/>
              </w:rPr>
            </w:pPr>
          </w:p>
        </w:tc>
        <w:tc>
          <w:tcPr>
            <w:tcW w:w="13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CA40270" w14:textId="77777777" w:rsidR="00EB6564" w:rsidRDefault="00EB6564" w:rsidP="00CC4679">
            <w:pPr>
              <w:pStyle w:val="06bTABLEHEADERROW"/>
              <w:spacing w:line="240" w:lineRule="auto"/>
              <w:jc w:val="center"/>
            </w:pPr>
            <w:r>
              <w:t>Rozelle</w:t>
            </w:r>
          </w:p>
        </w:tc>
        <w:tc>
          <w:tcPr>
            <w:tcW w:w="136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AFE81FD" w14:textId="77777777" w:rsidR="00EB6564" w:rsidRDefault="00EB6564" w:rsidP="00CC4679">
            <w:pPr>
              <w:pStyle w:val="06bTABLEHEADERROW"/>
              <w:spacing w:line="240" w:lineRule="auto"/>
              <w:jc w:val="center"/>
            </w:pPr>
            <w:r>
              <w:t>Turrella</w:t>
            </w:r>
          </w:p>
        </w:tc>
      </w:tr>
      <w:tr w:rsidR="00EB6564" w14:paraId="533496C7"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F1D8F26" w14:textId="77777777" w:rsidR="00EB6564" w:rsidRDefault="00EB6564" w:rsidP="00CC4679">
            <w:pPr>
              <w:pStyle w:val="06cTABLETEXT"/>
              <w:keepNext/>
              <w:spacing w:line="240" w:lineRule="auto"/>
            </w:pPr>
            <w:r>
              <w:t>Air Toxic</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097162" w14:textId="77777777" w:rsidR="00EB6564" w:rsidRDefault="00EB6564" w:rsidP="00CC4679">
            <w:pPr>
              <w:pStyle w:val="06cTABLETEXT"/>
              <w:keepNext/>
              <w:spacing w:line="240" w:lineRule="auto"/>
              <w:jc w:val="center"/>
            </w:pPr>
            <w:r>
              <w:t>Xylenes</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4F8881" w14:textId="77777777" w:rsidR="00EB6564" w:rsidRDefault="00EB6564" w:rsidP="00CC4679">
            <w:pPr>
              <w:pStyle w:val="06cTABLETEXT"/>
              <w:keepNext/>
              <w:spacing w:line="240" w:lineRule="auto"/>
              <w:jc w:val="center"/>
            </w:pPr>
            <w:r>
              <w:t>Xylenes</w:t>
            </w:r>
          </w:p>
        </w:tc>
      </w:tr>
      <w:tr w:rsidR="00EB6564" w14:paraId="4E069B05"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38928EF" w14:textId="77777777" w:rsidR="00EB6564" w:rsidRDefault="00EB6564" w:rsidP="00CC4679">
            <w:pPr>
              <w:pStyle w:val="06cTABLETEXT"/>
              <w:keepNext/>
              <w:spacing w:line="240" w:lineRule="auto"/>
            </w:pPr>
            <w:r>
              <w:t>Monitoring method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F42E17" w14:textId="77777777" w:rsidR="00EB6564" w:rsidRDefault="00EB6564" w:rsidP="00CC4679">
            <w:pPr>
              <w:pStyle w:val="06cTABLETEXT"/>
              <w:keepNext/>
              <w:spacing w:line="240" w:lineRule="auto"/>
              <w:jc w:val="center"/>
            </w:pPr>
            <w:r>
              <w:t>USEPA TO-15</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991D52" w14:textId="77777777" w:rsidR="00EB6564" w:rsidRDefault="00EB6564" w:rsidP="00CC4679">
            <w:pPr>
              <w:pStyle w:val="06cTABLETEXT"/>
              <w:keepNext/>
              <w:spacing w:line="240" w:lineRule="auto"/>
              <w:jc w:val="center"/>
            </w:pPr>
            <w:r>
              <w:t>USEPA TO-15</w:t>
            </w:r>
          </w:p>
        </w:tc>
      </w:tr>
      <w:tr w:rsidR="00EB6564" w14:paraId="6A3C112A"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E75EC8D" w14:textId="77777777" w:rsidR="00EB6564" w:rsidRDefault="00EB6564" w:rsidP="00CC4679">
            <w:pPr>
              <w:pStyle w:val="06cTABLETEXT"/>
              <w:keepNext/>
              <w:spacing w:line="240" w:lineRule="auto"/>
            </w:pPr>
            <w:r>
              <w:t>Period of monitoring</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00BFFB" w14:textId="77777777" w:rsidR="00EB6564" w:rsidRDefault="00EB6564" w:rsidP="00CC4679">
            <w:pPr>
              <w:pStyle w:val="06cTABLETEXT"/>
              <w:keepNext/>
              <w:spacing w:line="240" w:lineRule="auto"/>
              <w:jc w:val="center"/>
            </w:pPr>
            <w:r>
              <w:t>2/10/08 to 8/10/09</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D1C33E" w14:textId="77777777" w:rsidR="00EB6564" w:rsidRDefault="00EB6564" w:rsidP="00CC4679">
            <w:pPr>
              <w:pStyle w:val="06cTABLETEXT"/>
              <w:keepNext/>
              <w:spacing w:line="240" w:lineRule="auto"/>
              <w:jc w:val="center"/>
            </w:pPr>
            <w:r>
              <w:t>2/10/08 to 29/9/09</w:t>
            </w:r>
          </w:p>
        </w:tc>
      </w:tr>
      <w:tr w:rsidR="00EB6564" w14:paraId="5863C100"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6B6AD3" w14:textId="77777777" w:rsidR="00EB6564" w:rsidRDefault="00EB6564" w:rsidP="00CC4679">
            <w:pPr>
              <w:pStyle w:val="06cTABLETEXT"/>
              <w:keepNext/>
              <w:spacing w:line="240" w:lineRule="auto"/>
            </w:pPr>
            <w:r>
              <w:t>Number of valid results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EDF014" w14:textId="77777777" w:rsidR="00EB6564" w:rsidRDefault="00EB6564" w:rsidP="00CC4679">
            <w:pPr>
              <w:pStyle w:val="06cTABLETEXT"/>
              <w:keepNext/>
              <w:spacing w:line="240" w:lineRule="auto"/>
              <w:jc w:val="center"/>
            </w:pPr>
            <w:r>
              <w:t>26</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F1FF76D" w14:textId="77777777" w:rsidR="00EB6564" w:rsidRDefault="00EB6564" w:rsidP="00CC4679">
            <w:pPr>
              <w:pStyle w:val="06cTABLETEXT"/>
              <w:keepNext/>
              <w:spacing w:line="240" w:lineRule="auto"/>
              <w:jc w:val="center"/>
            </w:pPr>
            <w:r>
              <w:t>30</w:t>
            </w:r>
          </w:p>
        </w:tc>
      </w:tr>
      <w:tr w:rsidR="00EB6564" w14:paraId="31C88915"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F003E1" w14:textId="77777777" w:rsidR="00EB6564" w:rsidRDefault="00EB6564">
            <w:pPr>
              <w:pStyle w:val="06cTABLETEXT"/>
            </w:pPr>
            <w:r>
              <w:t>Maximum 24-hour average concentration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3D19146" w14:textId="77777777" w:rsidR="00EB6564" w:rsidRDefault="00EB6564">
            <w:pPr>
              <w:pStyle w:val="06cTABLETEXT"/>
              <w:jc w:val="center"/>
            </w:pPr>
            <w:r>
              <w:t>2.60 ppb</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BF0FA8" w14:textId="77777777" w:rsidR="00EB6564" w:rsidRDefault="00EB6564">
            <w:pPr>
              <w:pStyle w:val="06cTABLETEXT"/>
              <w:jc w:val="center"/>
            </w:pPr>
            <w:r>
              <w:t>4.90 ppb</w:t>
            </w:r>
          </w:p>
        </w:tc>
      </w:tr>
      <w:tr w:rsidR="00EB6564" w14:paraId="4991AECF"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53FB794" w14:textId="77777777" w:rsidR="00EB6564" w:rsidRDefault="00EB6564">
            <w:pPr>
              <w:pStyle w:val="06cTABLETEXT"/>
            </w:pPr>
            <w:r>
              <w:t>Annual average concentration (as arithmetic mean)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8729783" w14:textId="77777777" w:rsidR="00EB6564" w:rsidRDefault="00EB6564">
            <w:pPr>
              <w:pStyle w:val="06cTABLETEXT"/>
              <w:jc w:val="center"/>
            </w:pPr>
            <w:r>
              <w:t>0.73 ppb</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F2B420C" w14:textId="77777777" w:rsidR="00EB6564" w:rsidRDefault="00EB6564">
            <w:pPr>
              <w:pStyle w:val="06cTABLETEXT"/>
              <w:jc w:val="center"/>
            </w:pPr>
            <w:r>
              <w:t>1.2 ppb</w:t>
            </w:r>
          </w:p>
        </w:tc>
      </w:tr>
      <w:tr w:rsidR="00EB6564" w14:paraId="3C10AA4A"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4EC1CFA" w14:textId="77777777" w:rsidR="00EB6564" w:rsidRDefault="00EB6564">
            <w:pPr>
              <w:pStyle w:val="06cTABLETEXT"/>
            </w:pPr>
            <w:r>
              <w:t>Arithmetic Standard Deviation of 24-hour average concentrations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20A499" w14:textId="77777777" w:rsidR="00EB6564" w:rsidRDefault="00EB6564">
            <w:pPr>
              <w:pStyle w:val="06cTABLETEXT"/>
              <w:jc w:val="center"/>
            </w:pPr>
            <w:r>
              <w:t>0.53 ppb</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574C22" w14:textId="77777777" w:rsidR="00EB6564" w:rsidRDefault="00EB6564">
            <w:pPr>
              <w:pStyle w:val="06cTABLETEXT"/>
              <w:jc w:val="center"/>
            </w:pPr>
            <w:r>
              <w:t>0.95 ppb</w:t>
            </w:r>
          </w:p>
        </w:tc>
      </w:tr>
      <w:tr w:rsidR="00EB6564" w14:paraId="05E2377C"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661AF20" w14:textId="77777777" w:rsidR="00EB6564" w:rsidRDefault="00EB6564">
            <w:pPr>
              <w:pStyle w:val="06cTABLETEXT"/>
            </w:pPr>
            <w:r>
              <w:t>Number of times monitoring investigation level exceeded*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883B16" w14:textId="77777777" w:rsidR="00EB6564" w:rsidRDefault="00EB6564">
            <w:pPr>
              <w:pStyle w:val="06cTABLETEXT"/>
              <w:jc w:val="center"/>
            </w:pPr>
            <w:r>
              <w:t>0</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4F9A61" w14:textId="77777777" w:rsidR="00EB6564" w:rsidRDefault="00EB6564">
            <w:pPr>
              <w:pStyle w:val="06cTABLETEXT"/>
              <w:jc w:val="center"/>
            </w:pPr>
            <w:r>
              <w:t>0</w:t>
            </w:r>
          </w:p>
        </w:tc>
      </w:tr>
    </w:tbl>
    <w:p w14:paraId="449FBAC4" w14:textId="77777777" w:rsidR="00EB6564" w:rsidRDefault="00EB6564" w:rsidP="00EB6564">
      <w:pPr>
        <w:pStyle w:val="05BODYTEXT"/>
        <w:rPr>
          <w:sz w:val="18"/>
          <w:szCs w:val="18"/>
        </w:rPr>
      </w:pPr>
      <w:r>
        <w:rPr>
          <w:sz w:val="18"/>
          <w:szCs w:val="18"/>
        </w:rPr>
        <w:t>* must be evaluated as “not demonstrated” if no monitoring or assessment has taken place</w:t>
      </w:r>
    </w:p>
    <w:p w14:paraId="50AA8146" w14:textId="77777777" w:rsidR="00EB6564" w:rsidRPr="009408AB" w:rsidRDefault="00EB6564" w:rsidP="00CB0DA6">
      <w:pPr>
        <w:pStyle w:val="Heading2"/>
      </w:pPr>
      <w:bookmarkStart w:id="17" w:name="_Toc58254371"/>
      <w:r w:rsidRPr="009408AB">
        <w:t>Victoria</w:t>
      </w:r>
      <w:bookmarkEnd w:id="17"/>
    </w:p>
    <w:p w14:paraId="382E2C7A" w14:textId="77777777" w:rsidR="00EB6564" w:rsidRDefault="00EB6564" w:rsidP="00EB6564">
      <w:pPr>
        <w:pStyle w:val="05BODYTEXT"/>
        <w:rPr>
          <w:rStyle w:val="ITALIC"/>
        </w:rPr>
      </w:pPr>
      <w:r>
        <w:rPr>
          <w:rStyle w:val="ITALIC"/>
        </w:rPr>
        <w:t xml:space="preserve">Report to the NEPC on the implementation of the National Environment Protection (Air Toxics) Measure for Victoria by the Hon Lily </w:t>
      </w:r>
      <w:proofErr w:type="spellStart"/>
      <w:r>
        <w:rPr>
          <w:rStyle w:val="ITALIC"/>
        </w:rPr>
        <w:t>D’Ambrosio</w:t>
      </w:r>
      <w:proofErr w:type="spellEnd"/>
      <w:r>
        <w:rPr>
          <w:rStyle w:val="ITALIC"/>
        </w:rPr>
        <w:t>, Minister for Energy, Environment and Climate Change for the reporting year ended 30 June 2019.</w:t>
      </w:r>
    </w:p>
    <w:p w14:paraId="5E6D1A30" w14:textId="77777777" w:rsidR="00EB6564" w:rsidRDefault="00EB6564" w:rsidP="00EB6564">
      <w:pPr>
        <w:pStyle w:val="02HEADING2"/>
      </w:pPr>
      <w:r>
        <w:t>Part 1—Implementation of the NEPM and any significant issues</w:t>
      </w:r>
    </w:p>
    <w:p w14:paraId="1A92836C" w14:textId="77777777" w:rsidR="00EB6564" w:rsidRDefault="00EB6564" w:rsidP="00EB6564">
      <w:pPr>
        <w:pStyle w:val="05BODYTEXT"/>
      </w:pPr>
      <w:r>
        <w:t xml:space="preserve">In Victoria, the NEPM is implemented by the State Environment Protection Policy (Air Quality Management), subordinate legislation made under the </w:t>
      </w:r>
      <w:r>
        <w:rPr>
          <w:rStyle w:val="ITALIC"/>
        </w:rPr>
        <w:t>Environment Protection Act 1970</w:t>
      </w:r>
      <w:r>
        <w:t xml:space="preserve">. </w:t>
      </w:r>
    </w:p>
    <w:p w14:paraId="01C893DD" w14:textId="77777777" w:rsidR="00EB6564" w:rsidRDefault="00EB6564" w:rsidP="00EB6564">
      <w:pPr>
        <w:pStyle w:val="05BODYTEXT"/>
      </w:pPr>
      <w:r>
        <w:t>There were no implementation issues during the 2018 reporting year.</w:t>
      </w:r>
    </w:p>
    <w:p w14:paraId="06DD3FA8" w14:textId="77777777" w:rsidR="00EB6564" w:rsidRDefault="00EB6564" w:rsidP="00EB6564">
      <w:pPr>
        <w:pStyle w:val="02HEADING2"/>
      </w:pPr>
      <w:r>
        <w:t>Part 2—Assessment of NEPM effectiveness</w:t>
      </w:r>
    </w:p>
    <w:p w14:paraId="70DFD69D" w14:textId="77777777" w:rsidR="00EB6564" w:rsidRDefault="00EB6564" w:rsidP="00EB6564">
      <w:pPr>
        <w:pStyle w:val="05BODYTEXT"/>
      </w:pPr>
      <w:r>
        <w:t>Since 2003, no air toxics monitoring done in Victoria has measured levels exceeding the monitoring investigation levels (air quality objectives) in the NEPM.</w:t>
      </w:r>
    </w:p>
    <w:p w14:paraId="563939EA" w14:textId="77777777" w:rsidR="00EB6564" w:rsidRDefault="00EB6564" w:rsidP="00EB6564">
      <w:pPr>
        <w:pStyle w:val="03HEADING3"/>
      </w:pPr>
      <w:r>
        <w:t>Identification of Sites</w:t>
      </w:r>
    </w:p>
    <w:p w14:paraId="6C6F9E7F" w14:textId="77777777" w:rsidR="00EB6564" w:rsidRDefault="00EB6564" w:rsidP="00EB6564">
      <w:pPr>
        <w:pStyle w:val="05BODYTEXT"/>
      </w:pPr>
      <w:r>
        <w:t xml:space="preserve">During 2018, no suitable sites were identified as being potential stage 1 and stage 2 sites for air toxics monitoring in Victoria. </w:t>
      </w:r>
    </w:p>
    <w:p w14:paraId="11205BD6" w14:textId="77777777" w:rsidR="00EB6564" w:rsidRDefault="00EB6564" w:rsidP="00EB6564">
      <w:pPr>
        <w:pStyle w:val="03HEADING3"/>
      </w:pPr>
      <w:r>
        <w:t>Reporting of Monitoring of Air Toxics</w:t>
      </w:r>
    </w:p>
    <w:p w14:paraId="216FD139" w14:textId="77777777" w:rsidR="00EB6564" w:rsidRDefault="00EB6564" w:rsidP="00EB6564">
      <w:pPr>
        <w:pStyle w:val="05BODYTEXT"/>
      </w:pPr>
      <w:r>
        <w:t>During 2018, no monitoring was carried out for air toxics.</w:t>
      </w:r>
    </w:p>
    <w:p w14:paraId="59BA3F30" w14:textId="77777777" w:rsidR="00EB6564" w:rsidRDefault="00EB6564" w:rsidP="00EB6564">
      <w:pPr>
        <w:pStyle w:val="03HEADING3"/>
      </w:pPr>
      <w:r>
        <w:t>Reporting on Assessment and Action if any planned or taken to manage air toxics</w:t>
      </w:r>
    </w:p>
    <w:p w14:paraId="5916F937" w14:textId="77777777" w:rsidR="00EB6564" w:rsidRDefault="00EB6564" w:rsidP="00EB6564">
      <w:pPr>
        <w:pStyle w:val="05BODYTEXT"/>
      </w:pPr>
      <w:r>
        <w:t>As noted above, there has been no monitoring in Victoria that has measured levels of air toxics exceeding the monitoring investigation levels. Therefore, there has been no additional action taken to manage air toxics beyond existing programs.</w:t>
      </w:r>
    </w:p>
    <w:p w14:paraId="61639895" w14:textId="77777777" w:rsidR="00EB6564" w:rsidRPr="009408AB" w:rsidRDefault="00EB6564" w:rsidP="00CB0DA6">
      <w:pPr>
        <w:pStyle w:val="Heading2"/>
      </w:pPr>
      <w:bookmarkStart w:id="18" w:name="_Toc58254372"/>
      <w:r w:rsidRPr="009408AB">
        <w:t>Queensland</w:t>
      </w:r>
      <w:bookmarkEnd w:id="18"/>
    </w:p>
    <w:p w14:paraId="44E171A8" w14:textId="77777777" w:rsidR="00EB6564" w:rsidRDefault="00EB6564" w:rsidP="00EB6564">
      <w:pPr>
        <w:pStyle w:val="05BODYTEXT"/>
        <w:rPr>
          <w:rStyle w:val="ITALIC"/>
        </w:rPr>
      </w:pPr>
      <w:r>
        <w:rPr>
          <w:rStyle w:val="ITALIC"/>
        </w:rPr>
        <w:t>Report to the NEPC on the implementation of the National Environment Protection (Air Toxics) Measure for Queensland by Leeanne Enoch MP, Minister for Environment and the Great Barrier Reef, Minister for Science, and Minister for the Arts for the reporting year ended 30 June 2019.</w:t>
      </w:r>
    </w:p>
    <w:p w14:paraId="17D21898" w14:textId="77777777" w:rsidR="00EB6564" w:rsidRDefault="00EB6564" w:rsidP="00EB6564">
      <w:pPr>
        <w:pStyle w:val="02HEADING2"/>
      </w:pPr>
      <w:r>
        <w:t>Part 1—Implementation of the NEPM and any significant issues</w:t>
      </w:r>
    </w:p>
    <w:p w14:paraId="72063B89" w14:textId="77777777" w:rsidR="00EB6564" w:rsidRDefault="00EB6564" w:rsidP="00EB6564">
      <w:pPr>
        <w:pStyle w:val="05BODYTEXT"/>
      </w:pPr>
      <w:r>
        <w:t>The Air Toxics NEPM specifies the reporting year as the year ending on 31 December and the results reported in this report are for the year ending on 31 December 2018 in accordance with the NEPM.</w:t>
      </w:r>
    </w:p>
    <w:p w14:paraId="7426D913" w14:textId="77777777" w:rsidR="00EB6564" w:rsidRDefault="00EB6564" w:rsidP="00EB6564">
      <w:pPr>
        <w:pStyle w:val="05BODYTEXT"/>
      </w:pPr>
      <w:r>
        <w:lastRenderedPageBreak/>
        <w:t xml:space="preserve">In Queensland, the Air Toxics NEPM is implemented under the </w:t>
      </w:r>
      <w:r>
        <w:rPr>
          <w:rStyle w:val="ITALIC"/>
        </w:rPr>
        <w:t>Environmental Protection Act 1994</w:t>
      </w:r>
      <w:r>
        <w:t xml:space="preserve"> (EP Act), the </w:t>
      </w:r>
      <w:r>
        <w:rPr>
          <w:rStyle w:val="ITALIC"/>
        </w:rPr>
        <w:t>Environmental Protection Regulation 2008</w:t>
      </w:r>
      <w:r>
        <w:t xml:space="preserve">, and the Environmental Protection (Air) Policy 2008, with the NEPM monitoring investigation levels incorporated as air quality objectives. </w:t>
      </w:r>
    </w:p>
    <w:p w14:paraId="116293BC" w14:textId="77777777" w:rsidR="00EB6564" w:rsidRDefault="00EB6564" w:rsidP="00EB6564">
      <w:pPr>
        <w:pStyle w:val="05BODYTEXT"/>
      </w:pPr>
      <w:r>
        <w:t xml:space="preserve">In the 2018, monitoring of polycyclic aromatic hydrocarbons (including benzo[a]pyrene) was conducted at the Fisherman’s Landing and Auckland Point monitoring sites in the Gladstone region from May to June 2018. Fisherman’s Landing is an industrial area north of Gladstone, while the Auckland Point site is located in central Gladstone, close to harbour storage and loading operations. </w:t>
      </w:r>
    </w:p>
    <w:p w14:paraId="0DCA4115" w14:textId="77777777" w:rsidR="00EB6564" w:rsidRDefault="00EB6564" w:rsidP="00EB6564">
      <w:pPr>
        <w:pStyle w:val="05BODYTEXT"/>
      </w:pPr>
      <w:r>
        <w:t xml:space="preserve">The Department of Environment and Science (DES) continued to monitor benzene, toluene, xylenes and formaldehyde using open path Differential Optical Absorption Spectroscopy (DOAS) instrumentation at Springwood in South East Queensland and in central Gladstone in the 2018-2019 reporting period. </w:t>
      </w:r>
    </w:p>
    <w:p w14:paraId="232F756F" w14:textId="77777777" w:rsidR="00EB6564" w:rsidRDefault="00EB6564" w:rsidP="00EB6564">
      <w:pPr>
        <w:pStyle w:val="02HEADING2"/>
      </w:pPr>
      <w:r>
        <w:t>Part 2—Assessment of NEPM effectiveness</w:t>
      </w:r>
    </w:p>
    <w:p w14:paraId="6EB8DCA4" w14:textId="77777777" w:rsidR="00EB6564" w:rsidRDefault="00EB6564" w:rsidP="00EB6564">
      <w:pPr>
        <w:pStyle w:val="05BODYTEXT"/>
      </w:pPr>
      <w:r>
        <w:t xml:space="preserve">The Air Toxics NEPM has resulted in the evaluation of emission sources posing the greatest potential for significant population exposure to air toxics (concluded to be motor vehicles and industrial facilities), and locations where significant population exposure to elevated ambient concentrations of air toxics are most likely to occur. </w:t>
      </w:r>
    </w:p>
    <w:p w14:paraId="44F57E0F" w14:textId="77777777" w:rsidR="00EB6564" w:rsidRDefault="00EB6564" w:rsidP="00EB6564">
      <w:pPr>
        <w:pStyle w:val="05BODYTEXT"/>
      </w:pPr>
      <w:r>
        <w:t xml:space="preserve">The Queensland Government has a long-running program monitoring levels of benzene, toluene, xylenes and formaldehyde using the differential optical absorption spectroscopy (DOAS) technique at its ambient air quality monitoring network sites of Springwood in South East Queensland and in central Gladstone. Although the DOAS monitoring methodology is not in accordance with the protocols set out in the NEPM and the monitoring sites are not identified as Stage 2 sites, the data collected improves the Department’s knowledge of ambient concentrations of most toxic pollutants in Schedule 1 of the NEPM. </w:t>
      </w:r>
    </w:p>
    <w:p w14:paraId="18F1D04E" w14:textId="77777777" w:rsidR="00EB6564" w:rsidRDefault="00EB6564" w:rsidP="00EB6564">
      <w:pPr>
        <w:pStyle w:val="05BODYTEXT"/>
      </w:pPr>
      <w:r>
        <w:t xml:space="preserve">Monitoring of air toxics is also carried out on occasions as part of specific studies into localised air quality to address community concerns. In such situations, the Air Toxics NEPM monitoring investigation levels provide a defensible benchmark for assessing measured concentrations. </w:t>
      </w:r>
    </w:p>
    <w:p w14:paraId="0FD1056C" w14:textId="77777777" w:rsidR="00EB6564" w:rsidRDefault="00EB6564" w:rsidP="00EB6564">
      <w:pPr>
        <w:pStyle w:val="03HEADING3"/>
      </w:pPr>
      <w:r>
        <w:t>Identification of Sites</w:t>
      </w:r>
    </w:p>
    <w:p w14:paraId="60C9C5D7" w14:textId="77777777" w:rsidR="00EB6564" w:rsidRDefault="00EB6564" w:rsidP="00EB6564">
      <w:pPr>
        <w:pStyle w:val="05BODYTEXT"/>
      </w:pPr>
      <w:r>
        <w:t xml:space="preserve">Analysis of potential sites for monitoring air toxics identified sites where significantly elevated concentrations of one or more of the air toxics are likely to occur (Stage 1 sites) and where the potential for significant population exposure to air toxics exists (Stage 2 sites). The analysis identified roadside and industrial locations that were considered to have the greatest potential for significant population exposure to air toxics. </w:t>
      </w:r>
    </w:p>
    <w:p w14:paraId="37B7BF7E" w14:textId="77777777" w:rsidR="00EB6564" w:rsidRDefault="00EB6564" w:rsidP="00EB6564">
      <w:pPr>
        <w:pStyle w:val="03HEADING3"/>
      </w:pPr>
      <w:r>
        <w:t>Reporting of Monitoring of Air Toxics</w:t>
      </w:r>
    </w:p>
    <w:p w14:paraId="1F3A1E51" w14:textId="77777777" w:rsidR="00EB6564" w:rsidRDefault="00EB6564" w:rsidP="00EB6564">
      <w:pPr>
        <w:pStyle w:val="05BODYTEXT"/>
      </w:pPr>
      <w:r>
        <w:t xml:space="preserve">Air toxics monitored in the 2018-19 reporting period included polycyclic aromatic hydrocarbons (including benzo[a]pyrene) at the Fisherman’s Landing monitoring site, an industrial area north of Gladstone, and the Auckland Point (central Gladstone) site, from 4 May 2018 to 5 June 2018. Ambient monitoring of benzene, toluene, xylenes and formaldehyde using DOAS instrumentation continued at Springwood in South East Queensland and in central Gladstone in 2018. </w:t>
      </w:r>
    </w:p>
    <w:p w14:paraId="13A9BF3A" w14:textId="77777777" w:rsidR="00EB6564" w:rsidRDefault="00EB6564" w:rsidP="00EB6564">
      <w:pPr>
        <w:pStyle w:val="05BODYTEXT"/>
      </w:pPr>
      <w:r>
        <w:t>Benzo[a]pyrene monitoring at the Fisherman’s Landing and Auckland Point sites in the Gladstone region between May and June 2018 showed that average concentrations for the one-month sampling period were 18.4 per cent and 4.2 per cent, respectively, of the Air Toxics NEPM annual average monitoring investigation level of 0.3 ng/m</w:t>
      </w:r>
      <w:r>
        <w:rPr>
          <w:vertAlign w:val="superscript"/>
        </w:rPr>
        <w:t>3</w:t>
      </w:r>
      <w:r>
        <w:t xml:space="preserve">. </w:t>
      </w:r>
    </w:p>
    <w:p w14:paraId="7219D794" w14:textId="77777777" w:rsidR="00EB6564" w:rsidRDefault="00EB6564" w:rsidP="00EB6564">
      <w:pPr>
        <w:pStyle w:val="05BODYTEXT"/>
      </w:pPr>
      <w:r>
        <w:t xml:space="preserve">Monitoring results from South East Queensland and Gladstone monitoring sites for the 2018 calendar year are provided in Tables 2-6 below. These results indicate that levels of air toxics are well below the Air Toxics NEPM investigation levels. </w:t>
      </w:r>
    </w:p>
    <w:p w14:paraId="64703BDB" w14:textId="77777777" w:rsidR="00EB6564" w:rsidRDefault="00EB6564" w:rsidP="00EB6564">
      <w:pPr>
        <w:pStyle w:val="06TABLEHEADING"/>
      </w:pPr>
      <w:r>
        <w:t>Table 2: Monitoring Results for Benzene</w:t>
      </w:r>
    </w:p>
    <w:tbl>
      <w:tblPr>
        <w:tblW w:w="0" w:type="auto"/>
        <w:tblInd w:w="-5" w:type="dxa"/>
        <w:tblLayout w:type="fixed"/>
        <w:tblCellMar>
          <w:left w:w="0" w:type="dxa"/>
          <w:right w:w="0" w:type="dxa"/>
        </w:tblCellMar>
        <w:tblLook w:val="0000" w:firstRow="0" w:lastRow="0" w:firstColumn="0" w:lastColumn="0" w:noHBand="0" w:noVBand="0"/>
      </w:tblPr>
      <w:tblGrid>
        <w:gridCol w:w="4701"/>
        <w:gridCol w:w="1360"/>
        <w:gridCol w:w="1361"/>
      </w:tblGrid>
      <w:tr w:rsidR="00EB6564" w14:paraId="20686FAB" w14:textId="77777777">
        <w:trPr>
          <w:trHeight w:val="60"/>
          <w:tblHeader/>
        </w:trPr>
        <w:tc>
          <w:tcPr>
            <w:tcW w:w="470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0B51A66" w14:textId="77777777" w:rsidR="00EB6564" w:rsidRDefault="00EB6564">
            <w:pPr>
              <w:pStyle w:val="NoParagraphStyle"/>
              <w:spacing w:line="240" w:lineRule="auto"/>
              <w:textAlignment w:val="auto"/>
              <w:rPr>
                <w:rFonts w:ascii="Calibri" w:hAnsi="Calibri" w:cs="Calibri"/>
                <w:color w:val="auto"/>
              </w:rPr>
            </w:pPr>
          </w:p>
        </w:tc>
        <w:tc>
          <w:tcPr>
            <w:tcW w:w="13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EC28CB9" w14:textId="77777777" w:rsidR="00EB6564" w:rsidRDefault="00EB6564">
            <w:pPr>
              <w:pStyle w:val="06bTABLEHEADERROW"/>
              <w:jc w:val="center"/>
            </w:pPr>
            <w:r>
              <w:t>Springwood</w:t>
            </w:r>
          </w:p>
        </w:tc>
        <w:tc>
          <w:tcPr>
            <w:tcW w:w="136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89D94F7" w14:textId="77777777" w:rsidR="00EB6564" w:rsidRDefault="00EB6564">
            <w:pPr>
              <w:pStyle w:val="06bTABLEHEADERROW"/>
              <w:jc w:val="center"/>
            </w:pPr>
            <w:r>
              <w:t>Central Gladstone</w:t>
            </w:r>
          </w:p>
        </w:tc>
      </w:tr>
      <w:tr w:rsidR="00EB6564" w14:paraId="1B91A925"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90C5D7" w14:textId="77777777" w:rsidR="00EB6564" w:rsidRDefault="00EB6564">
            <w:pPr>
              <w:pStyle w:val="06cTABLETEXT"/>
            </w:pPr>
            <w:r>
              <w:t>Air Toxic</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02B754" w14:textId="77777777" w:rsidR="00EB6564" w:rsidRDefault="00EB6564">
            <w:pPr>
              <w:pStyle w:val="06cTABLETEXT"/>
              <w:jc w:val="center"/>
            </w:pPr>
            <w:r>
              <w:t>Benzene</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3FCC69" w14:textId="77777777" w:rsidR="00EB6564" w:rsidRDefault="00EB6564">
            <w:pPr>
              <w:pStyle w:val="06cTABLETEXT"/>
              <w:jc w:val="center"/>
            </w:pPr>
            <w:r>
              <w:t>Benzene</w:t>
            </w:r>
          </w:p>
        </w:tc>
      </w:tr>
      <w:tr w:rsidR="00EB6564" w14:paraId="103FBC0B"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12B17B" w14:textId="77777777" w:rsidR="00EB6564" w:rsidRDefault="00EB6564">
            <w:pPr>
              <w:pStyle w:val="06cTABLETEXT"/>
            </w:pPr>
            <w:r>
              <w:t>Monitoring method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E2F88A2" w14:textId="77777777" w:rsidR="00EB6564" w:rsidRDefault="00EB6564">
            <w:pPr>
              <w:pStyle w:val="06cTABLETEXT"/>
              <w:jc w:val="center"/>
            </w:pPr>
            <w:r>
              <w:t>DOAS</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999D99" w14:textId="77777777" w:rsidR="00EB6564" w:rsidRDefault="00EB6564">
            <w:pPr>
              <w:pStyle w:val="06cTABLETEXT"/>
              <w:jc w:val="center"/>
            </w:pPr>
            <w:r>
              <w:t>DOAS</w:t>
            </w:r>
          </w:p>
        </w:tc>
      </w:tr>
      <w:tr w:rsidR="00EB6564" w14:paraId="69E6F65F"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81DB414" w14:textId="77777777" w:rsidR="00EB6564" w:rsidRDefault="00EB6564">
            <w:pPr>
              <w:pStyle w:val="06cTABLETEXT"/>
            </w:pPr>
            <w:r>
              <w:t>Period of monitoring</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926B6A" w14:textId="77777777" w:rsidR="00EB6564" w:rsidRDefault="00EB6564">
            <w:pPr>
              <w:pStyle w:val="06cTABLETEXT"/>
              <w:jc w:val="center"/>
            </w:pPr>
            <w:r>
              <w:t>1/1/18 to 31/12/18</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2F76A1" w14:textId="77777777" w:rsidR="00EB6564" w:rsidRDefault="00EB6564">
            <w:pPr>
              <w:pStyle w:val="06cTABLETEXT"/>
              <w:jc w:val="center"/>
            </w:pPr>
            <w:r>
              <w:t>1/1/18 to 31/12/18</w:t>
            </w:r>
          </w:p>
        </w:tc>
      </w:tr>
      <w:tr w:rsidR="00EB6564" w14:paraId="6D46123E"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C868C54" w14:textId="77777777" w:rsidR="00EB6564" w:rsidRDefault="00EB6564">
            <w:pPr>
              <w:pStyle w:val="06cTABLETEXT"/>
            </w:pPr>
            <w:r>
              <w:t>Number of valid results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C248FC" w14:textId="77777777" w:rsidR="00EB6564" w:rsidRDefault="00EB6564">
            <w:pPr>
              <w:pStyle w:val="06cTABLETEXT"/>
              <w:jc w:val="center"/>
            </w:pPr>
            <w:r>
              <w:t>320</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876B68D" w14:textId="77777777" w:rsidR="00EB6564" w:rsidRDefault="00EB6564">
            <w:pPr>
              <w:pStyle w:val="06cTABLETEXT"/>
              <w:jc w:val="center"/>
            </w:pPr>
            <w:r>
              <w:t>196</w:t>
            </w:r>
          </w:p>
        </w:tc>
      </w:tr>
      <w:tr w:rsidR="00EB6564" w14:paraId="47BE1012"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436B841" w14:textId="77777777" w:rsidR="00EB6564" w:rsidRDefault="00EB6564">
            <w:pPr>
              <w:pStyle w:val="06cTABLETEXT"/>
            </w:pPr>
            <w:r>
              <w:t>Maximum 24-hour average concentration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476676" w14:textId="77777777" w:rsidR="00EB6564" w:rsidRDefault="00EB6564">
            <w:pPr>
              <w:pStyle w:val="06cTABLETEXT"/>
              <w:jc w:val="center"/>
            </w:pPr>
            <w:r>
              <w:t>0.0023 ppm</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8329654" w14:textId="77777777" w:rsidR="00EB6564" w:rsidRDefault="00EB6564">
            <w:pPr>
              <w:pStyle w:val="06cTABLETEXT"/>
              <w:jc w:val="center"/>
            </w:pPr>
            <w:r>
              <w:t>0.0020 ppm</w:t>
            </w:r>
          </w:p>
        </w:tc>
      </w:tr>
      <w:tr w:rsidR="00EB6564" w14:paraId="4831683E"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7B709B" w14:textId="77777777" w:rsidR="00EB6564" w:rsidRDefault="00EB6564">
            <w:pPr>
              <w:pStyle w:val="06cTABLETEXT"/>
            </w:pPr>
            <w:r>
              <w:t>Annual average concentration (as arithmetic mean)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79BE3FE" w14:textId="77777777" w:rsidR="00EB6564" w:rsidRDefault="00EB6564">
            <w:pPr>
              <w:pStyle w:val="06cTABLETEXT"/>
              <w:jc w:val="center"/>
            </w:pPr>
            <w:r>
              <w:t>0.0009 ppm</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866084" w14:textId="77777777" w:rsidR="00EB6564" w:rsidRDefault="00EB6564">
            <w:pPr>
              <w:pStyle w:val="06cTABLETEXT"/>
              <w:jc w:val="center"/>
            </w:pPr>
            <w:r>
              <w:t>0.0014 ppm</w:t>
            </w:r>
          </w:p>
        </w:tc>
      </w:tr>
      <w:tr w:rsidR="00EB6564" w14:paraId="4E9911AD"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78E685" w14:textId="77777777" w:rsidR="00EB6564" w:rsidRDefault="00EB6564">
            <w:pPr>
              <w:pStyle w:val="06cTABLETEXT"/>
            </w:pPr>
            <w:r>
              <w:t>Arithmetic Standard Deviation of 24-hour average concentrations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B30478B" w14:textId="77777777" w:rsidR="00EB6564" w:rsidRDefault="00EB6564">
            <w:pPr>
              <w:pStyle w:val="06cTABLETEXT"/>
              <w:jc w:val="center"/>
            </w:pPr>
            <w:r>
              <w:t>0.0004 ppm</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635876D" w14:textId="77777777" w:rsidR="00EB6564" w:rsidRDefault="00EB6564">
            <w:pPr>
              <w:pStyle w:val="06cTABLETEXT"/>
              <w:jc w:val="center"/>
            </w:pPr>
            <w:r>
              <w:t>0.0002 ppm</w:t>
            </w:r>
          </w:p>
        </w:tc>
      </w:tr>
      <w:tr w:rsidR="00EB6564" w14:paraId="62266B66"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47F2B6" w14:textId="77777777" w:rsidR="00EB6564" w:rsidRDefault="00EB6564">
            <w:pPr>
              <w:pStyle w:val="06cTABLETEXT"/>
            </w:pPr>
            <w:r>
              <w:lastRenderedPageBreak/>
              <w:t>Number of times monitoring investigation level exceeded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371A4B" w14:textId="77777777" w:rsidR="00EB6564" w:rsidRDefault="00EB6564">
            <w:pPr>
              <w:pStyle w:val="06cTABLETEXT"/>
              <w:jc w:val="center"/>
            </w:pPr>
            <w:r>
              <w:t>0</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F8717B" w14:textId="77777777" w:rsidR="00EB6564" w:rsidRDefault="00EB6564">
            <w:pPr>
              <w:pStyle w:val="06cTABLETEXT"/>
              <w:jc w:val="center"/>
            </w:pPr>
            <w:r>
              <w:t>0</w:t>
            </w:r>
          </w:p>
        </w:tc>
      </w:tr>
    </w:tbl>
    <w:p w14:paraId="685F4907" w14:textId="77777777" w:rsidR="00EB6564" w:rsidRDefault="00EB6564" w:rsidP="00EB6564">
      <w:pPr>
        <w:pStyle w:val="06TABLEHEADING"/>
      </w:pPr>
      <w:r>
        <w:t>Table 3: Monitoring Results for Toluene</w:t>
      </w:r>
    </w:p>
    <w:tbl>
      <w:tblPr>
        <w:tblW w:w="0" w:type="auto"/>
        <w:tblInd w:w="-5" w:type="dxa"/>
        <w:tblLayout w:type="fixed"/>
        <w:tblCellMar>
          <w:left w:w="0" w:type="dxa"/>
          <w:right w:w="0" w:type="dxa"/>
        </w:tblCellMar>
        <w:tblLook w:val="0000" w:firstRow="0" w:lastRow="0" w:firstColumn="0" w:lastColumn="0" w:noHBand="0" w:noVBand="0"/>
      </w:tblPr>
      <w:tblGrid>
        <w:gridCol w:w="4701"/>
        <w:gridCol w:w="1360"/>
        <w:gridCol w:w="1361"/>
      </w:tblGrid>
      <w:tr w:rsidR="00EB6564" w14:paraId="505652BF" w14:textId="77777777">
        <w:trPr>
          <w:trHeight w:val="60"/>
          <w:tblHeader/>
        </w:trPr>
        <w:tc>
          <w:tcPr>
            <w:tcW w:w="470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A817C78" w14:textId="77777777" w:rsidR="00EB6564" w:rsidRDefault="00EB6564">
            <w:pPr>
              <w:pStyle w:val="NoParagraphStyle"/>
              <w:spacing w:line="240" w:lineRule="auto"/>
              <w:textAlignment w:val="auto"/>
              <w:rPr>
                <w:rFonts w:ascii="Calibri" w:hAnsi="Calibri" w:cs="Calibri"/>
                <w:color w:val="auto"/>
              </w:rPr>
            </w:pPr>
          </w:p>
        </w:tc>
        <w:tc>
          <w:tcPr>
            <w:tcW w:w="13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490C2CA" w14:textId="77777777" w:rsidR="00EB6564" w:rsidRDefault="00EB6564">
            <w:pPr>
              <w:pStyle w:val="06bTABLEHEADERROW"/>
              <w:jc w:val="center"/>
            </w:pPr>
            <w:r>
              <w:t>Springwood</w:t>
            </w:r>
          </w:p>
        </w:tc>
        <w:tc>
          <w:tcPr>
            <w:tcW w:w="136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08D85E5" w14:textId="77777777" w:rsidR="00EB6564" w:rsidRDefault="00EB6564">
            <w:pPr>
              <w:pStyle w:val="06bTABLEHEADERROW"/>
              <w:jc w:val="center"/>
            </w:pPr>
            <w:r>
              <w:t>Central Gladstone</w:t>
            </w:r>
          </w:p>
        </w:tc>
      </w:tr>
      <w:tr w:rsidR="00EB6564" w14:paraId="6BBC862E"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B137D7" w14:textId="77777777" w:rsidR="00EB6564" w:rsidRDefault="00EB6564">
            <w:pPr>
              <w:pStyle w:val="06cTABLETEXT"/>
            </w:pPr>
            <w:r>
              <w:t>Air Toxic</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B7F8DE" w14:textId="77777777" w:rsidR="00EB6564" w:rsidRDefault="00EB6564">
            <w:pPr>
              <w:pStyle w:val="06cTABLETEXT"/>
              <w:jc w:val="center"/>
            </w:pPr>
            <w:r>
              <w:t>Toluene</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BD3143E" w14:textId="77777777" w:rsidR="00EB6564" w:rsidRDefault="00EB6564">
            <w:pPr>
              <w:pStyle w:val="06cTABLETEXT"/>
              <w:jc w:val="center"/>
            </w:pPr>
            <w:r>
              <w:t>Toluene</w:t>
            </w:r>
          </w:p>
        </w:tc>
      </w:tr>
      <w:tr w:rsidR="00EB6564" w14:paraId="14E47C95"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A749610" w14:textId="77777777" w:rsidR="00EB6564" w:rsidRDefault="00EB6564">
            <w:pPr>
              <w:pStyle w:val="06cTABLETEXT"/>
            </w:pPr>
            <w:r>
              <w:t>Monitoring method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ADA753" w14:textId="77777777" w:rsidR="00EB6564" w:rsidRDefault="00EB6564">
            <w:pPr>
              <w:pStyle w:val="06cTABLETEXT"/>
              <w:jc w:val="center"/>
            </w:pPr>
            <w:r>
              <w:t>DOAS</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F8E7E2" w14:textId="77777777" w:rsidR="00EB6564" w:rsidRDefault="00EB6564">
            <w:pPr>
              <w:pStyle w:val="06cTABLETEXT"/>
              <w:jc w:val="center"/>
            </w:pPr>
            <w:r>
              <w:t>DOAS</w:t>
            </w:r>
          </w:p>
        </w:tc>
      </w:tr>
      <w:tr w:rsidR="00EB6564" w14:paraId="597D8F86"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8C0B71" w14:textId="77777777" w:rsidR="00EB6564" w:rsidRDefault="00EB6564">
            <w:pPr>
              <w:pStyle w:val="06cTABLETEXT"/>
            </w:pPr>
            <w:r>
              <w:t>Period of monitoring</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39FA114" w14:textId="77777777" w:rsidR="00EB6564" w:rsidRDefault="00EB6564">
            <w:pPr>
              <w:pStyle w:val="06cTABLETEXT"/>
              <w:jc w:val="center"/>
            </w:pPr>
            <w:r>
              <w:t>1/1/18 to 31/12/18</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F34A7D" w14:textId="77777777" w:rsidR="00EB6564" w:rsidRDefault="00EB6564">
            <w:pPr>
              <w:pStyle w:val="06cTABLETEXT"/>
              <w:jc w:val="center"/>
            </w:pPr>
            <w:r>
              <w:t>1/1/18 to 31/12/18</w:t>
            </w:r>
          </w:p>
        </w:tc>
      </w:tr>
      <w:tr w:rsidR="00EB6564" w14:paraId="164DFD81"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F7FA05" w14:textId="77777777" w:rsidR="00EB6564" w:rsidRDefault="00EB6564">
            <w:pPr>
              <w:pStyle w:val="06cTABLETEXT"/>
            </w:pPr>
            <w:r>
              <w:t>Number of valid results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43F72B4" w14:textId="77777777" w:rsidR="00EB6564" w:rsidRDefault="00EB6564">
            <w:pPr>
              <w:pStyle w:val="06cTABLETEXT"/>
              <w:jc w:val="center"/>
            </w:pPr>
            <w:r>
              <w:t>339</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20118D" w14:textId="77777777" w:rsidR="00EB6564" w:rsidRDefault="00EB6564">
            <w:pPr>
              <w:pStyle w:val="06cTABLETEXT"/>
              <w:jc w:val="center"/>
            </w:pPr>
            <w:r>
              <w:t>319</w:t>
            </w:r>
          </w:p>
        </w:tc>
      </w:tr>
      <w:tr w:rsidR="00EB6564" w14:paraId="1D639A2C"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0308F1" w14:textId="77777777" w:rsidR="00EB6564" w:rsidRDefault="00EB6564">
            <w:pPr>
              <w:pStyle w:val="06cTABLETEXT"/>
            </w:pPr>
            <w:r>
              <w:t>Maximum 24-hour average concentration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7ADF8B" w14:textId="77777777" w:rsidR="00EB6564" w:rsidRDefault="00EB6564">
            <w:pPr>
              <w:pStyle w:val="06cTABLETEXT"/>
              <w:jc w:val="center"/>
            </w:pPr>
            <w:r>
              <w:t>0.0077 ppm</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DE90BE" w14:textId="77777777" w:rsidR="00EB6564" w:rsidRDefault="00EB6564">
            <w:pPr>
              <w:pStyle w:val="06cTABLETEXT"/>
              <w:jc w:val="center"/>
            </w:pPr>
            <w:r>
              <w:t>0.0041 ppm</w:t>
            </w:r>
          </w:p>
        </w:tc>
      </w:tr>
      <w:tr w:rsidR="00EB6564" w14:paraId="36719952"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1E58F6" w14:textId="77777777" w:rsidR="00EB6564" w:rsidRDefault="00EB6564">
            <w:pPr>
              <w:pStyle w:val="06cTABLETEXT"/>
            </w:pPr>
            <w:r>
              <w:t>Annual average concentration (as arithmetic mean)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479A13" w14:textId="77777777" w:rsidR="00EB6564" w:rsidRDefault="00EB6564">
            <w:pPr>
              <w:pStyle w:val="06cTABLETEXT"/>
              <w:jc w:val="center"/>
            </w:pPr>
            <w:r>
              <w:t>0.0021 ppm</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EEBA65" w14:textId="77777777" w:rsidR="00EB6564" w:rsidRDefault="00EB6564">
            <w:pPr>
              <w:pStyle w:val="06cTABLETEXT"/>
              <w:jc w:val="center"/>
            </w:pPr>
            <w:r>
              <w:t>0.0022 ppm</w:t>
            </w:r>
          </w:p>
        </w:tc>
      </w:tr>
      <w:tr w:rsidR="00EB6564" w14:paraId="52DB88DD"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13B675" w14:textId="77777777" w:rsidR="00EB6564" w:rsidRDefault="00EB6564">
            <w:pPr>
              <w:pStyle w:val="06cTABLETEXT"/>
            </w:pPr>
            <w:r>
              <w:t>Arithmetic Standard Deviation of 24-hour average concentrations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4B6DE8" w14:textId="77777777" w:rsidR="00EB6564" w:rsidRDefault="00EB6564">
            <w:pPr>
              <w:pStyle w:val="06cTABLETEXT"/>
              <w:jc w:val="center"/>
            </w:pPr>
            <w:r>
              <w:t>0.0011 ppm</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C46174" w14:textId="77777777" w:rsidR="00EB6564" w:rsidRDefault="00EB6564">
            <w:pPr>
              <w:pStyle w:val="06cTABLETEXT"/>
              <w:jc w:val="center"/>
            </w:pPr>
            <w:r>
              <w:t>0.0005 ppm</w:t>
            </w:r>
          </w:p>
        </w:tc>
      </w:tr>
      <w:tr w:rsidR="00EB6564" w14:paraId="35416AD8"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1E6B70" w14:textId="77777777" w:rsidR="00EB6564" w:rsidRDefault="00EB6564">
            <w:pPr>
              <w:pStyle w:val="06cTABLETEXT"/>
            </w:pPr>
            <w:r>
              <w:t>Number of times monitoring investigation level exceeded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0C89C4" w14:textId="77777777" w:rsidR="00EB6564" w:rsidRDefault="00EB6564">
            <w:pPr>
              <w:pStyle w:val="06cTABLETEXT"/>
              <w:jc w:val="center"/>
            </w:pPr>
            <w:r>
              <w:t>0</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0E1B7E" w14:textId="77777777" w:rsidR="00EB6564" w:rsidRDefault="00EB6564">
            <w:pPr>
              <w:pStyle w:val="06cTABLETEXT"/>
              <w:jc w:val="center"/>
            </w:pPr>
            <w:r>
              <w:t>0</w:t>
            </w:r>
          </w:p>
        </w:tc>
      </w:tr>
    </w:tbl>
    <w:p w14:paraId="6123E980" w14:textId="77777777" w:rsidR="00EB6564" w:rsidRDefault="00EB6564" w:rsidP="00EB6564">
      <w:pPr>
        <w:pStyle w:val="06TABLEHEADING"/>
      </w:pPr>
      <w:r>
        <w:t>Table 4: Monitoring Results for Xylenes</w:t>
      </w:r>
    </w:p>
    <w:tbl>
      <w:tblPr>
        <w:tblW w:w="0" w:type="auto"/>
        <w:tblInd w:w="-5" w:type="dxa"/>
        <w:tblLayout w:type="fixed"/>
        <w:tblCellMar>
          <w:left w:w="0" w:type="dxa"/>
          <w:right w:w="0" w:type="dxa"/>
        </w:tblCellMar>
        <w:tblLook w:val="0000" w:firstRow="0" w:lastRow="0" w:firstColumn="0" w:lastColumn="0" w:noHBand="0" w:noVBand="0"/>
      </w:tblPr>
      <w:tblGrid>
        <w:gridCol w:w="4686"/>
        <w:gridCol w:w="1361"/>
        <w:gridCol w:w="1361"/>
      </w:tblGrid>
      <w:tr w:rsidR="00EB6564" w14:paraId="650BE016" w14:textId="77777777">
        <w:trPr>
          <w:trHeight w:val="60"/>
          <w:tblHeader/>
        </w:trPr>
        <w:tc>
          <w:tcPr>
            <w:tcW w:w="468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9C1C2B2" w14:textId="77777777" w:rsidR="00EB6564" w:rsidRDefault="00EB6564">
            <w:pPr>
              <w:pStyle w:val="NoParagraphStyle"/>
              <w:spacing w:line="240" w:lineRule="auto"/>
              <w:textAlignment w:val="auto"/>
              <w:rPr>
                <w:rFonts w:ascii="Calibri" w:hAnsi="Calibri" w:cs="Calibri"/>
                <w:color w:val="auto"/>
              </w:rPr>
            </w:pPr>
          </w:p>
        </w:tc>
        <w:tc>
          <w:tcPr>
            <w:tcW w:w="136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956EF6B" w14:textId="77777777" w:rsidR="00EB6564" w:rsidRDefault="00EB6564">
            <w:pPr>
              <w:pStyle w:val="06bTABLEHEADERROW"/>
              <w:jc w:val="center"/>
            </w:pPr>
            <w:r>
              <w:t>Springwood</w:t>
            </w:r>
          </w:p>
        </w:tc>
        <w:tc>
          <w:tcPr>
            <w:tcW w:w="136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72BC405" w14:textId="77777777" w:rsidR="00EB6564" w:rsidRDefault="00EB6564">
            <w:pPr>
              <w:pStyle w:val="06bTABLEHEADERROW"/>
              <w:jc w:val="center"/>
            </w:pPr>
            <w:r>
              <w:t>Central Gladstone</w:t>
            </w:r>
          </w:p>
        </w:tc>
      </w:tr>
      <w:tr w:rsidR="00EB6564" w14:paraId="099111D5" w14:textId="77777777">
        <w:trPr>
          <w:trHeight w:val="60"/>
        </w:trPr>
        <w:tc>
          <w:tcPr>
            <w:tcW w:w="468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3A097F8" w14:textId="77777777" w:rsidR="00EB6564" w:rsidRDefault="00EB6564">
            <w:pPr>
              <w:pStyle w:val="06cTABLETEXT"/>
            </w:pPr>
            <w:r>
              <w:t>Air Toxic</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F2AEC2" w14:textId="77777777" w:rsidR="00EB6564" w:rsidRDefault="00EB6564">
            <w:pPr>
              <w:pStyle w:val="06cTABLETEXT"/>
              <w:jc w:val="center"/>
            </w:pPr>
            <w:r>
              <w:t>Xylenes</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26FBA8" w14:textId="77777777" w:rsidR="00EB6564" w:rsidRDefault="00EB6564">
            <w:pPr>
              <w:pStyle w:val="06cTABLETEXT"/>
              <w:jc w:val="center"/>
            </w:pPr>
            <w:r>
              <w:t>Xylenes</w:t>
            </w:r>
          </w:p>
        </w:tc>
      </w:tr>
      <w:tr w:rsidR="00EB6564" w14:paraId="2C61E57D" w14:textId="77777777">
        <w:trPr>
          <w:trHeight w:val="60"/>
        </w:trPr>
        <w:tc>
          <w:tcPr>
            <w:tcW w:w="468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65DBE5" w14:textId="77777777" w:rsidR="00EB6564" w:rsidRDefault="00EB6564">
            <w:pPr>
              <w:pStyle w:val="06cTABLETEXT"/>
            </w:pPr>
            <w:r>
              <w:t>Monitoring method</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7B19D8C" w14:textId="77777777" w:rsidR="00EB6564" w:rsidRDefault="00EB6564">
            <w:pPr>
              <w:pStyle w:val="06cTABLETEXT"/>
              <w:jc w:val="center"/>
            </w:pPr>
            <w:r>
              <w:t>DOAS</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3F5EBC0" w14:textId="77777777" w:rsidR="00EB6564" w:rsidRDefault="00EB6564">
            <w:pPr>
              <w:pStyle w:val="06cTABLETEXT"/>
              <w:jc w:val="center"/>
            </w:pPr>
            <w:r>
              <w:t>DOAS</w:t>
            </w:r>
          </w:p>
        </w:tc>
      </w:tr>
      <w:tr w:rsidR="00EB6564" w14:paraId="63AA145C" w14:textId="77777777">
        <w:trPr>
          <w:trHeight w:val="60"/>
        </w:trPr>
        <w:tc>
          <w:tcPr>
            <w:tcW w:w="468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ADC3DA" w14:textId="77777777" w:rsidR="00EB6564" w:rsidRDefault="00EB6564">
            <w:pPr>
              <w:pStyle w:val="06cTABLETEXT"/>
            </w:pPr>
            <w:r>
              <w:t>Period of monitoring</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3F5B10" w14:textId="77777777" w:rsidR="00EB6564" w:rsidRDefault="00EB6564">
            <w:pPr>
              <w:pStyle w:val="06cTABLETEXT"/>
              <w:jc w:val="center"/>
            </w:pPr>
            <w:r>
              <w:t>1/1/18 to 31/12/18</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C95389F" w14:textId="77777777" w:rsidR="00EB6564" w:rsidRDefault="00EB6564">
            <w:pPr>
              <w:pStyle w:val="06cTABLETEXT"/>
              <w:jc w:val="center"/>
            </w:pPr>
            <w:r>
              <w:t>1/1/18 to 31/12/18</w:t>
            </w:r>
          </w:p>
        </w:tc>
      </w:tr>
      <w:tr w:rsidR="00EB6564" w14:paraId="7069931D" w14:textId="77777777">
        <w:trPr>
          <w:trHeight w:val="60"/>
        </w:trPr>
        <w:tc>
          <w:tcPr>
            <w:tcW w:w="468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DBFD25" w14:textId="77777777" w:rsidR="00EB6564" w:rsidRDefault="00EB6564">
            <w:pPr>
              <w:pStyle w:val="06cTABLETEXT"/>
            </w:pPr>
            <w:r>
              <w:t>Number of valid results</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88B2140" w14:textId="77777777" w:rsidR="00EB6564" w:rsidRDefault="00EB6564">
            <w:pPr>
              <w:pStyle w:val="06cTABLETEXT"/>
              <w:jc w:val="center"/>
            </w:pPr>
            <w:r>
              <w:t>340</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875F8D" w14:textId="77777777" w:rsidR="00EB6564" w:rsidRDefault="00EB6564">
            <w:pPr>
              <w:pStyle w:val="06cTABLETEXT"/>
              <w:jc w:val="center"/>
            </w:pPr>
            <w:r>
              <w:t>338</w:t>
            </w:r>
          </w:p>
        </w:tc>
      </w:tr>
      <w:tr w:rsidR="00EB6564" w14:paraId="56FF7A56" w14:textId="77777777">
        <w:trPr>
          <w:trHeight w:val="60"/>
        </w:trPr>
        <w:tc>
          <w:tcPr>
            <w:tcW w:w="468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3DB925" w14:textId="77777777" w:rsidR="00EB6564" w:rsidRDefault="00EB6564">
            <w:pPr>
              <w:pStyle w:val="06cTABLETEXT"/>
            </w:pPr>
            <w:r>
              <w:t>Maximum 24-hour average concentration</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3F492C9" w14:textId="77777777" w:rsidR="00EB6564" w:rsidRDefault="00EB6564">
            <w:pPr>
              <w:pStyle w:val="06cTABLETEXT"/>
              <w:jc w:val="center"/>
            </w:pPr>
            <w:r>
              <w:t>0.0152 ppm</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8B01AC3" w14:textId="77777777" w:rsidR="00EB6564" w:rsidRDefault="00EB6564">
            <w:pPr>
              <w:pStyle w:val="06cTABLETEXT"/>
              <w:jc w:val="center"/>
            </w:pPr>
            <w:r>
              <w:t>0.0122 ppm</w:t>
            </w:r>
          </w:p>
        </w:tc>
      </w:tr>
      <w:tr w:rsidR="00EB6564" w14:paraId="1F5D89D5" w14:textId="77777777">
        <w:trPr>
          <w:trHeight w:val="60"/>
        </w:trPr>
        <w:tc>
          <w:tcPr>
            <w:tcW w:w="468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052ABB" w14:textId="77777777" w:rsidR="00EB6564" w:rsidRDefault="00EB6564">
            <w:pPr>
              <w:pStyle w:val="06cTABLETEXT"/>
            </w:pPr>
            <w:r>
              <w:t>Annual average concentration (as arithmetic mean)</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451A95" w14:textId="77777777" w:rsidR="00EB6564" w:rsidRDefault="00EB6564">
            <w:pPr>
              <w:pStyle w:val="06cTABLETEXT"/>
              <w:jc w:val="center"/>
            </w:pPr>
            <w:r>
              <w:t>0.0078 ppm</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198704" w14:textId="77777777" w:rsidR="00EB6564" w:rsidRDefault="00EB6564">
            <w:pPr>
              <w:pStyle w:val="06cTABLETEXT"/>
              <w:jc w:val="center"/>
            </w:pPr>
            <w:r>
              <w:t>0.0047 ppm</w:t>
            </w:r>
          </w:p>
        </w:tc>
      </w:tr>
      <w:tr w:rsidR="00EB6564" w14:paraId="4D1A25C1" w14:textId="77777777">
        <w:trPr>
          <w:trHeight w:val="60"/>
        </w:trPr>
        <w:tc>
          <w:tcPr>
            <w:tcW w:w="468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7D8100" w14:textId="77777777" w:rsidR="00EB6564" w:rsidRDefault="00EB6564">
            <w:pPr>
              <w:pStyle w:val="06cTABLETEXT"/>
            </w:pPr>
            <w:r>
              <w:t>Arithmetic Standard Deviation of 24-hour average concentrations</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CAC7ED" w14:textId="77777777" w:rsidR="00EB6564" w:rsidRDefault="00EB6564">
            <w:pPr>
              <w:pStyle w:val="06cTABLETEXT"/>
              <w:jc w:val="center"/>
            </w:pPr>
            <w:r>
              <w:t>0.0024 ppm</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648A4B" w14:textId="77777777" w:rsidR="00EB6564" w:rsidRDefault="00EB6564">
            <w:pPr>
              <w:pStyle w:val="06cTABLETEXT"/>
              <w:jc w:val="center"/>
            </w:pPr>
            <w:r>
              <w:t>0.0011 ppm</w:t>
            </w:r>
          </w:p>
        </w:tc>
      </w:tr>
      <w:tr w:rsidR="00EB6564" w14:paraId="2F5E9654" w14:textId="77777777">
        <w:trPr>
          <w:trHeight w:val="60"/>
        </w:trPr>
        <w:tc>
          <w:tcPr>
            <w:tcW w:w="468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F273407" w14:textId="77777777" w:rsidR="00EB6564" w:rsidRDefault="00EB6564">
            <w:pPr>
              <w:pStyle w:val="06cTABLETEXT"/>
            </w:pPr>
            <w:r>
              <w:t>Number of times monitoring investigation level exceeded</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03E55C" w14:textId="77777777" w:rsidR="00EB6564" w:rsidRDefault="00EB6564">
            <w:pPr>
              <w:pStyle w:val="06cTABLETEXT"/>
              <w:jc w:val="center"/>
            </w:pPr>
            <w:r>
              <w:t>0</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682B4CB" w14:textId="77777777" w:rsidR="00EB6564" w:rsidRDefault="00EB6564">
            <w:pPr>
              <w:pStyle w:val="06cTABLETEXT"/>
              <w:jc w:val="center"/>
            </w:pPr>
            <w:r>
              <w:t>0</w:t>
            </w:r>
          </w:p>
        </w:tc>
      </w:tr>
    </w:tbl>
    <w:p w14:paraId="3689376B" w14:textId="77777777" w:rsidR="00EB6564" w:rsidRDefault="00EB6564" w:rsidP="00EB6564">
      <w:pPr>
        <w:pStyle w:val="06TABLEHEADING"/>
      </w:pPr>
      <w:r>
        <w:t>Table 5: Monitoring Results for Formaldehyde</w:t>
      </w:r>
    </w:p>
    <w:tbl>
      <w:tblPr>
        <w:tblW w:w="0" w:type="auto"/>
        <w:tblInd w:w="-5" w:type="dxa"/>
        <w:tblLayout w:type="fixed"/>
        <w:tblCellMar>
          <w:left w:w="0" w:type="dxa"/>
          <w:right w:w="0" w:type="dxa"/>
        </w:tblCellMar>
        <w:tblLook w:val="0000" w:firstRow="0" w:lastRow="0" w:firstColumn="0" w:lastColumn="0" w:noHBand="0" w:noVBand="0"/>
      </w:tblPr>
      <w:tblGrid>
        <w:gridCol w:w="4701"/>
        <w:gridCol w:w="1360"/>
        <w:gridCol w:w="1361"/>
      </w:tblGrid>
      <w:tr w:rsidR="00EB6564" w14:paraId="694CC779" w14:textId="77777777">
        <w:trPr>
          <w:trHeight w:val="60"/>
          <w:tblHeader/>
        </w:trPr>
        <w:tc>
          <w:tcPr>
            <w:tcW w:w="470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91FE654" w14:textId="77777777" w:rsidR="00EB6564" w:rsidRDefault="00EB6564">
            <w:pPr>
              <w:pStyle w:val="NoParagraphStyle"/>
              <w:spacing w:line="240" w:lineRule="auto"/>
              <w:textAlignment w:val="auto"/>
              <w:rPr>
                <w:rFonts w:ascii="Calibri" w:hAnsi="Calibri" w:cs="Calibri"/>
                <w:color w:val="auto"/>
              </w:rPr>
            </w:pPr>
          </w:p>
        </w:tc>
        <w:tc>
          <w:tcPr>
            <w:tcW w:w="13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7D3F1EA" w14:textId="77777777" w:rsidR="00EB6564" w:rsidRDefault="00EB6564">
            <w:pPr>
              <w:pStyle w:val="06bTABLEHEADERROW"/>
              <w:jc w:val="center"/>
            </w:pPr>
            <w:r>
              <w:t>Springwood</w:t>
            </w:r>
          </w:p>
        </w:tc>
        <w:tc>
          <w:tcPr>
            <w:tcW w:w="136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8F49033" w14:textId="77777777" w:rsidR="00EB6564" w:rsidRDefault="00EB6564">
            <w:pPr>
              <w:pStyle w:val="06bTABLEHEADERROW"/>
              <w:jc w:val="center"/>
            </w:pPr>
            <w:r>
              <w:t>Central Gladstone</w:t>
            </w:r>
          </w:p>
        </w:tc>
      </w:tr>
      <w:tr w:rsidR="00EB6564" w14:paraId="6803357E"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8D49B8" w14:textId="77777777" w:rsidR="00EB6564" w:rsidRDefault="00EB6564">
            <w:pPr>
              <w:pStyle w:val="06cTABLETEXT"/>
            </w:pPr>
            <w:r>
              <w:t>Air Toxic</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51ECBC" w14:textId="77777777" w:rsidR="00EB6564" w:rsidRDefault="00EB6564">
            <w:pPr>
              <w:pStyle w:val="06cTABLETEXT"/>
              <w:jc w:val="center"/>
            </w:pPr>
            <w:r>
              <w:t>Formaldehyde</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F3E0C8" w14:textId="77777777" w:rsidR="00EB6564" w:rsidRDefault="00EB6564">
            <w:pPr>
              <w:pStyle w:val="06cTABLETEXT"/>
              <w:jc w:val="center"/>
            </w:pPr>
            <w:r>
              <w:t>Formaldehyde</w:t>
            </w:r>
          </w:p>
        </w:tc>
      </w:tr>
      <w:tr w:rsidR="00EB6564" w14:paraId="54C34824"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27FEA2" w14:textId="77777777" w:rsidR="00EB6564" w:rsidRDefault="00EB6564">
            <w:pPr>
              <w:pStyle w:val="06cTABLETEXT"/>
            </w:pPr>
            <w:r>
              <w:t>Monitoring method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608137" w14:textId="77777777" w:rsidR="00EB6564" w:rsidRDefault="00EB6564">
            <w:pPr>
              <w:pStyle w:val="06cTABLETEXT"/>
              <w:jc w:val="center"/>
            </w:pPr>
            <w:r>
              <w:t>DOAS</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449F830" w14:textId="77777777" w:rsidR="00EB6564" w:rsidRDefault="00EB6564">
            <w:pPr>
              <w:pStyle w:val="06cTABLETEXT"/>
              <w:jc w:val="center"/>
            </w:pPr>
            <w:r>
              <w:t>DOAS</w:t>
            </w:r>
          </w:p>
        </w:tc>
      </w:tr>
      <w:tr w:rsidR="00EB6564" w14:paraId="4B9FE669"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B36CE9" w14:textId="77777777" w:rsidR="00EB6564" w:rsidRDefault="00EB6564">
            <w:pPr>
              <w:pStyle w:val="06cTABLETEXT"/>
            </w:pPr>
            <w:r>
              <w:lastRenderedPageBreak/>
              <w:t>Period of monitoring</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660CB3" w14:textId="77777777" w:rsidR="00EB6564" w:rsidRDefault="00EB6564">
            <w:pPr>
              <w:pStyle w:val="06cTABLETEXT"/>
              <w:jc w:val="center"/>
            </w:pPr>
            <w:r>
              <w:t>1/1/18 to 31/12/18</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01F1A4" w14:textId="77777777" w:rsidR="00EB6564" w:rsidRDefault="00EB6564">
            <w:pPr>
              <w:pStyle w:val="06cTABLETEXT"/>
              <w:jc w:val="center"/>
            </w:pPr>
            <w:r>
              <w:t>1/1/18 to 31/12/18</w:t>
            </w:r>
          </w:p>
        </w:tc>
      </w:tr>
      <w:tr w:rsidR="00EB6564" w14:paraId="5CD02D88"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0572F13" w14:textId="77777777" w:rsidR="00EB6564" w:rsidRDefault="00EB6564">
            <w:pPr>
              <w:pStyle w:val="06cTABLETEXT"/>
            </w:pPr>
            <w:r>
              <w:t>Number of valid results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B5B914" w14:textId="77777777" w:rsidR="00EB6564" w:rsidRDefault="00EB6564">
            <w:pPr>
              <w:pStyle w:val="06cTABLETEXT"/>
              <w:jc w:val="center"/>
            </w:pPr>
            <w:r>
              <w:t>293</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58A118D" w14:textId="77777777" w:rsidR="00EB6564" w:rsidRDefault="00EB6564">
            <w:pPr>
              <w:pStyle w:val="06cTABLETEXT"/>
              <w:jc w:val="center"/>
            </w:pPr>
            <w:r>
              <w:t>339</w:t>
            </w:r>
          </w:p>
        </w:tc>
      </w:tr>
      <w:tr w:rsidR="00EB6564" w14:paraId="1440DDB3"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6F960B" w14:textId="77777777" w:rsidR="00EB6564" w:rsidRDefault="00EB6564">
            <w:pPr>
              <w:pStyle w:val="06cTABLETEXT"/>
            </w:pPr>
            <w:r>
              <w:t>Maximum 24-hour average concentration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DC0375" w14:textId="77777777" w:rsidR="00EB6564" w:rsidRDefault="00EB6564">
            <w:pPr>
              <w:pStyle w:val="06cTABLETEXT"/>
              <w:jc w:val="center"/>
            </w:pPr>
            <w:r>
              <w:t>0.0100 ppm</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B7D62B6" w14:textId="77777777" w:rsidR="00EB6564" w:rsidRDefault="00EB6564">
            <w:pPr>
              <w:pStyle w:val="06cTABLETEXT"/>
              <w:jc w:val="center"/>
            </w:pPr>
            <w:r>
              <w:t>0.0067 ppm</w:t>
            </w:r>
          </w:p>
        </w:tc>
      </w:tr>
      <w:tr w:rsidR="00EB6564" w14:paraId="3ECEFDBB"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85DFFD" w14:textId="77777777" w:rsidR="00EB6564" w:rsidRDefault="00EB6564">
            <w:pPr>
              <w:pStyle w:val="06cTABLETEXT"/>
            </w:pPr>
            <w:r>
              <w:t>Annual average concentration (as arithmetic mean)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EEBD16" w14:textId="77777777" w:rsidR="00EB6564" w:rsidRDefault="00EB6564">
            <w:pPr>
              <w:pStyle w:val="06cTABLETEXT"/>
              <w:jc w:val="center"/>
            </w:pPr>
            <w:r>
              <w:t>0.0053 ppm</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D8B61B" w14:textId="77777777" w:rsidR="00EB6564" w:rsidRDefault="00EB6564">
            <w:pPr>
              <w:pStyle w:val="06cTABLETEXT"/>
              <w:jc w:val="center"/>
            </w:pPr>
            <w:r>
              <w:t>0.0029 ppm</w:t>
            </w:r>
          </w:p>
        </w:tc>
      </w:tr>
      <w:tr w:rsidR="00EB6564" w14:paraId="7DEB9D24"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E8B332" w14:textId="77777777" w:rsidR="00EB6564" w:rsidRDefault="00EB6564">
            <w:pPr>
              <w:pStyle w:val="06cTABLETEXT"/>
            </w:pPr>
            <w:r>
              <w:t>Arithmetic Standard Deviation of 24-hour average concentrations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2F4AD8" w14:textId="77777777" w:rsidR="00EB6564" w:rsidRDefault="00EB6564">
            <w:pPr>
              <w:pStyle w:val="06cTABLETEXT"/>
              <w:jc w:val="center"/>
            </w:pPr>
            <w:r>
              <w:t>0.0016 ppm</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573DD4" w14:textId="77777777" w:rsidR="00EB6564" w:rsidRDefault="00EB6564">
            <w:pPr>
              <w:pStyle w:val="06cTABLETEXT"/>
              <w:jc w:val="center"/>
            </w:pPr>
            <w:r>
              <w:t>0.0006 ppm</w:t>
            </w:r>
          </w:p>
        </w:tc>
      </w:tr>
      <w:tr w:rsidR="00EB6564" w14:paraId="79FC0D29" w14:textId="77777777">
        <w:trPr>
          <w:trHeight w:val="60"/>
        </w:trPr>
        <w:tc>
          <w:tcPr>
            <w:tcW w:w="470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F877F2" w14:textId="77777777" w:rsidR="00EB6564" w:rsidRDefault="00EB6564">
            <w:pPr>
              <w:pStyle w:val="06cTABLETEXT"/>
            </w:pPr>
            <w:r>
              <w:t>Number of times monitoring investigation level exceeded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1E6126" w14:textId="77777777" w:rsidR="00EB6564" w:rsidRDefault="00EB6564">
            <w:pPr>
              <w:pStyle w:val="06cTABLETEXT"/>
              <w:jc w:val="center"/>
            </w:pPr>
            <w:r>
              <w:t>0</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81A74D" w14:textId="77777777" w:rsidR="00EB6564" w:rsidRDefault="00EB6564">
            <w:pPr>
              <w:pStyle w:val="06cTABLETEXT"/>
              <w:jc w:val="center"/>
            </w:pPr>
            <w:r>
              <w:t>0</w:t>
            </w:r>
          </w:p>
        </w:tc>
      </w:tr>
    </w:tbl>
    <w:p w14:paraId="56CEA497" w14:textId="77777777" w:rsidR="00EB6564" w:rsidRDefault="00EB6564" w:rsidP="00EB6564">
      <w:pPr>
        <w:pStyle w:val="06TABLEHEADING"/>
      </w:pPr>
      <w:r>
        <w:t>Table 6: Monitoring Results for Benzo[a]pyrene</w:t>
      </w:r>
    </w:p>
    <w:tbl>
      <w:tblPr>
        <w:tblW w:w="0" w:type="auto"/>
        <w:tblInd w:w="-5" w:type="dxa"/>
        <w:tblLayout w:type="fixed"/>
        <w:tblCellMar>
          <w:left w:w="0" w:type="dxa"/>
          <w:right w:w="0" w:type="dxa"/>
        </w:tblCellMar>
        <w:tblLook w:val="0000" w:firstRow="0" w:lastRow="0" w:firstColumn="0" w:lastColumn="0" w:noHBand="0" w:noVBand="0"/>
      </w:tblPr>
      <w:tblGrid>
        <w:gridCol w:w="4715"/>
        <w:gridCol w:w="1360"/>
        <w:gridCol w:w="1361"/>
      </w:tblGrid>
      <w:tr w:rsidR="00EB6564" w14:paraId="3FC0F729" w14:textId="77777777">
        <w:trPr>
          <w:trHeight w:val="60"/>
          <w:tblHeader/>
        </w:trPr>
        <w:tc>
          <w:tcPr>
            <w:tcW w:w="471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08D2133" w14:textId="77777777" w:rsidR="00EB6564" w:rsidRDefault="00EB6564">
            <w:pPr>
              <w:pStyle w:val="NoParagraphStyle"/>
              <w:spacing w:line="240" w:lineRule="auto"/>
              <w:textAlignment w:val="auto"/>
              <w:rPr>
                <w:rFonts w:ascii="Calibri" w:hAnsi="Calibri" w:cs="Calibri"/>
                <w:color w:val="auto"/>
              </w:rPr>
            </w:pPr>
          </w:p>
        </w:tc>
        <w:tc>
          <w:tcPr>
            <w:tcW w:w="13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13F9464" w14:textId="77777777" w:rsidR="00EB6564" w:rsidRDefault="00EB6564">
            <w:pPr>
              <w:pStyle w:val="06bTABLEHEADERROW"/>
              <w:jc w:val="center"/>
            </w:pPr>
            <w:r>
              <w:t>Fisherman’s Landing</w:t>
            </w:r>
          </w:p>
        </w:tc>
        <w:tc>
          <w:tcPr>
            <w:tcW w:w="136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F2CABA1" w14:textId="77777777" w:rsidR="00EB6564" w:rsidRDefault="00EB6564">
            <w:pPr>
              <w:pStyle w:val="06bTABLEHEADERROW"/>
              <w:jc w:val="center"/>
            </w:pPr>
            <w:r>
              <w:t>Auckland Point</w:t>
            </w:r>
          </w:p>
        </w:tc>
      </w:tr>
      <w:tr w:rsidR="00EB6564" w14:paraId="442B2804"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D6B828" w14:textId="77777777" w:rsidR="00EB6564" w:rsidRDefault="00EB6564">
            <w:pPr>
              <w:pStyle w:val="06cTABLETEXT"/>
            </w:pPr>
            <w:r>
              <w:t>Air Toxic</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63D5B0" w14:textId="77777777" w:rsidR="00EB6564" w:rsidRDefault="00EB6564">
            <w:pPr>
              <w:pStyle w:val="06cTABLETEXT"/>
              <w:jc w:val="center"/>
            </w:pPr>
            <w:r>
              <w:t>Benzo[a]pyrene</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097DC7" w14:textId="77777777" w:rsidR="00EB6564" w:rsidRDefault="00EB6564">
            <w:pPr>
              <w:pStyle w:val="06cTABLETEXT"/>
              <w:jc w:val="center"/>
            </w:pPr>
            <w:r>
              <w:t>Benzo[a]pyrene</w:t>
            </w:r>
          </w:p>
        </w:tc>
      </w:tr>
      <w:tr w:rsidR="00EB6564" w14:paraId="08953E72"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6AAEA6F" w14:textId="77777777" w:rsidR="00EB6564" w:rsidRDefault="00EB6564">
            <w:pPr>
              <w:pStyle w:val="06cTABLETEXT"/>
            </w:pPr>
            <w:r>
              <w:t>Monitoring method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F07B05" w14:textId="77777777" w:rsidR="00EB6564" w:rsidRDefault="00EB6564">
            <w:pPr>
              <w:pStyle w:val="06cTABLETEXT"/>
              <w:jc w:val="center"/>
            </w:pPr>
            <w:r>
              <w:t>TO-13A</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AC285D" w14:textId="77777777" w:rsidR="00EB6564" w:rsidRDefault="00EB6564">
            <w:pPr>
              <w:pStyle w:val="06cTABLETEXT"/>
              <w:jc w:val="center"/>
            </w:pPr>
            <w:r>
              <w:t>TO-13A</w:t>
            </w:r>
          </w:p>
        </w:tc>
      </w:tr>
      <w:tr w:rsidR="00EB6564" w14:paraId="193BF3DD"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8959E7" w14:textId="77777777" w:rsidR="00EB6564" w:rsidRDefault="00EB6564">
            <w:pPr>
              <w:pStyle w:val="06cTABLETEXT"/>
            </w:pPr>
            <w:r>
              <w:t>Period of monitoring</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4ADF7E" w14:textId="77777777" w:rsidR="00EB6564" w:rsidRDefault="00EB6564">
            <w:pPr>
              <w:pStyle w:val="06cTABLETEXT"/>
              <w:jc w:val="center"/>
            </w:pPr>
            <w:r>
              <w:t>4/5/18 to 5/6/2018</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36C9FD2" w14:textId="77777777" w:rsidR="00EB6564" w:rsidRDefault="00EB6564">
            <w:pPr>
              <w:pStyle w:val="06cTABLETEXT"/>
              <w:jc w:val="center"/>
            </w:pPr>
            <w:r>
              <w:t>4/5/18 to 5/6/2018</w:t>
            </w:r>
          </w:p>
        </w:tc>
      </w:tr>
      <w:tr w:rsidR="00EB6564" w14:paraId="348C4DCE"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C071E15" w14:textId="77777777" w:rsidR="00EB6564" w:rsidRDefault="00EB6564">
            <w:pPr>
              <w:pStyle w:val="06cTABLETEXT"/>
            </w:pPr>
            <w:r>
              <w:t>Number of valid results†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819D955" w14:textId="77777777" w:rsidR="00EB6564" w:rsidRDefault="00EB6564">
            <w:pPr>
              <w:pStyle w:val="06cTABLETEXT"/>
              <w:jc w:val="center"/>
            </w:pPr>
            <w:r>
              <w:t>1</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2B35338" w14:textId="77777777" w:rsidR="00EB6564" w:rsidRDefault="00EB6564">
            <w:pPr>
              <w:pStyle w:val="06cTABLETEXT"/>
              <w:jc w:val="center"/>
            </w:pPr>
            <w:r>
              <w:t>1</w:t>
            </w:r>
          </w:p>
        </w:tc>
      </w:tr>
      <w:tr w:rsidR="00EB6564" w14:paraId="53735460"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91B61A" w14:textId="77777777" w:rsidR="00EB6564" w:rsidRDefault="00EB6564">
            <w:pPr>
              <w:pStyle w:val="06cTABLETEXT"/>
            </w:pPr>
            <w:r>
              <w:t>Maximum monthly average concentration†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03BAE4" w14:textId="77777777" w:rsidR="00EB6564" w:rsidRDefault="00EB6564">
            <w:pPr>
              <w:pStyle w:val="06cTABLETEXT"/>
              <w:jc w:val="center"/>
            </w:pPr>
            <w:r>
              <w:t>0.055 ng/m</w:t>
            </w:r>
            <w:r>
              <w:rPr>
                <w:vertAlign w:val="superscript"/>
              </w:rPr>
              <w:t>3</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425A68E" w14:textId="77777777" w:rsidR="00EB6564" w:rsidRDefault="00EB6564">
            <w:pPr>
              <w:pStyle w:val="06cTABLETEXT"/>
              <w:jc w:val="center"/>
            </w:pPr>
            <w:r>
              <w:t>0.013 ng/m</w:t>
            </w:r>
            <w:r>
              <w:rPr>
                <w:vertAlign w:val="superscript"/>
              </w:rPr>
              <w:t>3</w:t>
            </w:r>
          </w:p>
        </w:tc>
      </w:tr>
      <w:tr w:rsidR="00EB6564" w14:paraId="36B76D7B"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78C8F6" w14:textId="77777777" w:rsidR="00EB6564" w:rsidRDefault="00EB6564">
            <w:pPr>
              <w:pStyle w:val="06cTABLETEXT"/>
            </w:pPr>
            <w:r>
              <w:t>Average concentration (as arithmetic mean)</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6C22FED" w14:textId="77777777" w:rsidR="00EB6564" w:rsidRDefault="00EB6564">
            <w:pPr>
              <w:pStyle w:val="06cTABLETEXT"/>
              <w:jc w:val="center"/>
            </w:pPr>
            <w:r>
              <w:t>0.055 ng/m</w:t>
            </w:r>
            <w:r>
              <w:rPr>
                <w:vertAlign w:val="superscript"/>
              </w:rPr>
              <w:t>3</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B57787" w14:textId="77777777" w:rsidR="00EB6564" w:rsidRDefault="00EB6564">
            <w:pPr>
              <w:pStyle w:val="06cTABLETEXT"/>
              <w:jc w:val="center"/>
            </w:pPr>
            <w:r>
              <w:t>0.013 ng/m</w:t>
            </w:r>
            <w:r>
              <w:rPr>
                <w:vertAlign w:val="superscript"/>
              </w:rPr>
              <w:t>3</w:t>
            </w:r>
          </w:p>
        </w:tc>
      </w:tr>
      <w:tr w:rsidR="00EB6564" w14:paraId="6B25635D"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EFCFD7" w14:textId="77777777" w:rsidR="00EB6564" w:rsidRDefault="00EB6564">
            <w:pPr>
              <w:pStyle w:val="06cTABLETEXT"/>
            </w:pPr>
            <w:r>
              <w:t>Arithmetic Standard Deviation of monthly average concentrations†</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0541DF" w14:textId="77777777" w:rsidR="00EB6564" w:rsidRDefault="00EB6564">
            <w:pPr>
              <w:pStyle w:val="06cTABLETEXT"/>
              <w:jc w:val="center"/>
            </w:pPr>
            <w:r>
              <w:t>N/A</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BCEEE4" w14:textId="77777777" w:rsidR="00EB6564" w:rsidRDefault="00EB6564">
            <w:pPr>
              <w:pStyle w:val="06cTABLETEXT"/>
              <w:jc w:val="center"/>
            </w:pPr>
            <w:r>
              <w:t>N/A</w:t>
            </w:r>
          </w:p>
        </w:tc>
      </w:tr>
      <w:tr w:rsidR="00EB6564" w14:paraId="1864BA9A"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61CC04" w14:textId="77777777" w:rsidR="00EB6564" w:rsidRDefault="00EB6564">
            <w:pPr>
              <w:pStyle w:val="06cTABLETEXT"/>
            </w:pPr>
            <w:r>
              <w:t>Number of times monitoring investigation level exceeded</w:t>
            </w:r>
          </w:p>
        </w:tc>
        <w:tc>
          <w:tcPr>
            <w:tcW w:w="13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6DC83C2" w14:textId="77777777" w:rsidR="00EB6564" w:rsidRDefault="00EB6564">
            <w:pPr>
              <w:pStyle w:val="06cTABLETEXT"/>
              <w:jc w:val="center"/>
            </w:pPr>
            <w:r>
              <w:t>0</w:t>
            </w:r>
          </w:p>
        </w:tc>
        <w:tc>
          <w:tcPr>
            <w:tcW w:w="13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B755D5" w14:textId="77777777" w:rsidR="00EB6564" w:rsidRDefault="00EB6564">
            <w:pPr>
              <w:pStyle w:val="06cTABLETEXT"/>
              <w:jc w:val="center"/>
            </w:pPr>
            <w:r>
              <w:t>0</w:t>
            </w:r>
          </w:p>
        </w:tc>
      </w:tr>
    </w:tbl>
    <w:p w14:paraId="122AE91B" w14:textId="77777777" w:rsidR="00EB6564" w:rsidRPr="00397A8C" w:rsidRDefault="00EB6564" w:rsidP="00EB6564">
      <w:pPr>
        <w:pStyle w:val="05BODYTEXT"/>
      </w:pPr>
      <w:r w:rsidRPr="00397A8C">
        <w:t>† monthly, rather than 24-hour, sampling was conducted; one sample was collected over a one-month period</w:t>
      </w:r>
    </w:p>
    <w:p w14:paraId="133D71ED" w14:textId="77777777" w:rsidR="00EB6564" w:rsidRDefault="00EB6564" w:rsidP="00EB6564">
      <w:pPr>
        <w:pStyle w:val="03HEADING3"/>
      </w:pPr>
      <w:r>
        <w:t>Reporting on Assessment and Action if any planned or taken to manage air toxics</w:t>
      </w:r>
    </w:p>
    <w:p w14:paraId="37483EA8" w14:textId="77777777" w:rsidR="00EB6564" w:rsidRDefault="00EB6564" w:rsidP="00EB6564">
      <w:pPr>
        <w:pStyle w:val="05BODYTEXT"/>
      </w:pPr>
      <w:r>
        <w:t>From the monitoring results for 2018 reporting period, together with past results, there is no evidence that the Air Toxics NEPM monitoring investigation levels would be exceeded in ambient air in Queensland. Consequently, no specific management actions to reduce air toxics concentrations have been implemented.</w:t>
      </w:r>
    </w:p>
    <w:p w14:paraId="6998774A" w14:textId="77777777" w:rsidR="00EB6564" w:rsidRDefault="00EB6564" w:rsidP="00EB6564">
      <w:pPr>
        <w:pStyle w:val="03HEADING3"/>
      </w:pPr>
      <w:r>
        <w:t>Repeat Identification of Stage 1 and Stage 2 Sites</w:t>
      </w:r>
    </w:p>
    <w:p w14:paraId="19253DEF" w14:textId="77777777" w:rsidR="00EB6564" w:rsidRDefault="00EB6564" w:rsidP="00EB6564">
      <w:pPr>
        <w:pStyle w:val="05BODYTEXT"/>
      </w:pPr>
      <w:r>
        <w:t xml:space="preserve">As monitoring to date has shown compliance with the monitoring investigation levels, no repeat identification of Stage 1 and Stage 2 sites is currently planned. </w:t>
      </w:r>
    </w:p>
    <w:p w14:paraId="6E28F98E" w14:textId="77777777" w:rsidR="00EB6564" w:rsidRPr="009408AB" w:rsidRDefault="00EB6564" w:rsidP="00CB0DA6">
      <w:pPr>
        <w:pStyle w:val="Heading2"/>
      </w:pPr>
      <w:bookmarkStart w:id="19" w:name="_Toc58254373"/>
      <w:r w:rsidRPr="009408AB">
        <w:t>Western Australia</w:t>
      </w:r>
      <w:bookmarkEnd w:id="19"/>
    </w:p>
    <w:p w14:paraId="34FABF7D" w14:textId="77777777" w:rsidR="00EB6564" w:rsidRDefault="00EB6564" w:rsidP="00EB6564">
      <w:pPr>
        <w:pStyle w:val="05BODYTEXT"/>
        <w:rPr>
          <w:rStyle w:val="ITALIC"/>
        </w:rPr>
      </w:pPr>
      <w:r>
        <w:rPr>
          <w:rStyle w:val="ITALIC"/>
        </w:rPr>
        <w:t>Report to the NEPC on the implementation of the National Environment Protection (Air Toxics) Measure for Western Australia by the Hon. Stephen Dawson, MLC Minister for Environment; Disability Services; Electoral Affairs for the reporting year ended 30 June 2019.</w:t>
      </w:r>
    </w:p>
    <w:p w14:paraId="1290DE7A" w14:textId="77777777" w:rsidR="00EB6564" w:rsidRDefault="00EB6564" w:rsidP="00EB6564">
      <w:pPr>
        <w:pStyle w:val="02HEADING2"/>
      </w:pPr>
      <w:r>
        <w:t>PART 1—Implementation of the NEPM and any significant issues</w:t>
      </w:r>
    </w:p>
    <w:p w14:paraId="5AB3AD69" w14:textId="77777777" w:rsidR="00EB6564" w:rsidRDefault="00EB6564" w:rsidP="00EB6564">
      <w:pPr>
        <w:pStyle w:val="05BODYTEXT"/>
      </w:pPr>
      <w:r>
        <w:t xml:space="preserve">In Western Australia, the National Environment Protection (Air Toxics) Measure is implemented by the Department of Water and Environmental Regulation (DWER) under the </w:t>
      </w:r>
      <w:r>
        <w:rPr>
          <w:rStyle w:val="ITALIC"/>
        </w:rPr>
        <w:t>National Environment Protection Council (WA) Act 1996</w:t>
      </w:r>
      <w:r>
        <w:t xml:space="preserve"> and the </w:t>
      </w:r>
      <w:r>
        <w:rPr>
          <w:rStyle w:val="ITALIC"/>
        </w:rPr>
        <w:t>Environmental Protection Act 1986</w:t>
      </w:r>
      <w:r>
        <w:t>.</w:t>
      </w:r>
    </w:p>
    <w:p w14:paraId="3A106CBD" w14:textId="77777777" w:rsidR="00EB6564" w:rsidRDefault="00EB6564" w:rsidP="00EB6564">
      <w:pPr>
        <w:pStyle w:val="05BODYTEXT"/>
      </w:pPr>
      <w:r>
        <w:lastRenderedPageBreak/>
        <w:t>Air toxics emissions are also managed through the Perth Air Quality Management Plan (AQMP), a non-statutory mechanism established by the Western Australian Government. The objective of the AQMP is to ensure that clean air is achieved and maintained throughout the Perth metropolitan region. The AQMP identifies that, to achieve an overall improvement in Perth’s air quality, further studies are required to determine major sources and concentrations of air toxics in the Perth metropolitan region. The initiatives within the AQMP are complementary to the Air Toxics NEPM.</w:t>
      </w:r>
    </w:p>
    <w:p w14:paraId="23284F1A" w14:textId="77777777" w:rsidR="00EB6564" w:rsidRDefault="00EB6564" w:rsidP="00EB6564">
      <w:pPr>
        <w:pStyle w:val="03HEADING3"/>
      </w:pPr>
      <w:r>
        <w:t>Implementation issues arising</w:t>
      </w:r>
    </w:p>
    <w:p w14:paraId="5C6F5403" w14:textId="77777777" w:rsidR="00EB6564" w:rsidRDefault="00EB6564" w:rsidP="00EB6564">
      <w:pPr>
        <w:pStyle w:val="05BODYTEXT"/>
      </w:pPr>
      <w:r>
        <w:t>Following successful field trials in 2017, the Remote Air Pollution Infrared Detector (RAPID) has been used in both Perth metropolitan and regional Western Australia to investigate a number of complaints of emissions and odours from various industry sources, to supplement departmental investigations. The RAPID is capable of detecting over 80 air pollutants through the use of an infrared detector at a distance of up to 5km. The unit has a sensor which rotates through 360 degrees and scans the air to detect air pollutants including air toxics such as benzene and toluene. The system uses a Fourier Transform Infrared method similar to the Open Path Infrared (OP-FTIR) Spectrometer successfully used by DWER for previous air quality studies in Midland and Kwinana.</w:t>
      </w:r>
    </w:p>
    <w:p w14:paraId="35F6E071" w14:textId="77777777" w:rsidR="00EB6564" w:rsidRDefault="00EB6564" w:rsidP="00EB6564">
      <w:pPr>
        <w:pStyle w:val="05BODYTEXT"/>
      </w:pPr>
      <w:r>
        <w:t>Data visualisation techniques and associated data analysis procedures are under continual development to facilitate the interpretation of RAPID data. These infrared measurement techniques have provided insights into emission source activity. The use of combined remote sensing and ambient air monitoring data is a potentially valuable approach to air toxics investigation, enabling identification of emission sources and tracking of emission plumes across large areas.</w:t>
      </w:r>
    </w:p>
    <w:p w14:paraId="5B0D115C" w14:textId="77777777" w:rsidR="00EB6564" w:rsidRDefault="00EB6564" w:rsidP="00EB6564">
      <w:pPr>
        <w:pStyle w:val="02HEADING2"/>
      </w:pPr>
      <w:r>
        <w:t>PART 2—Assessment of NEPM effectiveness</w:t>
      </w:r>
    </w:p>
    <w:p w14:paraId="1F5FED1C" w14:textId="77777777" w:rsidR="00EB6564" w:rsidRDefault="00EB6564" w:rsidP="00EB6564">
      <w:pPr>
        <w:pStyle w:val="05BODYTEXT"/>
      </w:pPr>
      <w:r>
        <w:t>The NEPM has been effective in highlighting the need to investigate air toxics concentrations and providing monitoring investigation levels against which the results can be compared. The monitoring investigation levels provide a nationally consistent benchmark for assessing and comparing the concentrations of ambient air toxics from diverse monitoring sites and are an effective tool to inform government policy and programs on appropriate abatement actions.</w:t>
      </w:r>
    </w:p>
    <w:p w14:paraId="3E181A39" w14:textId="77777777" w:rsidR="00EB6564" w:rsidRDefault="00EB6564" w:rsidP="00EB6564">
      <w:pPr>
        <w:pStyle w:val="05BODYTEXT"/>
      </w:pPr>
      <w:r>
        <w:t>Monitoring for air toxics in Western Australia has primarily been undertaken as part of specific studies. This has meant there are often a number of objectives to be satisfied when developing and implementing the monitoring programs. As a consequence, the NEPM monitoring protocol has not always been followed. However, the monitoring results from these studies are invaluable when assessing ambient air toxic concentrations across Western Australia.</w:t>
      </w:r>
    </w:p>
    <w:p w14:paraId="3DB2C863" w14:textId="7C944A7C" w:rsidR="00EB6564" w:rsidRDefault="00EB6564" w:rsidP="00EB6564">
      <w:pPr>
        <w:pStyle w:val="05BODYTEXT"/>
      </w:pPr>
      <w:r>
        <w:t xml:space="preserve">An updated emissions inventory for the Perth metropolitan region was published in June 2018 and is available at </w:t>
      </w:r>
      <w:hyperlink r:id="rId17" w:history="1">
        <w:r w:rsidRPr="00216A61">
          <w:rPr>
            <w:rStyle w:val="Hyperlink"/>
            <w:color w:val="4472C4" w:themeColor="accent1"/>
            <w:u w:val="single"/>
          </w:rPr>
          <w:t>https://www.dwer.wa.gov.au/our-work/programs/460-perth-air-emissions-study-2011-2012</w:t>
        </w:r>
      </w:hyperlink>
      <w:r w:rsidRPr="00216A61">
        <w:rPr>
          <w:color w:val="4472C4" w:themeColor="accent1"/>
        </w:rPr>
        <w:t>.</w:t>
      </w:r>
      <w:r>
        <w:t xml:space="preserve"> The inventory includes air toxics and provides additional information in identifying and prioritising air toxic sources in this area.</w:t>
      </w:r>
    </w:p>
    <w:p w14:paraId="0EBE42FA" w14:textId="77777777" w:rsidR="00EB6564" w:rsidRDefault="00EB6564" w:rsidP="00EB6564">
      <w:pPr>
        <w:pStyle w:val="03HEADING3"/>
      </w:pPr>
    </w:p>
    <w:p w14:paraId="341C2F76" w14:textId="77777777" w:rsidR="00EB6564" w:rsidRDefault="00EB6564" w:rsidP="00EB6564">
      <w:pPr>
        <w:pStyle w:val="03HEADING3"/>
      </w:pPr>
      <w:r>
        <w:t>Reporting of monitoring of air toxics</w:t>
      </w:r>
    </w:p>
    <w:p w14:paraId="38559603" w14:textId="6E7456E4" w:rsidR="00EB6564" w:rsidRDefault="00EB6564" w:rsidP="00EB6564">
      <w:pPr>
        <w:pStyle w:val="05BODYTEXT"/>
      </w:pPr>
      <w:r>
        <w:t xml:space="preserve">The results of NEPM-compliant monitoring as well as the additional complementary air quality studies in 2007–2008 and 2009 indicated that air toxics levels in Perth are low compared to international standards and below NEPM monitoring investigation levels. These studies have been summarised and published in the Background Air Quality Monitoring in Kwinana 2005–2010 technical report, which is available on the DWER website </w:t>
      </w:r>
      <w:hyperlink r:id="rId18" w:history="1">
        <w:r w:rsidRPr="00216A61">
          <w:rPr>
            <w:rStyle w:val="Hyperlink"/>
            <w:color w:val="4472C4" w:themeColor="accent1"/>
            <w:u w:val="single"/>
          </w:rPr>
          <w:t>www.dwer.wa.gov.au</w:t>
        </w:r>
      </w:hyperlink>
      <w:r>
        <w:t>. Owing to these findings, no additional NEPM-compliant monitoring has been undertaken during the past 12 months.</w:t>
      </w:r>
    </w:p>
    <w:p w14:paraId="4668CA41" w14:textId="77777777" w:rsidR="00EB6564" w:rsidRDefault="00EB6564" w:rsidP="00EB6564">
      <w:pPr>
        <w:pStyle w:val="03HEADING3"/>
      </w:pPr>
      <w:r>
        <w:t>Reporting on Assessment and Action if any planned or taken to manage air toxics</w:t>
      </w:r>
    </w:p>
    <w:p w14:paraId="3D23FF4C" w14:textId="77777777" w:rsidR="00EB6564" w:rsidRDefault="00EB6564" w:rsidP="00EB6564">
      <w:pPr>
        <w:pStyle w:val="05BODYTEXT"/>
      </w:pPr>
      <w:r>
        <w:t>Past monitoring has indicated that levels of air toxics are below monitoring investigation levels and no further action is currently planned.</w:t>
      </w:r>
    </w:p>
    <w:p w14:paraId="2905DEBA" w14:textId="77777777" w:rsidR="00EB6564" w:rsidRDefault="00EB6564" w:rsidP="00EB6564">
      <w:pPr>
        <w:pStyle w:val="03HEADING3"/>
      </w:pPr>
      <w:r>
        <w:t>Repeat Identification of Stage 1 and Stage 2 Sites</w:t>
      </w:r>
    </w:p>
    <w:p w14:paraId="613E506C" w14:textId="77777777" w:rsidR="00EB6564" w:rsidRDefault="00EB6564" w:rsidP="00EB6564">
      <w:pPr>
        <w:pStyle w:val="05BODYTEXT"/>
      </w:pPr>
      <w:r>
        <w:t>No repeat identification of Stage 1 and Stage 2 sites is currently planned. The initial desktop analysis identified 13 Stage 1 sites for formaldehyde, of which three met the ranking criteria for polycyclic aromatic hydrocarbons Stage 1 sites. No Stage 1 sites were identified for benzene, toluene or xylene. Two priority categories (traffic volume and wood heater density) were used to identify two Stage 2 sites. The results of the air toxics monitoring at these two Stage 2 sites showed that the annual average concentrations for formaldehyde and benzo[a]pyrene were below NEPM monitoring investigation levels. As these two sites are representative of the Stage 1 sites initially identified, repeat identification of Stage 1 and Stage 2 sites is not needed at this time.</w:t>
      </w:r>
    </w:p>
    <w:p w14:paraId="5192412F" w14:textId="77777777" w:rsidR="00EB6564" w:rsidRPr="009408AB" w:rsidRDefault="00EB6564" w:rsidP="00CB0DA6">
      <w:pPr>
        <w:pStyle w:val="Heading2"/>
      </w:pPr>
      <w:bookmarkStart w:id="20" w:name="_Toc58254374"/>
      <w:r w:rsidRPr="009408AB">
        <w:t>South Australia</w:t>
      </w:r>
      <w:bookmarkEnd w:id="20"/>
    </w:p>
    <w:p w14:paraId="72DB7818" w14:textId="77777777" w:rsidR="00EB6564" w:rsidRDefault="00EB6564" w:rsidP="00EB6564">
      <w:pPr>
        <w:pStyle w:val="05BODYTEXT"/>
        <w:rPr>
          <w:rStyle w:val="ITALIC"/>
        </w:rPr>
      </w:pPr>
      <w:r>
        <w:rPr>
          <w:rStyle w:val="ITALIC"/>
        </w:rPr>
        <w:t>Report to the NEPC on the implementation of the National Environment Protection (Air Toxics) Measure for South Australia by the Hon. David Speirs, Minister for Environment and Water, for the reporting year ended 30 June 2019.</w:t>
      </w:r>
    </w:p>
    <w:p w14:paraId="689B309F" w14:textId="77777777" w:rsidR="00EB6564" w:rsidRDefault="00EB6564" w:rsidP="00EB6564">
      <w:pPr>
        <w:pStyle w:val="02HEADING2"/>
      </w:pPr>
      <w:r>
        <w:lastRenderedPageBreak/>
        <w:t>Part 1—Implementation of the NEPM and any significant issues</w:t>
      </w:r>
    </w:p>
    <w:p w14:paraId="24A52000" w14:textId="77777777" w:rsidR="00EB6564" w:rsidRDefault="00EB6564" w:rsidP="00EB6564">
      <w:pPr>
        <w:pStyle w:val="05BODYTEXT"/>
      </w:pPr>
      <w:r>
        <w:t xml:space="preserve">The NEPM operates as an Environment Protection Policy under the </w:t>
      </w:r>
      <w:r>
        <w:rPr>
          <w:rStyle w:val="ITALIC"/>
        </w:rPr>
        <w:t>Environment Protection Act 1993</w:t>
      </w:r>
      <w:r>
        <w:t xml:space="preserve">. </w:t>
      </w:r>
    </w:p>
    <w:p w14:paraId="6DC96A7A" w14:textId="77777777" w:rsidR="00EB6564" w:rsidRDefault="00EB6564" w:rsidP="00EB6564">
      <w:pPr>
        <w:pStyle w:val="02HEADING2"/>
      </w:pPr>
      <w:r>
        <w:t>Part 2—Assessment of NEPM effectiveness</w:t>
      </w:r>
    </w:p>
    <w:p w14:paraId="6306B94A" w14:textId="77777777" w:rsidR="00EB6564" w:rsidRDefault="00EB6564" w:rsidP="00EB6564">
      <w:pPr>
        <w:pStyle w:val="05BODYTEXT"/>
      </w:pPr>
      <w:r>
        <w:t xml:space="preserve">As monitoring in other jurisdictions has shown, air toxics in Australia are well below monitoring investigation levels. South Australia has not engaged in any specific monitoring of air toxics during the reporting period. </w:t>
      </w:r>
    </w:p>
    <w:p w14:paraId="3FB03B79" w14:textId="77777777" w:rsidR="00EB6564" w:rsidRPr="009408AB" w:rsidRDefault="00EB6564" w:rsidP="00CB0DA6">
      <w:pPr>
        <w:pStyle w:val="Heading2"/>
      </w:pPr>
      <w:bookmarkStart w:id="21" w:name="_Toc58254375"/>
      <w:r w:rsidRPr="009408AB">
        <w:t>Tasmania</w:t>
      </w:r>
      <w:bookmarkEnd w:id="21"/>
    </w:p>
    <w:p w14:paraId="66E6616E" w14:textId="77777777" w:rsidR="00EB6564" w:rsidRDefault="00EB6564" w:rsidP="00EB6564">
      <w:pPr>
        <w:pStyle w:val="05BODYTEXT"/>
        <w:rPr>
          <w:rStyle w:val="ITALIC"/>
        </w:rPr>
      </w:pPr>
      <w:r>
        <w:rPr>
          <w:rStyle w:val="ITALIC"/>
        </w:rPr>
        <w:t xml:space="preserve">Report to the NEPC on the implementation of the National Environment Protection (Air Toxics) Measure for Tasmania by Peter </w:t>
      </w:r>
      <w:proofErr w:type="spellStart"/>
      <w:r>
        <w:rPr>
          <w:rStyle w:val="ITALIC"/>
        </w:rPr>
        <w:t>Gutwein</w:t>
      </w:r>
      <w:proofErr w:type="spellEnd"/>
      <w:r>
        <w:rPr>
          <w:rStyle w:val="ITALIC"/>
        </w:rPr>
        <w:t>, Treasurer, Minister for the Environment, Parks and Heritage for the reporting year ended 30 June 2019.</w:t>
      </w:r>
    </w:p>
    <w:p w14:paraId="2F3495F3" w14:textId="77777777" w:rsidR="00EB6564" w:rsidRDefault="00EB6564" w:rsidP="00EB6564">
      <w:pPr>
        <w:pStyle w:val="02HEADING2"/>
      </w:pPr>
      <w:r>
        <w:t>Part 1—Implementation of the NEPM and any significant issues</w:t>
      </w:r>
    </w:p>
    <w:p w14:paraId="0F694EB7" w14:textId="77777777" w:rsidR="00EB6564" w:rsidRDefault="00EB6564" w:rsidP="00EB6564">
      <w:pPr>
        <w:pStyle w:val="05BODYTEXT"/>
      </w:pPr>
      <w:r>
        <w:t xml:space="preserve">In Tasmania the enabling legislation for the National Environment Protection (Air Toxics) Measure (Air Toxics NEPM) process is the </w:t>
      </w:r>
      <w:r>
        <w:rPr>
          <w:rStyle w:val="ITALIC"/>
        </w:rPr>
        <w:t>Environmental Management and Pollution Control Act 1994</w:t>
      </w:r>
      <w:r>
        <w:t xml:space="preserve"> (EMPCA). The process is implemented primarily through EPA Tasmania, Department of Primary Industries, Parks, Water and the Environment (DPIPWE).</w:t>
      </w:r>
    </w:p>
    <w:p w14:paraId="55FD883D" w14:textId="77777777" w:rsidR="00EB6564" w:rsidRDefault="00EB6564" w:rsidP="00EB6564">
      <w:pPr>
        <w:pStyle w:val="05BODYTEXT"/>
      </w:pPr>
      <w:r>
        <w:t xml:space="preserve">National Environment Protection Measures are adopted as state policies under the </w:t>
      </w:r>
      <w:r>
        <w:rPr>
          <w:rStyle w:val="ITALIC"/>
        </w:rPr>
        <w:t>State Policies and Projects Act 1993</w:t>
      </w:r>
      <w:r>
        <w:t>, and the Air Toxics NEPM is put into effect under the Environment Protection Policy (Air Quality) 2004 (Air Policy) and the Tasmanian Air Quality Strategy 2006.</w:t>
      </w:r>
    </w:p>
    <w:p w14:paraId="7A606A1E" w14:textId="77777777" w:rsidR="00EB6564" w:rsidRDefault="00EB6564" w:rsidP="00EB6564">
      <w:pPr>
        <w:pStyle w:val="05BODYTEXT"/>
      </w:pPr>
      <w:r>
        <w:t>Tasmania has undertaken extensive preliminary screening monitoring of air toxics in Tasmania between 2008 and 2011. Air toxics monitoring was discontinued in 2011. No air toxics monitoring was undertaken in Tasmania during the reporting year ending 30 June 2018.</w:t>
      </w:r>
    </w:p>
    <w:p w14:paraId="5FD3F88F" w14:textId="77777777" w:rsidR="00EB6564" w:rsidRDefault="00EB6564" w:rsidP="00EB6564">
      <w:pPr>
        <w:pStyle w:val="02HEADING2"/>
      </w:pPr>
      <w:r>
        <w:t>Part 2—Assessment of NEPM effectiveness</w:t>
      </w:r>
    </w:p>
    <w:p w14:paraId="61F362EF" w14:textId="77777777" w:rsidR="00EB6564" w:rsidRDefault="00EB6564" w:rsidP="00EB6564">
      <w:pPr>
        <w:pStyle w:val="05BODYTEXT"/>
      </w:pPr>
      <w:r>
        <w:t>The monitoring conducted to date has improved the information base available in relation to ambient concentrations of air toxics in Tasmania.</w:t>
      </w:r>
    </w:p>
    <w:p w14:paraId="5127549F" w14:textId="77777777" w:rsidR="00EB6564" w:rsidRDefault="00EB6564" w:rsidP="00EB6564">
      <w:pPr>
        <w:pStyle w:val="03HEADING3"/>
      </w:pPr>
      <w:r>
        <w:t>Identification of Sites</w:t>
      </w:r>
    </w:p>
    <w:p w14:paraId="6CE643E1" w14:textId="77777777" w:rsidR="00EB6564" w:rsidRDefault="00EB6564" w:rsidP="00EB6564">
      <w:pPr>
        <w:pStyle w:val="05BODYTEXT"/>
      </w:pPr>
      <w:r>
        <w:t>In 2005, fourteen stage 2 sites were identified in a Desktop Analysis conducted in accord with the Air Toxics NEPM Desktop Analysis protocol.</w:t>
      </w:r>
    </w:p>
    <w:p w14:paraId="58C7130F" w14:textId="77777777" w:rsidR="00EB6564" w:rsidRDefault="00EB6564" w:rsidP="00EB6564">
      <w:pPr>
        <w:pStyle w:val="05BODYTEXT"/>
      </w:pPr>
      <w:r>
        <w:t>Monitoring was conducted at 9 of these sites in the period 2008 to 2011. Some of the sites monitored were considered representative of other identified sites, in terms of land use (</w:t>
      </w:r>
      <w:proofErr w:type="spellStart"/>
      <w:proofErr w:type="gramStart"/>
      <w:r>
        <w:t>eg</w:t>
      </w:r>
      <w:proofErr w:type="spellEnd"/>
      <w:proofErr w:type="gramEnd"/>
      <w:r>
        <w:t xml:space="preserve"> residential), proximity to traffic and geography. This has allowed an indicative evaluation of some unmonitored sites.</w:t>
      </w:r>
    </w:p>
    <w:p w14:paraId="68331E42" w14:textId="77777777" w:rsidR="00EB6564" w:rsidRDefault="00EB6564" w:rsidP="00EB6564">
      <w:pPr>
        <w:pStyle w:val="05BODYTEXT"/>
      </w:pPr>
      <w:r>
        <w:t>Monitoring was also undertaken at selected sites to determine concentrations of air toxics in areas affected by:</w:t>
      </w:r>
    </w:p>
    <w:p w14:paraId="0C1CB4D4" w14:textId="77777777" w:rsidR="00EB6564" w:rsidRDefault="00EB6564" w:rsidP="00EB6564">
      <w:pPr>
        <w:pStyle w:val="05bDOTPOINTS"/>
      </w:pPr>
      <w:r>
        <w:t>•</w:t>
      </w:r>
      <w:r>
        <w:tab/>
        <w:t xml:space="preserve">domestic woodsmoke </w:t>
      </w:r>
      <w:proofErr w:type="gramStart"/>
      <w:r>
        <w:t>emissions;</w:t>
      </w:r>
      <w:proofErr w:type="gramEnd"/>
    </w:p>
    <w:p w14:paraId="4451DD3E" w14:textId="77777777" w:rsidR="00EB6564" w:rsidRDefault="00EB6564" w:rsidP="00EB6564">
      <w:pPr>
        <w:pStyle w:val="05bDOTPOINTS"/>
      </w:pPr>
      <w:r>
        <w:t>•</w:t>
      </w:r>
      <w:r>
        <w:tab/>
        <w:t>motor vehicle emissions, in Hobart; and</w:t>
      </w:r>
    </w:p>
    <w:p w14:paraId="13A15E28" w14:textId="77777777" w:rsidR="00EB6564" w:rsidRDefault="00EB6564" w:rsidP="00EB6564">
      <w:pPr>
        <w:pStyle w:val="05bDOTPOINTS"/>
      </w:pPr>
      <w:r>
        <w:t>•</w:t>
      </w:r>
      <w:r>
        <w:tab/>
        <w:t>industrial emissions.</w:t>
      </w:r>
    </w:p>
    <w:p w14:paraId="30A5D4B6" w14:textId="77777777" w:rsidR="00EB6564" w:rsidRDefault="00EB6564" w:rsidP="00EB6564">
      <w:pPr>
        <w:pStyle w:val="05BODYTEXT"/>
      </w:pPr>
      <w:r>
        <w:t xml:space="preserve">The results of the last air toxics monitoring program undertaken by EPA Tasmania during the 2011 calendar year were reported in the 2011-2012 annual implementation report </w:t>
      </w:r>
    </w:p>
    <w:p w14:paraId="64DE1C16" w14:textId="77777777" w:rsidR="00EB6564" w:rsidRDefault="00EB6564" w:rsidP="00EB6564">
      <w:pPr>
        <w:pStyle w:val="03HEADING3"/>
      </w:pPr>
      <w:r>
        <w:t>Reporting of Monitoring of Air Toxics</w:t>
      </w:r>
    </w:p>
    <w:p w14:paraId="37E86D41" w14:textId="77777777" w:rsidR="00EB6564" w:rsidRDefault="00EB6564" w:rsidP="00EB6564">
      <w:pPr>
        <w:pStyle w:val="05BODYTEXT"/>
      </w:pPr>
      <w:r>
        <w:t>Air Toxics monitoring undertaken to date in Tasmania was conducted predominantly using non-reference passive sampling techniques. Passive sampling allows for the possibility of longer sampling periods. As the levels of air toxic pollutants are likely to be low in Tasmania, the extended deployment period associated with passive samplers increased the likelihood of detection of these species.</w:t>
      </w:r>
    </w:p>
    <w:p w14:paraId="6AB43AB7" w14:textId="77777777" w:rsidR="00EB6564" w:rsidRDefault="00EB6564" w:rsidP="00EB6564">
      <w:pPr>
        <w:pStyle w:val="05BODYTEXT"/>
      </w:pPr>
      <w:r>
        <w:t>The results of active sampling for PAH at two sites was reported in 2011. A program of active sampling at peak sites, for benzene, toluene, xylenes and formaldehyde was completed in 2011 and the results were included in the 2011-2012 annual implementation report.</w:t>
      </w:r>
    </w:p>
    <w:p w14:paraId="1F3D7219" w14:textId="77777777" w:rsidR="00EB6564" w:rsidRDefault="00EB6564" w:rsidP="00EB6564">
      <w:pPr>
        <w:pStyle w:val="05BODYTEXT"/>
      </w:pPr>
      <w:r>
        <w:t>No air toxics monitoring was conducted in Tasmania during the 2018-2019 period. Consequently, the monitoring requirements for the Air Toxics NEPM must be evaluated as “not demonstrated” for the 2018 calendar year.</w:t>
      </w:r>
    </w:p>
    <w:p w14:paraId="134EE6FA" w14:textId="77777777" w:rsidR="00EB6564" w:rsidRDefault="00EB6564" w:rsidP="00EB6564">
      <w:pPr>
        <w:pStyle w:val="03HEADING3"/>
      </w:pPr>
      <w:r>
        <w:t>Reporting on Assessment and Action if any planned or taken to manage air toxics</w:t>
      </w:r>
    </w:p>
    <w:p w14:paraId="54FFB9A5" w14:textId="77777777" w:rsidR="00EB6564" w:rsidRDefault="00EB6564" w:rsidP="00EB6564">
      <w:pPr>
        <w:pStyle w:val="05BODYTEXT"/>
      </w:pPr>
      <w:r>
        <w:t>There is no evidence to indicate that Air Toxics NEPM Monitoring Investigation Levels (MIL) would be exceeded at any of the sites monitored in Tasmania in previous years. No action to specifically reduce concentrations of air toxics has been taken.</w:t>
      </w:r>
    </w:p>
    <w:p w14:paraId="7181CAF3" w14:textId="77777777" w:rsidR="00EB6564" w:rsidRDefault="00EB6564" w:rsidP="00EB6564">
      <w:pPr>
        <w:pStyle w:val="03HEADING3"/>
      </w:pPr>
      <w:r>
        <w:lastRenderedPageBreak/>
        <w:t>Repeat Identification of Stage 1 and Stage 2 Sites</w:t>
      </w:r>
    </w:p>
    <w:p w14:paraId="1B53CE95" w14:textId="77777777" w:rsidR="00EB6564" w:rsidRDefault="00EB6564" w:rsidP="00EB6564">
      <w:pPr>
        <w:pStyle w:val="05BODYTEXT"/>
      </w:pPr>
      <w:r>
        <w:t xml:space="preserve">The NEPM sets out a 2-stage process for selecting sites for monitoring. This involves firstly a desktop assessment to identify “Stage 1” sites - that is, sites at which significantly elevated levels of one or more of the air toxics are expected to occur. Secondly, a further desktop assessment is undertaken to identify “Stage 2” sites - that is, those stage 1 sites that are judged to be a priority for monitoring on the basis of a rapid assessment of the likelihood of significant population exposure to one or more air toxic. </w:t>
      </w:r>
    </w:p>
    <w:p w14:paraId="7928D8CE" w14:textId="77777777" w:rsidR="00EB6564" w:rsidRDefault="00EB6564" w:rsidP="00EB6564">
      <w:pPr>
        <w:pStyle w:val="05BODYTEXT"/>
      </w:pPr>
      <w:r>
        <w:t>In 2005, fourteen stage 2 sites were identified in a Desktop Analysis conducted in accord with the Air Toxics NEPM Desktop Analysis protocol.</w:t>
      </w:r>
    </w:p>
    <w:p w14:paraId="2F125D42" w14:textId="77777777" w:rsidR="00EB6564" w:rsidRDefault="00EB6564" w:rsidP="00EB6564">
      <w:pPr>
        <w:pStyle w:val="05BODYTEXT"/>
      </w:pPr>
      <w:r>
        <w:t>Repeat identification of Stage 1 and Stage 2 sites has not been conducted.</w:t>
      </w:r>
    </w:p>
    <w:p w14:paraId="3911938F" w14:textId="77777777" w:rsidR="00EB6564" w:rsidRPr="009408AB" w:rsidRDefault="00EB6564" w:rsidP="00CB0DA6">
      <w:pPr>
        <w:pStyle w:val="Heading2"/>
      </w:pPr>
      <w:bookmarkStart w:id="22" w:name="_Toc58254376"/>
      <w:r w:rsidRPr="009408AB">
        <w:t>Australian Capital Territory</w:t>
      </w:r>
      <w:bookmarkEnd w:id="22"/>
    </w:p>
    <w:p w14:paraId="725697A2" w14:textId="77777777" w:rsidR="00EB6564" w:rsidRDefault="00EB6564" w:rsidP="00EB6564">
      <w:pPr>
        <w:pStyle w:val="05BODYTEXT"/>
        <w:rPr>
          <w:rStyle w:val="ITALIC"/>
        </w:rPr>
      </w:pPr>
      <w:r>
        <w:rPr>
          <w:rStyle w:val="ITALIC"/>
        </w:rPr>
        <w:t>Report to the NEPC on the implementation of the National Environment Protection (Air Toxics) Measure for the Australian Capital Territory by Mr Mick Gentleman MLA for the reporting year ended 30 June 2019.</w:t>
      </w:r>
    </w:p>
    <w:p w14:paraId="7F041503" w14:textId="77777777" w:rsidR="00EB6564" w:rsidRDefault="00EB6564" w:rsidP="00EB6564">
      <w:pPr>
        <w:pStyle w:val="02HEADING2"/>
      </w:pPr>
      <w:r>
        <w:t>Part 1—Implementation of the NEPM and any significant issues</w:t>
      </w:r>
    </w:p>
    <w:p w14:paraId="5AA71B56" w14:textId="77777777" w:rsidR="00EB6564" w:rsidRDefault="00EB6564" w:rsidP="00EB6564">
      <w:pPr>
        <w:pStyle w:val="05BODYTEXT"/>
      </w:pPr>
      <w:r>
        <w:t>No implementation issues have arisen during the reporting year.</w:t>
      </w:r>
    </w:p>
    <w:p w14:paraId="57D086D6" w14:textId="77777777" w:rsidR="00EB6564" w:rsidRDefault="00EB6564" w:rsidP="00EB6564">
      <w:pPr>
        <w:pStyle w:val="02HEADING2"/>
      </w:pPr>
      <w:r>
        <w:t>Part 2—Assessment of NEPM effectiveness</w:t>
      </w:r>
    </w:p>
    <w:p w14:paraId="75D19C5A" w14:textId="77777777" w:rsidR="00EB6564" w:rsidRDefault="00EB6564" w:rsidP="00EB6564">
      <w:pPr>
        <w:pStyle w:val="05BODYTEXT"/>
      </w:pPr>
      <w:r>
        <w:t>The ACT Government has previously undertaken a desktop analysis which showed that air toxics are not an issue for the ACT airshed.</w:t>
      </w:r>
    </w:p>
    <w:p w14:paraId="05681605" w14:textId="77777777" w:rsidR="00EB6564" w:rsidRPr="009408AB" w:rsidRDefault="00EB6564" w:rsidP="00CB0DA6">
      <w:pPr>
        <w:pStyle w:val="Heading2"/>
      </w:pPr>
      <w:bookmarkStart w:id="23" w:name="_Toc58254377"/>
      <w:r w:rsidRPr="009408AB">
        <w:t>Northern Territory</w:t>
      </w:r>
      <w:bookmarkEnd w:id="23"/>
    </w:p>
    <w:p w14:paraId="052171E5" w14:textId="77777777" w:rsidR="00EB6564" w:rsidRDefault="00EB6564" w:rsidP="00521338">
      <w:pPr>
        <w:pStyle w:val="05BODYTEXT"/>
        <w:keepNext/>
        <w:spacing w:line="240" w:lineRule="auto"/>
        <w:rPr>
          <w:rStyle w:val="ITALIC"/>
        </w:rPr>
      </w:pPr>
      <w:r>
        <w:rPr>
          <w:rStyle w:val="ITALIC"/>
        </w:rPr>
        <w:t>Report to the NEPC on the implementation of the National Environment Protection (Air Toxics) Measure for the Northern Territory by the Hon Eva Lawler, Minister for Environment and Natural Resources for the reporting year ended 30 June 2019.</w:t>
      </w:r>
    </w:p>
    <w:p w14:paraId="6F1B1AE1" w14:textId="77777777" w:rsidR="00EB6564" w:rsidRDefault="00EB6564" w:rsidP="00521338">
      <w:pPr>
        <w:pStyle w:val="02HEADING2"/>
        <w:spacing w:line="240" w:lineRule="auto"/>
      </w:pPr>
      <w:r>
        <w:t>PART 1—IMPLEMENTATION OF THE NEPM AND ANY SIGNIFICANT ISSUES</w:t>
      </w:r>
    </w:p>
    <w:p w14:paraId="7DE32EE2" w14:textId="77777777" w:rsidR="00EB6564" w:rsidRDefault="00EB6564" w:rsidP="00EB6564">
      <w:pPr>
        <w:pStyle w:val="05bDOTPOINTS"/>
        <w:ind w:left="0" w:firstLine="0"/>
      </w:pPr>
      <w:r>
        <w:t xml:space="preserve">The Northern Territory Environment Protection Authority (NT EPA) is responsible for the implementation of the NEPM in the Northern Territory through the provisions of the </w:t>
      </w:r>
      <w:r>
        <w:rPr>
          <w:rStyle w:val="ITALIC"/>
        </w:rPr>
        <w:t xml:space="preserve">Waste Management and Pollution Control Act 1998 </w:t>
      </w:r>
      <w:r>
        <w:t xml:space="preserve">and the </w:t>
      </w:r>
      <w:r>
        <w:rPr>
          <w:rStyle w:val="ITALIC"/>
        </w:rPr>
        <w:t>National Environment Protection Council (Northern Territory) Act 1994</w:t>
      </w:r>
      <w:r>
        <w:t>.</w:t>
      </w:r>
    </w:p>
    <w:p w14:paraId="0F8A8BC4" w14:textId="77777777" w:rsidR="00EB6564" w:rsidRDefault="00EB6564" w:rsidP="00EB6564">
      <w:pPr>
        <w:pStyle w:val="05bDOTPOINTS"/>
        <w:ind w:left="0" w:firstLine="0"/>
      </w:pPr>
      <w:r>
        <w:t xml:space="preserve">The Northern Territory undertook a desktop study in 2005 to identify Stage 1 and Stage 2 sites for the purposes of meeting obligations under the NEPM. No Stage 2 sites were </w:t>
      </w:r>
      <w:proofErr w:type="gramStart"/>
      <w:r>
        <w:t>identified</w:t>
      </w:r>
      <w:proofErr w:type="gramEnd"/>
      <w:r>
        <w:t xml:space="preserve"> and a long-term monitoring program has not been implemented.</w:t>
      </w:r>
    </w:p>
    <w:p w14:paraId="512094D3" w14:textId="77777777" w:rsidR="00EB6564" w:rsidRDefault="00EB6564" w:rsidP="00EB6564">
      <w:pPr>
        <w:pStyle w:val="05bDOTPOINTS"/>
        <w:ind w:left="0" w:firstLine="0"/>
      </w:pPr>
      <w:r>
        <w:t>A nine-month monitoring program was completed in February 2006 to establish baseline conditions for Darwin. The results indicated that there are very low concentrations of benzene, toluene and xylenes, well below the investigation levels set by the NEPM.</w:t>
      </w:r>
    </w:p>
    <w:p w14:paraId="69FA4C73" w14:textId="77777777" w:rsidR="00EB6564" w:rsidRDefault="00EB6564" w:rsidP="00EB6564">
      <w:pPr>
        <w:pStyle w:val="05bDOTPOINTS"/>
        <w:ind w:left="0" w:firstLine="0"/>
      </w:pPr>
      <w:r>
        <w:t>No further implementation activities were conducted in 2018-19.</w:t>
      </w:r>
    </w:p>
    <w:p w14:paraId="4253C3E6" w14:textId="77777777" w:rsidR="00EB6564" w:rsidRDefault="00EB6564" w:rsidP="00EB6564">
      <w:pPr>
        <w:pStyle w:val="05bDOTPOINTS"/>
        <w:ind w:left="0" w:firstLine="0"/>
      </w:pPr>
      <w:r>
        <w:t xml:space="preserve">A number of companies have indicated that they will be undertaking air toxics monitoring at the NT EPA air quality monitoring stations as part of their environment protection licence requirements. </w:t>
      </w:r>
    </w:p>
    <w:p w14:paraId="228F2C84" w14:textId="77777777" w:rsidR="00EB6564" w:rsidRDefault="00EB6564" w:rsidP="00EB6564">
      <w:pPr>
        <w:pStyle w:val="05bDOTPOINTS"/>
        <w:ind w:left="0" w:firstLine="0"/>
      </w:pPr>
      <w:r>
        <w:t>Reassessment of Stage 1 and Stage 2 sites may be required in the future, taking into account industrial development in the Darwin region. According to NEPM guidance, reassessment was required by 2009 but the previous studies indicate that concentrations of air toxics are at very low levels, well below the monitoring investigation levels of the NEPM.</w:t>
      </w:r>
    </w:p>
    <w:p w14:paraId="69AB9540" w14:textId="77777777" w:rsidR="00EB6564" w:rsidRDefault="00EB6564" w:rsidP="00EB6564">
      <w:pPr>
        <w:pStyle w:val="02HEADING2"/>
      </w:pPr>
      <w:r>
        <w:t xml:space="preserve">Part 2—Assessment of NEPM effectiveness </w:t>
      </w:r>
    </w:p>
    <w:p w14:paraId="76899528" w14:textId="77777777" w:rsidR="00EB6564" w:rsidRDefault="00EB6564" w:rsidP="00EB6564">
      <w:pPr>
        <w:pStyle w:val="05BODYTEXT"/>
      </w:pPr>
      <w:r>
        <w:t xml:space="preserve">The NEPM has provided the impetus and methodology for identifying sites most at risk of air toxics in the Northern Territory. Monitoring in 2005-06 has provided baseline data for further consideration. </w:t>
      </w:r>
    </w:p>
    <w:p w14:paraId="172C28BA" w14:textId="77777777" w:rsidR="00EB6564" w:rsidRDefault="00EB6564" w:rsidP="00EB6564">
      <w:pPr>
        <w:pStyle w:val="05BODYTEXT"/>
      </w:pPr>
      <w:r>
        <w:t xml:space="preserve">In 2018-19, no sites were evaluated or </w:t>
      </w:r>
      <w:proofErr w:type="gramStart"/>
      <w:r>
        <w:t>selected</w:t>
      </w:r>
      <w:proofErr w:type="gramEnd"/>
      <w:r>
        <w:t xml:space="preserve"> and no analyses were performed.</w:t>
      </w:r>
    </w:p>
    <w:p w14:paraId="14233187" w14:textId="77777777" w:rsidR="00EB6564" w:rsidRDefault="00EB6564" w:rsidP="00EB6564">
      <w:pPr>
        <w:pStyle w:val="05BODYTEXT"/>
      </w:pPr>
      <w:r>
        <w:t>The NT EPA has provided responses to the current NEPM process.</w:t>
      </w:r>
    </w:p>
    <w:p w14:paraId="252FC63C" w14:textId="3C925A1B" w:rsidR="00521338" w:rsidRDefault="00521338">
      <w:pPr>
        <w:rPr>
          <w:rFonts w:ascii="Calibri" w:hAnsi="Calibri" w:cs="Calibri"/>
          <w:color w:val="000000"/>
          <w:sz w:val="16"/>
          <w:szCs w:val="16"/>
        </w:rPr>
      </w:pPr>
      <w:r>
        <w:br w:type="page"/>
      </w:r>
    </w:p>
    <w:p w14:paraId="34D4BC7F" w14:textId="77777777" w:rsidR="00EB6564" w:rsidRPr="00430022" w:rsidRDefault="00EB6564" w:rsidP="00430022">
      <w:pPr>
        <w:pStyle w:val="Heading1"/>
      </w:pPr>
      <w:bookmarkStart w:id="24" w:name="_Toc58254378"/>
      <w:r w:rsidRPr="00430022">
        <w:lastRenderedPageBreak/>
        <w:t>Appendix 2: Jurisdictional reports on the implementation and effectiveness of the Ambient Air Quality National Environment Protection Measure</w:t>
      </w:r>
      <w:bookmarkEnd w:id="24"/>
    </w:p>
    <w:p w14:paraId="60501FAA" w14:textId="77777777" w:rsidR="00EB6564" w:rsidRPr="009408AB" w:rsidRDefault="00EB6564" w:rsidP="00CB0DA6">
      <w:pPr>
        <w:pStyle w:val="Heading2"/>
      </w:pPr>
      <w:bookmarkStart w:id="25" w:name="_Toc58254379"/>
      <w:r w:rsidRPr="009408AB">
        <w:t>Commonwealth</w:t>
      </w:r>
      <w:bookmarkEnd w:id="25"/>
    </w:p>
    <w:p w14:paraId="7CDB9A31" w14:textId="77777777" w:rsidR="00EB6564" w:rsidRDefault="00EB6564" w:rsidP="00EB6564">
      <w:pPr>
        <w:pStyle w:val="05BODYTEXT"/>
        <w:rPr>
          <w:rStyle w:val="ITALIC"/>
        </w:rPr>
      </w:pPr>
      <w:r>
        <w:rPr>
          <w:rStyle w:val="ITALIC"/>
        </w:rPr>
        <w:t xml:space="preserve">Report to the NEPC on the implementation of the National Environment Protection (Ambient Air Quality) Measure for the Commonwealth by the Hon </w:t>
      </w:r>
      <w:proofErr w:type="spellStart"/>
      <w:r>
        <w:rPr>
          <w:rStyle w:val="ITALIC"/>
        </w:rPr>
        <w:t>Sussan</w:t>
      </w:r>
      <w:proofErr w:type="spellEnd"/>
      <w:r>
        <w:rPr>
          <w:rStyle w:val="ITALIC"/>
        </w:rPr>
        <w:t xml:space="preserve"> Ley MP, Minister for the Environment for the reporting year ended 30 June 2019.</w:t>
      </w:r>
    </w:p>
    <w:p w14:paraId="0FB7370D" w14:textId="77777777" w:rsidR="00EB6564" w:rsidRDefault="00EB6564" w:rsidP="00EB6564">
      <w:pPr>
        <w:pStyle w:val="02HEADING2"/>
      </w:pPr>
      <w:r>
        <w:t>Part 1—Implementation of the NEPM and any significant issues</w:t>
      </w:r>
    </w:p>
    <w:p w14:paraId="02C79AE9" w14:textId="77777777" w:rsidR="00EB6564" w:rsidRDefault="00EB6564" w:rsidP="00EB6564">
      <w:pPr>
        <w:pStyle w:val="05BODYTEXT"/>
      </w:pPr>
      <w:r>
        <w:t>In 2015, Australia’s Environment Ministers established the National Clean Air Agreement, recognising the challenges facing Australia’s air quality now and into the future.</w:t>
      </w:r>
    </w:p>
    <w:p w14:paraId="3E8E7E10" w14:textId="77777777" w:rsidR="00EB6564" w:rsidRDefault="00EB6564" w:rsidP="00EB6564">
      <w:pPr>
        <w:pStyle w:val="05BODYTEXT"/>
      </w:pPr>
      <w:r>
        <w:t>The Agreement sets a framework to identify and prioritise actions to address air quality issues that would benefit from national collaboration and that deliver health and environmental outcomes for Australians.</w:t>
      </w:r>
    </w:p>
    <w:p w14:paraId="7B87061A" w14:textId="77777777" w:rsidR="00EB6564" w:rsidRDefault="00EB6564" w:rsidP="00EB6564">
      <w:pPr>
        <w:pStyle w:val="05BODYTEXT"/>
      </w:pPr>
      <w:r>
        <w:t xml:space="preserve">In April 2018, Australian Environment Ministers endorsed a work plan under the Agreement outlining priorities for 2018 to 2020. As part of this work plan, work to review and strengthen the Ambient Air Quality standards for ozone, nitrogen dioxide and </w:t>
      </w:r>
      <w:proofErr w:type="spellStart"/>
      <w:r>
        <w:t>sulfur</w:t>
      </w:r>
      <w:proofErr w:type="spellEnd"/>
      <w:r>
        <w:t xml:space="preserve"> dioxide has been undertaken and has now progressed to its final stages. Public consultation on draft standards took place from May 2019, including the release of an impact statement that examined recent evidence of the health effects of these pollutants. NEPC will carefully consider all public submissions before making a decision on new standards.</w:t>
      </w:r>
    </w:p>
    <w:p w14:paraId="0601FF92" w14:textId="77777777" w:rsidR="00EB6564" w:rsidRDefault="00EB6564" w:rsidP="00EB6564">
      <w:pPr>
        <w:pStyle w:val="05BODYTEXT"/>
      </w:pPr>
      <w:r>
        <w:t xml:space="preserve">The Commonwealth is not required to undertake any direct monitoring as there are currently no </w:t>
      </w:r>
      <w:proofErr w:type="spellStart"/>
      <w:r>
        <w:t>nonself</w:t>
      </w:r>
      <w:proofErr w:type="spellEnd"/>
      <w:r>
        <w:t xml:space="preserve"> governing Commonwealth territories or Commonwealth areas with a population above the 25 000 Ambient Air Quality NEPM protocol threshold. </w:t>
      </w:r>
    </w:p>
    <w:p w14:paraId="15B63BB7" w14:textId="77777777" w:rsidR="00EB6564" w:rsidRDefault="00EB6564" w:rsidP="00EB6564">
      <w:pPr>
        <w:pStyle w:val="05BODYTEXT"/>
      </w:pPr>
      <w:r>
        <w:t xml:space="preserve">The </w:t>
      </w:r>
      <w:r>
        <w:rPr>
          <w:rStyle w:val="ITALIC"/>
        </w:rPr>
        <w:t>Fuel Quality Standards Act 2000</w:t>
      </w:r>
      <w:r>
        <w:t xml:space="preserve"> (the Act) provides a legislative framework for setting and enforcing national fuel quality and fuel quality information standards in Australia. These standards are an important safeguard for consumers and the environment. </w:t>
      </w:r>
    </w:p>
    <w:p w14:paraId="0B1D8D63" w14:textId="77777777" w:rsidR="00EB6564" w:rsidRDefault="00EB6564" w:rsidP="00521338">
      <w:pPr>
        <w:pStyle w:val="05BODYTEXT"/>
        <w:keepNext/>
      </w:pPr>
      <w:r>
        <w:t xml:space="preserve">The objects of the Act are to: </w:t>
      </w:r>
    </w:p>
    <w:p w14:paraId="07C5C165" w14:textId="77777777" w:rsidR="00EB6564" w:rsidRDefault="00EB6564" w:rsidP="00521338">
      <w:pPr>
        <w:pStyle w:val="05bDOTPOINTS"/>
        <w:keepNext/>
      </w:pPr>
      <w:r>
        <w:t xml:space="preserve">a) </w:t>
      </w:r>
      <w:r>
        <w:tab/>
        <w:t xml:space="preserve">regulate the quality of fuel supplied in Australia in order to: </w:t>
      </w:r>
    </w:p>
    <w:p w14:paraId="4898FC88" w14:textId="77777777" w:rsidR="00EB6564" w:rsidRDefault="00EB6564" w:rsidP="00521338">
      <w:pPr>
        <w:pStyle w:val="05bDOTPOINTS2ndlevel"/>
        <w:keepNext/>
      </w:pPr>
      <w:proofErr w:type="spellStart"/>
      <w:r>
        <w:t>i</w:t>
      </w:r>
      <w:proofErr w:type="spellEnd"/>
      <w:r>
        <w:t xml:space="preserve">. </w:t>
      </w:r>
      <w:r>
        <w:tab/>
      </w:r>
      <w:proofErr w:type="gramStart"/>
      <w:r>
        <w:t>reduce</w:t>
      </w:r>
      <w:proofErr w:type="gramEnd"/>
      <w:r>
        <w:t xml:space="preserve"> the level of pollutants and emissions arising from the use of fuel that may cause environmental and health problems; and </w:t>
      </w:r>
    </w:p>
    <w:p w14:paraId="301CDA21" w14:textId="77777777" w:rsidR="00EB6564" w:rsidRDefault="00EB6564" w:rsidP="00521338">
      <w:pPr>
        <w:pStyle w:val="05bDOTPOINTS2ndlevel"/>
        <w:keepNext/>
      </w:pPr>
      <w:r>
        <w:t>ii.</w:t>
      </w:r>
      <w:r>
        <w:tab/>
        <w:t xml:space="preserve">facilitate the adoption of better engine technology and emission control technology; and iii. allow the more effective operation of engines; and </w:t>
      </w:r>
    </w:p>
    <w:p w14:paraId="5DE8ECF8" w14:textId="77777777" w:rsidR="00EB6564" w:rsidRDefault="00EB6564" w:rsidP="00521338">
      <w:pPr>
        <w:pStyle w:val="05bDOTPOINTS"/>
        <w:keepNext/>
        <w:spacing w:after="170"/>
      </w:pPr>
      <w:r>
        <w:t>b)</w:t>
      </w:r>
      <w:r>
        <w:tab/>
        <w:t xml:space="preserve"> ensure that, where appropriate, information about fuel is provided when the fuel is supplied.</w:t>
      </w:r>
    </w:p>
    <w:p w14:paraId="4BD7BCC9" w14:textId="77777777" w:rsidR="00EB6564" w:rsidRDefault="00EB6564" w:rsidP="00EB6564">
      <w:pPr>
        <w:pStyle w:val="05BODYTEXT"/>
      </w:pPr>
      <w:r>
        <w:t>In 2018-19, authorised fuel inspectors visited 363 sites and tested 1380 samples for compliance with the Act. The Department of the Environment and Energy identified 20 instances of non-compliance with the Act. The Department engaged with stakeholders following these instances to encourage voluntary compliance with the Act.</w:t>
      </w:r>
    </w:p>
    <w:p w14:paraId="2E724AEE" w14:textId="77777777" w:rsidR="00EB6564" w:rsidRDefault="00EB6564" w:rsidP="00EB6564">
      <w:pPr>
        <w:pStyle w:val="05BODYTEXT"/>
      </w:pPr>
      <w:r>
        <w:t>In March 2019, the Australian Government made improvements to petrol and diesel fuel quality standards to ensure people have access to better quality fuels and to more closely align with international practice. This is an important step that will provide considerable health and environmental benefits by reducing air pollution and saving billions of dollars in health costs.</w:t>
      </w:r>
    </w:p>
    <w:p w14:paraId="71B1531E" w14:textId="77777777" w:rsidR="00EB6564" w:rsidRDefault="00EB6564" w:rsidP="00EB6564">
      <w:pPr>
        <w:pStyle w:val="05BODYTEXT"/>
      </w:pPr>
      <w:r>
        <w:t xml:space="preserve">All nine sun-setting fuel quality standards (petrol, automotive diesel, </w:t>
      </w:r>
      <w:proofErr w:type="spellStart"/>
      <w:r>
        <w:t>autogas</w:t>
      </w:r>
      <w:proofErr w:type="spellEnd"/>
      <w:r>
        <w:t xml:space="preserve"> (LPG), biodiesel, ethanol E85, ethanol and ethanol E85 information standards, regulations and register of prohibited fuel additives guidelines) have been remade and will commence on 1 October 2019.</w:t>
      </w:r>
    </w:p>
    <w:p w14:paraId="3ACE8AC1" w14:textId="77777777" w:rsidR="00EB6564" w:rsidRDefault="00EB6564" w:rsidP="00EB6564">
      <w:pPr>
        <w:pStyle w:val="05BODYTEXT"/>
      </w:pPr>
      <w:r>
        <w:t xml:space="preserve">Petrol quality will be improved by setting a lower pool average for aromatics from 2022 and lowering the </w:t>
      </w:r>
      <w:proofErr w:type="spellStart"/>
      <w:r>
        <w:t>sulfur</w:t>
      </w:r>
      <w:proofErr w:type="spellEnd"/>
      <w:r>
        <w:t xml:space="preserve"> limits from 2027. The 2027 date does not preclude the earlier availability of low </w:t>
      </w:r>
      <w:proofErr w:type="spellStart"/>
      <w:r>
        <w:t>sulfur</w:t>
      </w:r>
      <w:proofErr w:type="spellEnd"/>
      <w:r>
        <w:t xml:space="preserve"> petrol in the market.</w:t>
      </w:r>
    </w:p>
    <w:p w14:paraId="20ADD479" w14:textId="77777777" w:rsidR="00EB6564" w:rsidRDefault="00EB6564" w:rsidP="00EB6564">
      <w:pPr>
        <w:pStyle w:val="02HEADING2"/>
      </w:pPr>
      <w:r>
        <w:t>Part 2—Assessment of NEPM effectiveness</w:t>
      </w:r>
    </w:p>
    <w:p w14:paraId="47BCEEF0" w14:textId="77777777" w:rsidR="00EB6564" w:rsidRDefault="00EB6564" w:rsidP="00EB6564">
      <w:pPr>
        <w:pStyle w:val="05BODYTEXT"/>
      </w:pPr>
      <w:r>
        <w:t>The Ambient Air Quality NEPM provides a nationally consistent framework for the monitoring, reporting and assessment of ambient air quality in Australia. The data collected by jurisdictions for the six criteria pollutants listed in the Ambient Air Quality NEPM (carbon monoxide (CO), nitrogen dioxide (NO</w:t>
      </w:r>
      <w:r>
        <w:rPr>
          <w:vertAlign w:val="subscript"/>
        </w:rPr>
        <w:t>2</w:t>
      </w:r>
      <w:r>
        <w:t>), photochemical oxidants as ozone (O</w:t>
      </w:r>
      <w:r>
        <w:rPr>
          <w:vertAlign w:val="subscript"/>
        </w:rPr>
        <w:t>3</w:t>
      </w:r>
      <w:r>
        <w:t xml:space="preserve">), </w:t>
      </w:r>
      <w:proofErr w:type="spellStart"/>
      <w:r>
        <w:t>sulfur</w:t>
      </w:r>
      <w:proofErr w:type="spellEnd"/>
      <w:r>
        <w:t xml:space="preserve"> dioxide (SO</w:t>
      </w:r>
      <w:r>
        <w:rPr>
          <w:vertAlign w:val="subscript"/>
        </w:rPr>
        <w:t>2</w:t>
      </w:r>
      <w:r>
        <w:t>), lead (Pb) and PM</w:t>
      </w:r>
      <w:r>
        <w:rPr>
          <w:vertAlign w:val="subscript"/>
        </w:rPr>
        <w:t>10</w:t>
      </w:r>
      <w:r>
        <w:t>) remain essential for monitoring Australia’s ambient air quality. This is a valuable resource for informing actions under the National Clean Air Agreement and its work plan.</w:t>
      </w:r>
    </w:p>
    <w:p w14:paraId="362743E1" w14:textId="77777777" w:rsidR="00EB6564" w:rsidRDefault="00EB6564" w:rsidP="00EB6564">
      <w:pPr>
        <w:pStyle w:val="05BODYTEXT"/>
      </w:pPr>
      <w:r>
        <w:t xml:space="preserve">Data collected through the Ambient Air Quality NEPM has previously informed reports including the </w:t>
      </w:r>
      <w:r>
        <w:rPr>
          <w:rStyle w:val="ITALIC"/>
        </w:rPr>
        <w:t>State of the Air in Australia 1998-2008</w:t>
      </w:r>
      <w:r>
        <w:t xml:space="preserve"> report and the 2011 and 2016 Australia: State of the Environment reports.</w:t>
      </w:r>
    </w:p>
    <w:p w14:paraId="63C71CF6" w14:textId="77777777" w:rsidR="00EB6564" w:rsidRPr="009408AB" w:rsidRDefault="00EB6564" w:rsidP="00CB0DA6">
      <w:pPr>
        <w:pStyle w:val="Heading2"/>
      </w:pPr>
      <w:bookmarkStart w:id="26" w:name="_Toc58254380"/>
      <w:r w:rsidRPr="009408AB">
        <w:lastRenderedPageBreak/>
        <w:t>New South Wales</w:t>
      </w:r>
      <w:bookmarkEnd w:id="26"/>
    </w:p>
    <w:p w14:paraId="68AEEE38" w14:textId="77777777" w:rsidR="00EB6564" w:rsidRDefault="00EB6564" w:rsidP="00EB6564">
      <w:pPr>
        <w:pStyle w:val="05BODYTEXT"/>
        <w:rPr>
          <w:rStyle w:val="ITALIC"/>
        </w:rPr>
      </w:pPr>
      <w:r>
        <w:rPr>
          <w:rStyle w:val="ITALIC"/>
        </w:rPr>
        <w:t>Report to the NEPC on the implementation of the National Environment Protection (Ambient Air Quality) Measure for New South Wales by the Hon. Matt Kean MP, Minister for Energy and Environment, for the reporting year ended 30 June 2019.</w:t>
      </w:r>
    </w:p>
    <w:p w14:paraId="19F5C6EB" w14:textId="77777777" w:rsidR="00EB6564" w:rsidRDefault="00EB6564" w:rsidP="00EB6564">
      <w:pPr>
        <w:pStyle w:val="02HEADING2"/>
      </w:pPr>
      <w:r>
        <w:t>Part 1—Implementation of the NEPM and any significant issues</w:t>
      </w:r>
    </w:p>
    <w:p w14:paraId="04DCE06B" w14:textId="77777777" w:rsidR="00EB6564" w:rsidRDefault="00EB6564" w:rsidP="00EB6564">
      <w:pPr>
        <w:pStyle w:val="05BODYTEXT"/>
      </w:pPr>
      <w:r>
        <w:t xml:space="preserve">The National Environment Protection (Ambient Air Quality) Measure (NEPM) (AAQ NEPM) is implemented under the </w:t>
      </w:r>
      <w:r>
        <w:rPr>
          <w:rStyle w:val="ITALIC"/>
        </w:rPr>
        <w:t>Protection of the Environment Operations Act 1997</w:t>
      </w:r>
      <w:r>
        <w:t xml:space="preserve">, the </w:t>
      </w:r>
      <w:r>
        <w:rPr>
          <w:rStyle w:val="ITALIC"/>
        </w:rPr>
        <w:t>Protection of the Environment Operations (Clean Air) Regulation 2010</w:t>
      </w:r>
      <w:r>
        <w:t xml:space="preserve"> and the </w:t>
      </w:r>
      <w:r>
        <w:rPr>
          <w:rStyle w:val="ITALIC"/>
        </w:rPr>
        <w:t>Protection of the Environment Operations (General) Regulation 2009.</w:t>
      </w:r>
      <w:r>
        <w:t xml:space="preserve"> </w:t>
      </w:r>
    </w:p>
    <w:p w14:paraId="289A2172" w14:textId="77777777" w:rsidR="00EB6564" w:rsidRDefault="00EB6564" w:rsidP="00EB6564">
      <w:pPr>
        <w:pStyle w:val="05BODYTEXT"/>
      </w:pPr>
      <w:r>
        <w:t xml:space="preserve">The </w:t>
      </w:r>
      <w:r>
        <w:rPr>
          <w:rStyle w:val="ITALIC"/>
        </w:rPr>
        <w:t>Protection of the Environment Operations Act 1997</w:t>
      </w:r>
      <w:r>
        <w:t xml:space="preserve"> sets the statutory framework for managing air quality in NSW.</w:t>
      </w:r>
    </w:p>
    <w:p w14:paraId="3C01CB36" w14:textId="77777777" w:rsidR="00EB6564" w:rsidRDefault="00EB6564" w:rsidP="00EB6564">
      <w:pPr>
        <w:pStyle w:val="05BODYTEXT"/>
      </w:pPr>
      <w:r>
        <w:t xml:space="preserve">The </w:t>
      </w:r>
      <w:r>
        <w:rPr>
          <w:rStyle w:val="ITALIC"/>
        </w:rPr>
        <w:t>Protection of the Environment Operations (Clean Air) Regulation 2010</w:t>
      </w:r>
      <w:r>
        <w:t xml:space="preserve"> provides measures to control emissions from industry, motor vehicles and fuels, domestic solid fuel heaters and open burning. </w:t>
      </w:r>
    </w:p>
    <w:p w14:paraId="2BDDA452" w14:textId="77777777" w:rsidR="00EB6564" w:rsidRDefault="00EB6564" w:rsidP="00EB6564">
      <w:pPr>
        <w:pStyle w:val="05BODYTEXT"/>
      </w:pPr>
      <w:r>
        <w:t>The P</w:t>
      </w:r>
      <w:r>
        <w:rPr>
          <w:rStyle w:val="ITALIC"/>
        </w:rPr>
        <w:t>rotection of the Environment Operations (General) Regulation 2009</w:t>
      </w:r>
      <w:r>
        <w:t xml:space="preserve"> establishes the licensing scheme for major industrial premises and economic incentives for licensed businesses and industry to reduce pollution, including emissions to air.</w:t>
      </w:r>
    </w:p>
    <w:p w14:paraId="70F59F20" w14:textId="77777777" w:rsidR="00EB6564" w:rsidRDefault="00EB6564" w:rsidP="00EB6564">
      <w:pPr>
        <w:pStyle w:val="05BODYTEXT"/>
      </w:pPr>
      <w:r>
        <w:t xml:space="preserve">In NSW, the Department of Planning, Industry and Environment (DPIE) and the Environment Protection Authority (EPA) work together to reduce impacts of air pollution. DPIE operates a comprehensive air quality monitoring network and undertakes air quality forecasting to provide timely information so that people can take steps to reduce their risk of exposure. The EPA develops and implements regulation, policies and programs to improve compliance with NEPM goals and protect public health. </w:t>
      </w:r>
    </w:p>
    <w:p w14:paraId="19E67774" w14:textId="77777777" w:rsidR="00EB6564" w:rsidRDefault="00EB6564" w:rsidP="00EB6564">
      <w:pPr>
        <w:pStyle w:val="05BODYTEXT"/>
      </w:pPr>
      <w:r>
        <w:t>The NEPM goal is a driver for these strategies and a benchmark against which progress in managing air quality can be assessed.</w:t>
      </w:r>
    </w:p>
    <w:p w14:paraId="3981551D" w14:textId="77777777" w:rsidR="00EB6564" w:rsidRDefault="00EB6564" w:rsidP="00EB6564">
      <w:pPr>
        <w:pStyle w:val="03HEADING3"/>
      </w:pPr>
      <w:r>
        <w:t>Air quality management in the Greater Metropolitan Region and regional NSW</w:t>
      </w:r>
    </w:p>
    <w:p w14:paraId="31AB0750" w14:textId="77777777" w:rsidR="00EB6564" w:rsidRDefault="00EB6564" w:rsidP="00EB6564">
      <w:pPr>
        <w:pStyle w:val="05BODYTEXT"/>
      </w:pPr>
      <w:r>
        <w:t xml:space="preserve">The EPA delivers numerous actions that target the pollutants of most concern in NSW, namely particles in the Greater Metropolitan Region and some regional centres, and ground-level ozone by targeting precursor emissions. These actions are designed to improve knowledge about air emissions, air quality and the impacts of air pollution, inform and engage the community and other stakeholders, and reduce air quality impacts from industry, vehicles and commercial and domestic activities. </w:t>
      </w:r>
    </w:p>
    <w:p w14:paraId="0944505F" w14:textId="77777777" w:rsidR="00EB6564" w:rsidRDefault="00EB6564" w:rsidP="00EB6564">
      <w:pPr>
        <w:pStyle w:val="05BODYTEXT"/>
      </w:pPr>
      <w:proofErr w:type="gramStart"/>
      <w:r>
        <w:t>At</w:t>
      </w:r>
      <w:proofErr w:type="gramEnd"/>
      <w:r>
        <w:t xml:space="preserve"> 30 June 2019, DPIE operated 86 monitoring stations in the NSW air quality monitoring network, which comprised several smaller networks. Air quality data and information are made publicly available on the DPIE website, updated on an hourly basis. Automated text messages and emails are sent to subscribers when air quality is measured to exceed national air quality standards. A daily forecast is also sent to subscribers and published on the DPIE website for the Sydney region. DPIE also collaborates with the EPA, other agencies and science partners to deliver research to inform air policies and programs.</w:t>
      </w:r>
    </w:p>
    <w:p w14:paraId="1CCC0ADB" w14:textId="77777777" w:rsidR="00EB6564" w:rsidRDefault="00EB6564" w:rsidP="00EB6564">
      <w:pPr>
        <w:pStyle w:val="05BODYTEXT"/>
      </w:pPr>
      <w:r>
        <w:t>The following is an outline of the key mechanisms for managing air quality and the activities implemented in 2018-19.</w:t>
      </w:r>
    </w:p>
    <w:p w14:paraId="5AC92BD4" w14:textId="77777777" w:rsidR="00EB6564" w:rsidRDefault="00EB6564" w:rsidP="00EB6564">
      <w:pPr>
        <w:pStyle w:val="03HEADING3"/>
      </w:pPr>
      <w:r>
        <w:t>Air emissions inventory</w:t>
      </w:r>
    </w:p>
    <w:p w14:paraId="72A34DA9" w14:textId="77777777" w:rsidR="00EB6564" w:rsidRDefault="00EB6564" w:rsidP="00EB6564">
      <w:pPr>
        <w:pStyle w:val="05BODYTEXT"/>
      </w:pPr>
      <w:r>
        <w:t xml:space="preserve">The Air Emissions Inventory for the NSW Greater Metropolitan Region (GMR) is a detailed technical snapshot of major sources of air pollution. The inventory estimates emissions for hundreds of substances released to the atmosphere from natural and human-made sources within the GMR and has been updated every five years. The latest available inventory is for the 2008 calendar year. </w:t>
      </w:r>
    </w:p>
    <w:p w14:paraId="7DE750F0" w14:textId="3534097E" w:rsidR="00EB6564" w:rsidRPr="00521338" w:rsidRDefault="00EB6564" w:rsidP="00EB6564">
      <w:pPr>
        <w:pStyle w:val="05BODYTEXT"/>
      </w:pPr>
      <w:r>
        <w:t>Detailed inventory data are available in a series of technical rep</w:t>
      </w:r>
      <w:r w:rsidRPr="00521338">
        <w:t xml:space="preserve">orts on the </w:t>
      </w:r>
      <w:hyperlink r:id="rId19" w:history="1">
        <w:r w:rsidRPr="00216A61">
          <w:rPr>
            <w:rStyle w:val="Hyperlink"/>
            <w:color w:val="4472C4" w:themeColor="accent1"/>
            <w:u w:val="single"/>
          </w:rPr>
          <w:t>2008 Calendar Year Air Emissions Inventory</w:t>
        </w:r>
      </w:hyperlink>
      <w:r w:rsidRPr="00521338">
        <w:t xml:space="preserve"> webpage. Over 2018-19, work continued on collation of data for the 2013 inventory which is expected to be finalised in 2019. </w:t>
      </w:r>
    </w:p>
    <w:p w14:paraId="2E1913D4" w14:textId="77777777" w:rsidR="00EB6564" w:rsidRDefault="00EB6564" w:rsidP="00EB6564">
      <w:pPr>
        <w:pStyle w:val="05BODYTEXT"/>
      </w:pPr>
      <w:r w:rsidRPr="00521338">
        <w:t xml:space="preserve">The community can access air emissions inventory information about local sources of air pollution via the </w:t>
      </w:r>
      <w:r w:rsidRPr="00521338">
        <w:rPr>
          <w:rStyle w:val="Hyperlink"/>
          <w:u w:val="none"/>
        </w:rPr>
        <w:t>Air Emissions in my Community</w:t>
      </w:r>
      <w:r w:rsidRPr="00521338">
        <w:t xml:space="preserve"> </w:t>
      </w:r>
      <w:r>
        <w:t>web tool. The tool presents aggregated data and charts for different geographic areas within the GMR, down to local council and postcode level. When the 2013 inventory update is complete, 2013 and the 2003 emissions data will be added to the web tool to enable the display of trends over the ten-year period.</w:t>
      </w:r>
    </w:p>
    <w:p w14:paraId="131A839C" w14:textId="77777777" w:rsidR="00EB6564" w:rsidRDefault="00EB6564" w:rsidP="00EB6564">
      <w:pPr>
        <w:pStyle w:val="03HEADING3"/>
      </w:pPr>
      <w:r>
        <w:t>Air quality monitoring</w:t>
      </w:r>
    </w:p>
    <w:p w14:paraId="7B37B81B" w14:textId="5A1D78BE" w:rsidR="00EB6564" w:rsidRDefault="00EB6564" w:rsidP="00EB6564">
      <w:pPr>
        <w:pStyle w:val="05BODYTEXT"/>
      </w:pPr>
      <w:proofErr w:type="gramStart"/>
      <w:r>
        <w:t>At</w:t>
      </w:r>
      <w:proofErr w:type="gramEnd"/>
      <w:r>
        <w:t xml:space="preserve"> 30 June 2019, the NSW air quality monitoring network totalled 86 stations, consisting of 50 National Association of Testing Authorities (NATA) accredited stations plus 36 indicative rural monitoring sites. The network provides detailed air quality information that is available on the web and updated hourly. Information about the network and current and historic data can be found at </w:t>
      </w:r>
      <w:hyperlink r:id="rId20" w:history="1">
        <w:r w:rsidRPr="00216A61">
          <w:rPr>
            <w:rStyle w:val="Hyperlink"/>
            <w:color w:val="4472C4" w:themeColor="accent1"/>
            <w:u w:val="single"/>
          </w:rPr>
          <w:t>www.environment.nsw.gov.au/topics/air/monitoring-air-quality</w:t>
        </w:r>
      </w:hyperlink>
      <w:r>
        <w:t>.</w:t>
      </w:r>
    </w:p>
    <w:p w14:paraId="239EEC1B" w14:textId="77777777" w:rsidR="00EB6564" w:rsidRDefault="00EB6564" w:rsidP="00EB6564">
      <w:pPr>
        <w:pStyle w:val="05BODYTEXT"/>
      </w:pPr>
      <w:r>
        <w:t xml:space="preserve">The air quality monitoring network designated for reporting compliance with the AAQ NEPM is a subset of the total NSW 86-station network. The AAQ NEPM air quality monitoring network consisted of monitoring stations at 30 sites </w:t>
      </w:r>
      <w:proofErr w:type="gramStart"/>
      <w:r>
        <w:t>at</w:t>
      </w:r>
      <w:proofErr w:type="gramEnd"/>
      <w:r>
        <w:t xml:space="preserve"> 30 June 2019 (16 in Sydney, three in the Illawarra region, three in the Lower Hunter, one in the Central Coast and seven in regional NSW [three in the NSW North-West Slopes, two in the Central Tablelands and two in the South-West Slopes]). </w:t>
      </w:r>
    </w:p>
    <w:p w14:paraId="22D48ADF" w14:textId="04A452F7" w:rsidR="00EB6564" w:rsidRDefault="00EB6564" w:rsidP="00EB6564">
      <w:pPr>
        <w:pStyle w:val="05BODYTEXT"/>
      </w:pPr>
      <w:r>
        <w:lastRenderedPageBreak/>
        <w:t>The remaining 56 network stations were not designated for AAQ NEPM reporting. These non-NEPM stations comprised the 36 indicative monitoring sites in the NSW rural air quality network and 20 NATA</w:t>
      </w:r>
      <w:r w:rsidR="00521338">
        <w:t>-</w:t>
      </w:r>
      <w:r>
        <w:t>accredited air quality monitoring stations (two research sites in the Sydney-Blue Mountains region, one monitoring site in the Northern Tablelands region, 14 sites in the industry-funded Upper Hunter network, and three sites in the industry-funded Newcastle local area network). Non-NEPM sites provide information on the impacts of local sources of air pollution and assist DPIE and the EPA to develop actions to reduce air quality impacts.</w:t>
      </w:r>
    </w:p>
    <w:p w14:paraId="4EE0564A" w14:textId="77777777" w:rsidR="00EB6564" w:rsidRDefault="00EB6564" w:rsidP="00EB6564">
      <w:pPr>
        <w:pStyle w:val="05BODYTEXT"/>
      </w:pPr>
      <w:r>
        <w:t>Fine particle monitoring was extended across the NSW Air Quality Monitoring Network in 2018-19. This monitoring supports air quality and health analysis and compliance assessments against national standards for PM</w:t>
      </w:r>
      <w:r>
        <w:rPr>
          <w:vertAlign w:val="subscript"/>
        </w:rPr>
        <w:t>2.5</w:t>
      </w:r>
      <w:r>
        <w:t xml:space="preserve"> (particles 2.5 micrometres and smaller in diameter). In 2018, new monitoring stations commenced operation in Armidale and Orange in regional NSW, and at Rouse Hill in Sydney North-West in 2019.</w:t>
      </w:r>
    </w:p>
    <w:p w14:paraId="0F5B4774" w14:textId="77777777" w:rsidR="00EB6564" w:rsidRDefault="00EB6564" w:rsidP="00EB6564">
      <w:pPr>
        <w:pStyle w:val="05BODYTEXT"/>
      </w:pPr>
      <w:r>
        <w:t xml:space="preserve">Air incident monitoring and modelling capabilities have been established for incidents where air quality impacts may be experienced by the community for a period of several days or longer. This includes two portable monitoring pods, each equipped with seven compliance air quality monitors that meet Australian Standards and the AAQ NEPM requirements, and other non-compliance instruments and meteorological monitors. The pods are fitted with telemetry and communications systems coupled with web reporting capabilities for rapid transfer of information to a publicly accessible website. </w:t>
      </w:r>
    </w:p>
    <w:p w14:paraId="3BD0D634" w14:textId="77777777" w:rsidR="00EB6564" w:rsidRDefault="00EB6564" w:rsidP="00EB6564">
      <w:pPr>
        <w:pStyle w:val="05BODYTEXT"/>
      </w:pPr>
      <w:r>
        <w:t xml:space="preserve">DPIE is collaborating with research partners and other environment agencies in Australia to investigate </w:t>
      </w:r>
      <w:proofErr w:type="gramStart"/>
      <w:r>
        <w:t>low cost</w:t>
      </w:r>
      <w:proofErr w:type="gramEnd"/>
      <w:r>
        <w:t xml:space="preserve"> air pollution sensors and their deployment within networks for real-time air pollution monitoring and mapping. This research will support future integration of indicative data from sensor networks with high quality data from the NSW air quality monitoring network.</w:t>
      </w:r>
    </w:p>
    <w:p w14:paraId="55B6510C" w14:textId="77777777" w:rsidR="00EB6564" w:rsidRDefault="00EB6564" w:rsidP="00EB6564">
      <w:pPr>
        <w:pStyle w:val="03HEADING3"/>
      </w:pPr>
      <w:r>
        <w:t>Review of the NSW air quality monitoring plan</w:t>
      </w:r>
    </w:p>
    <w:p w14:paraId="4E501020" w14:textId="77777777" w:rsidR="00EB6564" w:rsidRDefault="00EB6564" w:rsidP="00EB6564">
      <w:pPr>
        <w:pStyle w:val="05BODYTEXT"/>
      </w:pPr>
      <w:r>
        <w:t>A review of the NSW air quality monitoring plan was conducted from 2017 to 2019. The review was undertaken to ensure the current monitoring network is meeting community requirements and the objectives of the AAQ NEPM. It is anticipated an updated plan will be released in late 2019/early 2020.</w:t>
      </w:r>
    </w:p>
    <w:p w14:paraId="70878280" w14:textId="77777777" w:rsidR="00EB6564" w:rsidRDefault="00EB6564" w:rsidP="00EB6564">
      <w:pPr>
        <w:pStyle w:val="04HEADING4"/>
      </w:pPr>
      <w:r>
        <w:t>Blue Mountains and Lithgow Air Watch</w:t>
      </w:r>
    </w:p>
    <w:p w14:paraId="19A65167" w14:textId="79517383" w:rsidR="00EB6564" w:rsidRDefault="003F26A6" w:rsidP="00EB6564">
      <w:pPr>
        <w:pStyle w:val="05BODYTEXT"/>
      </w:pPr>
      <w:hyperlink r:id="rId21" w:history="1">
        <w:r w:rsidR="00EB6564" w:rsidRPr="00216A61">
          <w:rPr>
            <w:rStyle w:val="Hyperlink"/>
            <w:color w:val="4472C4" w:themeColor="accent1"/>
            <w:u w:val="single"/>
          </w:rPr>
          <w:t>Blue Mountains and Lithgow Air Watch</w:t>
        </w:r>
      </w:hyperlink>
      <w:r w:rsidR="00EB6564" w:rsidRPr="00032D97">
        <w:t xml:space="preserve"> is</w:t>
      </w:r>
      <w:r w:rsidR="00EB6564">
        <w:t xml:space="preserve"> an air quality monitoring project that will provide a better picture of air quality in the region. The project began in May 2019 and will run for 12 months. The EPA has partnered with a range of Blue Mountains community groups and volunteers, DPIE, Blue Mountains City and Lithgow councils, Doctors for the Environment, Western Sydney University and the Nepean Blue Mountains Local Health District. It comprises:</w:t>
      </w:r>
    </w:p>
    <w:p w14:paraId="1C8D9B49" w14:textId="39DC676C" w:rsidR="00EB6564" w:rsidRDefault="00EB6564" w:rsidP="00EB6564">
      <w:pPr>
        <w:pStyle w:val="05BODYTEXT"/>
      </w:pPr>
      <w:r>
        <w:t>One temporary air quality monitoring station in Katoomba which measures particles (PM</w:t>
      </w:r>
      <w:r>
        <w:rPr>
          <w:vertAlign w:val="subscript"/>
        </w:rPr>
        <w:t>10</w:t>
      </w:r>
      <w:r>
        <w:t> and PM</w:t>
      </w:r>
      <w:r>
        <w:rPr>
          <w:vertAlign w:val="subscript"/>
        </w:rPr>
        <w:t>2.5</w:t>
      </w:r>
      <w:r>
        <w:t xml:space="preserve">), </w:t>
      </w:r>
      <w:proofErr w:type="spellStart"/>
      <w:r>
        <w:t>sulfur</w:t>
      </w:r>
      <w:proofErr w:type="spellEnd"/>
      <w:r>
        <w:t xml:space="preserve"> dioxide, carbon monoxide, ozone, oxides of nitrogen, visibility and meteorology. Data is available in near real-time on the </w:t>
      </w:r>
      <w:hyperlink r:id="rId22" w:history="1">
        <w:r w:rsidRPr="00216A61">
          <w:rPr>
            <w:rStyle w:val="Hyperlink"/>
            <w:color w:val="4472C4" w:themeColor="accent1"/>
            <w:u w:val="single"/>
          </w:rPr>
          <w:t>DPIE website</w:t>
        </w:r>
      </w:hyperlink>
      <w:r>
        <w:t xml:space="preserve">. </w:t>
      </w:r>
    </w:p>
    <w:p w14:paraId="7F8B0234" w14:textId="1D3B8088" w:rsidR="00EB6564" w:rsidRDefault="00EB6564" w:rsidP="00EB6564">
      <w:pPr>
        <w:pStyle w:val="05BODYTEXT"/>
      </w:pPr>
      <w:r>
        <w:t>12 KOALA (Knowing Our Ambient Local Air) air quality sensors - installed in Katoomba, Springwood, Wentworth Falls (Boddington Hill) and Lithgow to measure particles (PM</w:t>
      </w:r>
      <w:r>
        <w:rPr>
          <w:vertAlign w:val="subscript"/>
        </w:rPr>
        <w:t>10</w:t>
      </w:r>
      <w:r>
        <w:t> and PM</w:t>
      </w:r>
      <w:r>
        <w:rPr>
          <w:vertAlign w:val="subscript"/>
        </w:rPr>
        <w:t>2.5</w:t>
      </w:r>
      <w:r>
        <w:t>) and carbon monoxide. Local businesses, schools and volunteers are hosting and helping to maintain the KOALA sensors throughout the project. The </w:t>
      </w:r>
      <w:hyperlink r:id="rId23" w:history="1">
        <w:r w:rsidRPr="00216A61">
          <w:rPr>
            <w:rStyle w:val="Hyperlink"/>
            <w:color w:val="4472C4" w:themeColor="accent1"/>
            <w:u w:val="single"/>
          </w:rPr>
          <w:t>KOALA website</w:t>
        </w:r>
      </w:hyperlink>
      <w:r>
        <w:t> provides an indication of current local air quality by showing the latest reading of fine particles (PM</w:t>
      </w:r>
      <w:r>
        <w:rPr>
          <w:vertAlign w:val="subscript"/>
        </w:rPr>
        <w:t>2.5</w:t>
      </w:r>
      <w:r>
        <w:t>). KOALA air quality sensors are reliable, low</w:t>
      </w:r>
      <w:r w:rsidR="00032D97">
        <w:t>-</w:t>
      </w:r>
      <w:r>
        <w:t>cost, solar battery powered sensors, but the readings should not be compared to national standards.</w:t>
      </w:r>
    </w:p>
    <w:p w14:paraId="12E0780F" w14:textId="77777777" w:rsidR="00EB6564" w:rsidRDefault="00EB6564" w:rsidP="00EB6564">
      <w:pPr>
        <w:pStyle w:val="03HEADING3"/>
      </w:pPr>
      <w:r>
        <w:t>Air emissions and health impacts research</w:t>
      </w:r>
    </w:p>
    <w:p w14:paraId="486A91F8" w14:textId="77777777" w:rsidR="00EB6564" w:rsidRDefault="00EB6564" w:rsidP="00EB6564">
      <w:pPr>
        <w:pStyle w:val="04HEADING4"/>
      </w:pPr>
      <w:r>
        <w:t>Broken Hill Environmental Lead Study</w:t>
      </w:r>
    </w:p>
    <w:p w14:paraId="3B6EAB9D" w14:textId="49D2CDD3" w:rsidR="00EB6564" w:rsidRDefault="00EB6564" w:rsidP="00EB6564">
      <w:pPr>
        <w:pStyle w:val="05BODYTEXT"/>
      </w:pPr>
      <w:r>
        <w:t xml:space="preserve">The Broken Hill Environmental Lead Study continued in 2018-19. This four-year study was commissioned by the BHELP (Broken Hill Environmental Lead Program) and the EPA in 2016 to inform remediation efforts underway as part of a program to address lead contamination and exposures. This collaborative study by BHELP and DPIE aims to monitor airborne and deposited lead and assess contributions of current emissions from mining leases and emissions from non-mining areas. See: </w:t>
      </w:r>
      <w:hyperlink r:id="rId24" w:history="1">
        <w:r w:rsidRPr="00216A61">
          <w:rPr>
            <w:rStyle w:val="Hyperlink"/>
            <w:color w:val="4472C4" w:themeColor="accent1"/>
            <w:u w:val="single"/>
          </w:rPr>
          <w:t>www.environment.nsw.gov.au/topics/air/research/current-research/broken-hill-environmental-lead-study</w:t>
        </w:r>
      </w:hyperlink>
      <w:r>
        <w:t xml:space="preserve">. </w:t>
      </w:r>
    </w:p>
    <w:p w14:paraId="1FBA7BAE" w14:textId="77777777" w:rsidR="00EB6564" w:rsidRDefault="00EB6564" w:rsidP="00EB6564">
      <w:pPr>
        <w:pStyle w:val="04HEADING4"/>
      </w:pPr>
      <w:r>
        <w:t>Sydney Air Quality Study</w:t>
      </w:r>
    </w:p>
    <w:p w14:paraId="50278D4A" w14:textId="77777777" w:rsidR="00EB6564" w:rsidRDefault="00EB6564" w:rsidP="00EB6564">
      <w:pPr>
        <w:pStyle w:val="05BODYTEXT"/>
      </w:pPr>
      <w:r>
        <w:t xml:space="preserve">This multi-year study commenced in 2016 to improve understanding of air quality and the impacts of air pollution in the greater Sydney region. The study will extend the evidence base for air policies and programs, providing information on past, current and future air quality and its impacts on public health and the environment in the greater Sydney region. The study will support evidence-based air policies and programs by identifying persistent and emerging </w:t>
      </w:r>
      <w:proofErr w:type="gramStart"/>
      <w:r>
        <w:t>issues, and</w:t>
      </w:r>
      <w:proofErr w:type="gramEnd"/>
      <w:r>
        <w:t xml:space="preserve"> highlighting opportunities to improve air quality and realise public health and economic benefits. </w:t>
      </w:r>
    </w:p>
    <w:p w14:paraId="186429E0" w14:textId="579BE212" w:rsidR="00EB6564" w:rsidRDefault="00EB6564" w:rsidP="00EB6564">
      <w:pPr>
        <w:pStyle w:val="05BODYTEXT"/>
      </w:pPr>
      <w:r>
        <w:t xml:space="preserve">The initial results from the Sydney Air Quality Study were published in December 2018 in a peer reviewed journal and the first study report is expected to be delivered in the second half of 2019. See: </w:t>
      </w:r>
      <w:hyperlink r:id="rId25" w:history="1">
        <w:r w:rsidRPr="00216A61">
          <w:rPr>
            <w:rStyle w:val="Hyperlink"/>
            <w:color w:val="4472C4" w:themeColor="accent1"/>
            <w:u w:val="single"/>
          </w:rPr>
          <w:t>www.environment.nsw.gov.au/topics/air/research/current-research/sydney-air-quality-study</w:t>
        </w:r>
      </w:hyperlink>
      <w:r>
        <w:t>.</w:t>
      </w:r>
    </w:p>
    <w:p w14:paraId="55A72F9F" w14:textId="77777777" w:rsidR="00EB6564" w:rsidRDefault="00EB6564" w:rsidP="00EB6564">
      <w:pPr>
        <w:pStyle w:val="04HEADING4"/>
      </w:pPr>
      <w:r>
        <w:t>Enhancing air quality forecasting in NSW</w:t>
      </w:r>
    </w:p>
    <w:p w14:paraId="09DAB7EA" w14:textId="12A99F12" w:rsidR="00EB6564" w:rsidRDefault="00EB6564" w:rsidP="00EB6564">
      <w:pPr>
        <w:pStyle w:val="05BODYTEXT"/>
      </w:pPr>
      <w:r>
        <w:t>This program was established to progressively expand the scope and enhance the air quality forecasting capabilities in NSW. DPIE issues a daily air quality forecast for the greater Sydney region, and the overall accuracy of forecasts is currently considered to be moderate. Through this program DPIE will work towards more accurately forecasting air quality for greater Sydney and its sub-</w:t>
      </w:r>
      <w:proofErr w:type="gramStart"/>
      <w:r>
        <w:t>regions, and</w:t>
      </w:r>
      <w:proofErr w:type="gramEnd"/>
      <w:r>
        <w:t xml:space="preserve"> will progressively expand forecasting to the whole of the NSW Greater Metropolitan Region and major regional areas. The program involves several projects to develop specific advanced tools and capabilities, some involving collaboration with science partners. Advancements have been made in 2018-19 in chemical transport </w:t>
      </w:r>
      <w:r>
        <w:lastRenderedPageBreak/>
        <w:t xml:space="preserve">modelling to better forecast air pollution impacts from hazard reduction burns, wildfires, dust storms and incidents. See: </w:t>
      </w:r>
      <w:hyperlink r:id="rId26" w:history="1">
        <w:r w:rsidRPr="00216A61">
          <w:rPr>
            <w:rStyle w:val="Hyperlink"/>
            <w:color w:val="4472C4" w:themeColor="accent1"/>
            <w:u w:val="single"/>
          </w:rPr>
          <w:t>www.environment.nsw.gov.au/topics/air/research/current-research/air-quality-forecasting</w:t>
        </w:r>
      </w:hyperlink>
      <w:r>
        <w:t>.</w:t>
      </w:r>
    </w:p>
    <w:p w14:paraId="26CE349F" w14:textId="77777777" w:rsidR="00EB6564" w:rsidRDefault="00EB6564" w:rsidP="00EB6564">
      <w:pPr>
        <w:pStyle w:val="03HEADING3"/>
      </w:pPr>
      <w:r>
        <w:t>Industry emissions</w:t>
      </w:r>
    </w:p>
    <w:p w14:paraId="4FC57C78" w14:textId="77777777" w:rsidR="00EB6564" w:rsidRDefault="00EB6564" w:rsidP="00EB6564">
      <w:pPr>
        <w:pStyle w:val="05BODYTEXT"/>
      </w:pPr>
      <w:r>
        <w:t xml:space="preserve">In 2018-19, the EPA continued to implement its regulatory responsibilities, including licensing scheduled industry activities and conducting compliance and enforcement programs. The </w:t>
      </w:r>
      <w:r>
        <w:rPr>
          <w:rStyle w:val="ITALIC"/>
        </w:rPr>
        <w:t>Protection of the Environment Operations Act 1997</w:t>
      </w:r>
      <w:r>
        <w:t xml:space="preserve">, the </w:t>
      </w:r>
      <w:r>
        <w:rPr>
          <w:rStyle w:val="ITALIC"/>
        </w:rPr>
        <w:t>Protection of the Environment Operations (Clean Air) Regulation 2010</w:t>
      </w:r>
      <w:r>
        <w:t xml:space="preserve"> and the </w:t>
      </w:r>
      <w:r>
        <w:rPr>
          <w:rStyle w:val="ITALIC"/>
        </w:rPr>
        <w:t>Protection of the Environment Operations (General) Regulation 2009</w:t>
      </w:r>
      <w:r>
        <w:t xml:space="preserve"> set the framework for managing air pollution from major industries in NSW.</w:t>
      </w:r>
    </w:p>
    <w:p w14:paraId="6644F716" w14:textId="77777777" w:rsidR="00EB6564" w:rsidRDefault="00EB6564" w:rsidP="00EB6564">
      <w:pPr>
        <w:pStyle w:val="04HEADING4"/>
      </w:pPr>
      <w:r>
        <w:t>Load-Based Licensing</w:t>
      </w:r>
    </w:p>
    <w:p w14:paraId="7EC7EB9E" w14:textId="7A991954" w:rsidR="00EB6564" w:rsidRPr="00032D97" w:rsidRDefault="00EB6564" w:rsidP="00EB6564">
      <w:pPr>
        <w:pStyle w:val="05BODYTEXT"/>
      </w:pPr>
      <w:r>
        <w:t xml:space="preserve">The </w:t>
      </w:r>
      <w:r w:rsidRPr="00032D97">
        <w:t xml:space="preserve">EPA’s </w:t>
      </w:r>
      <w:hyperlink r:id="rId27" w:history="1">
        <w:r w:rsidRPr="00216A61">
          <w:rPr>
            <w:rStyle w:val="Hyperlink"/>
            <w:color w:val="4472C4" w:themeColor="accent1"/>
            <w:u w:val="single"/>
          </w:rPr>
          <w:t>Load-Based Licensing</w:t>
        </w:r>
      </w:hyperlink>
      <w:r w:rsidRPr="00032D97">
        <w:t xml:space="preserve"> (LBL) scheme requires some environment protection licensees to pay part of their annual licence fees based on the load of certain air and water pollutants their activities release to the environment. By tying the fees payable to pollutant loads, the scheme aims to provide an ongoing economic incentive for licensees to improve their environmental performance beyond the levels required by regulation or licence conditions alone. In 2018-19, the EPA continued to progress a review of the LBL scheme, which aims to improve the scheme’s efficiency and effectiveness.</w:t>
      </w:r>
    </w:p>
    <w:p w14:paraId="56A70A6D" w14:textId="77777777" w:rsidR="00EB6564" w:rsidRPr="00032D97" w:rsidRDefault="00EB6564" w:rsidP="00EB6564">
      <w:pPr>
        <w:pStyle w:val="04HEADING4"/>
      </w:pPr>
      <w:r w:rsidRPr="00032D97">
        <w:t>Review of Coal Fired Power Stations Air Emissions and Monitoring</w:t>
      </w:r>
    </w:p>
    <w:p w14:paraId="6147E584" w14:textId="04338E51" w:rsidR="00EB6564" w:rsidRPr="00032D97" w:rsidRDefault="00EB6564" w:rsidP="00EB6564">
      <w:pPr>
        <w:pStyle w:val="05BODYTEXT"/>
      </w:pPr>
      <w:r w:rsidRPr="00032D97">
        <w:t xml:space="preserve">In 2017-18 the EPA completed a detailed compliance review of </w:t>
      </w:r>
      <w:hyperlink r:id="rId28" w:history="1">
        <w:r w:rsidRPr="00216A61">
          <w:rPr>
            <w:rStyle w:val="Hyperlink"/>
            <w:color w:val="4472C4" w:themeColor="accent1"/>
            <w:u w:val="single"/>
          </w:rPr>
          <w:t>Coal Fired Power Stations Air Emissions and Monitoring</w:t>
        </w:r>
      </w:hyperlink>
      <w:r w:rsidRPr="00032D97">
        <w:t xml:space="preserve">. The review involved detailed analysis of large amounts of monitoring data and operating information. In 2018-19 the EPA continued to work with power station licensees to further standardise and strengthen environmental licence conditions. </w:t>
      </w:r>
    </w:p>
    <w:p w14:paraId="1E3CE4B4" w14:textId="77777777" w:rsidR="00EB6564" w:rsidRPr="00032D97" w:rsidRDefault="00EB6564" w:rsidP="00EB6564">
      <w:pPr>
        <w:pStyle w:val="03HEADING3"/>
      </w:pPr>
      <w:r w:rsidRPr="00032D97">
        <w:t>Non-road diesel and marine emissions</w:t>
      </w:r>
    </w:p>
    <w:p w14:paraId="211E8883" w14:textId="4EF7AB05" w:rsidR="00EB6564" w:rsidRDefault="00EB6564" w:rsidP="00EB6564">
      <w:pPr>
        <w:pStyle w:val="05BODYTEXT"/>
      </w:pPr>
      <w:r w:rsidRPr="00032D97">
        <w:t xml:space="preserve">The EPA </w:t>
      </w:r>
      <w:hyperlink r:id="rId29" w:history="1">
        <w:r w:rsidRPr="00216A61">
          <w:rPr>
            <w:rStyle w:val="Hyperlink"/>
            <w:color w:val="4472C4" w:themeColor="accent1"/>
            <w:u w:val="single"/>
          </w:rPr>
          <w:t>Diesel and marine emissions management strate</w:t>
        </w:r>
      </w:hyperlink>
      <w:r w:rsidRPr="00216A61">
        <w:rPr>
          <w:rStyle w:val="Hyperlink"/>
          <w:color w:val="4472C4" w:themeColor="accent1"/>
          <w:u w:val="single"/>
        </w:rPr>
        <w:t>gy</w:t>
      </w:r>
      <w:r>
        <w:t xml:space="preserve"> sets out NSW actions to address emissions from non-road diesel equipment, diesel locomotives operating in NSW, and shipping. </w:t>
      </w:r>
    </w:p>
    <w:p w14:paraId="2B67C921" w14:textId="77777777" w:rsidR="00EB6564" w:rsidRDefault="00EB6564" w:rsidP="00EB6564">
      <w:pPr>
        <w:pStyle w:val="04HEADING4"/>
      </w:pPr>
      <w:r>
        <w:t xml:space="preserve">Non-road diesel plant and equipment </w:t>
      </w:r>
    </w:p>
    <w:p w14:paraId="479BD207" w14:textId="77777777" w:rsidR="00EB6564" w:rsidRPr="00032D97" w:rsidRDefault="00EB6564" w:rsidP="00EB6564">
      <w:pPr>
        <w:pStyle w:val="05BODYTEXT"/>
      </w:pPr>
      <w:r>
        <w:t xml:space="preserve">Following consultation on best practice measures to reduce non-road diesel exhaust emissions at NSW coal mines, in 2017 the EPA released a draft Pollution Reduction Study (PRS) and draft Special Licence Condition (SLC) for consultation with the coal mining industry. The draft PRS would require operating opencut coal mines to provide information on the emission performance of the existing non-road diesel fleet, measures already adopted, and investigation of any further reasonable and feasible emission reduction measures that could be implemented. The draft SLC would require new </w:t>
      </w:r>
      <w:r w:rsidRPr="00032D97">
        <w:t>non-road diesel equipment commissioned at NSW coal mines to meet the US EPA Tier 4 final emission standard. Over 2018 the EPA continued to review the issues raised by industry in submissions and is considering the appropriate response.</w:t>
      </w:r>
    </w:p>
    <w:p w14:paraId="3FD5249E" w14:textId="2A00C50A" w:rsidR="00EB6564" w:rsidRPr="00032D97" w:rsidRDefault="00EB6564" w:rsidP="00EB6564">
      <w:pPr>
        <w:pStyle w:val="05BODYTEXT"/>
      </w:pPr>
      <w:r w:rsidRPr="00032D97">
        <w:t xml:space="preserve">In 2018-19 DPIE continued to administer the NSW </w:t>
      </w:r>
      <w:hyperlink r:id="rId30" w:history="1">
        <w:r w:rsidRPr="00216A61">
          <w:rPr>
            <w:rStyle w:val="Hyperlink"/>
            <w:color w:val="4472C4" w:themeColor="accent1"/>
            <w:u w:val="single"/>
          </w:rPr>
          <w:t>Government Resource Efficiency Policy</w:t>
        </w:r>
      </w:hyperlink>
      <w:r w:rsidRPr="00032D97">
        <w:t xml:space="preserve"> (GREP). The GREP includes requirements to address non-road diesel engine emissions through government procurement and contracts. DPIE undertook a review of the GREP in 2017-18 to analyse whole</w:t>
      </w:r>
      <w:r w:rsidR="00032D97">
        <w:t>-</w:t>
      </w:r>
      <w:r w:rsidRPr="00032D97">
        <w:t>of</w:t>
      </w:r>
      <w:r w:rsidR="00032D97">
        <w:t>-</w:t>
      </w:r>
      <w:r w:rsidRPr="00032D97">
        <w:t>government progress towards implementation, identify challenges faced by agencies, and determine if reforms are required. The updated GREP was published in February 2019.</w:t>
      </w:r>
    </w:p>
    <w:p w14:paraId="6EEAA593" w14:textId="77777777" w:rsidR="00EB6564" w:rsidRPr="00032D97" w:rsidRDefault="00EB6564" w:rsidP="00EB6564">
      <w:pPr>
        <w:pStyle w:val="05BODYTEXT"/>
      </w:pPr>
      <w:r w:rsidRPr="00032D97">
        <w:t>For non-road diesel engines, government agencies must continue to comply with EU or US EPA standards when purchasing or leasing such equipment. Agencies must also consider air emissions from contractor-supplied equipment in tender processes for construction projects over $10 million. The tender selection process either incorporates a weighting for air emission standards in conjunction with other environmental considerations, or a statement by contractors on how they will reduce emissions from their equipment. Air emission standards of engines are aligned with the current EU and US EPA levels which are accepted internationally, with a lead time of two years compared to the introduction dates overseas.</w:t>
      </w:r>
    </w:p>
    <w:p w14:paraId="3ADEF2FC" w14:textId="77777777" w:rsidR="00EB6564" w:rsidRPr="00032D97" w:rsidRDefault="00EB6564" w:rsidP="00EB6564">
      <w:pPr>
        <w:pStyle w:val="04HEADING4"/>
      </w:pPr>
      <w:r w:rsidRPr="00032D97">
        <w:t xml:space="preserve">Locomotives </w:t>
      </w:r>
    </w:p>
    <w:p w14:paraId="161C8DAF" w14:textId="65F6888A" w:rsidR="00EB6564" w:rsidRPr="00032D97" w:rsidRDefault="00EB6564" w:rsidP="00EB6564">
      <w:pPr>
        <w:pStyle w:val="05BODYTEXT"/>
      </w:pPr>
      <w:r w:rsidRPr="00032D97">
        <w:t xml:space="preserve">In February 2017 the EPA published the </w:t>
      </w:r>
      <w:hyperlink r:id="rId31" w:history="1">
        <w:r w:rsidRPr="00216A61">
          <w:rPr>
            <w:rStyle w:val="Hyperlink"/>
            <w:color w:val="4472C4" w:themeColor="accent1"/>
            <w:u w:val="single"/>
          </w:rPr>
          <w:t>Diesel Locomotive - Fuel Efficiency and Emissions Testing</w:t>
        </w:r>
      </w:hyperlink>
      <w:r w:rsidRPr="00032D97">
        <w:t xml:space="preserve"> report. Together with the </w:t>
      </w:r>
      <w:hyperlink r:id="rId32" w:history="1">
        <w:r w:rsidRPr="00E27552">
          <w:rPr>
            <w:rStyle w:val="Hyperlink"/>
            <w:u w:val="none"/>
          </w:rPr>
          <w:t xml:space="preserve">2015 </w:t>
        </w:r>
        <w:r w:rsidRPr="00216A61">
          <w:rPr>
            <w:rStyle w:val="Hyperlink"/>
            <w:color w:val="4472C4" w:themeColor="accent1"/>
            <w:u w:val="single"/>
          </w:rPr>
          <w:t>Diesel locomotive emissions reduction technology study</w:t>
        </w:r>
      </w:hyperlink>
      <w:r w:rsidRPr="00032D97">
        <w:t xml:space="preserve">, this demonstrated that particle emission reductions conforming to US Tier 0+ emission standards can be achieved through emission upgrade kits or other locomotive upgrade programs. Amendments to the </w:t>
      </w:r>
      <w:r w:rsidRPr="00032D97">
        <w:rPr>
          <w:rStyle w:val="ITALIC"/>
        </w:rPr>
        <w:t>Protection of the Environment Operations Act 1997</w:t>
      </w:r>
      <w:r w:rsidRPr="00032D97">
        <w:t xml:space="preserve"> to regulate railway rolling stock operations were prepared in 2018 and came into effect in July 2019. The regulatory amendments mean that operators of rolling stock are required to hold an environment protection licence and are directly accountable for their environmental performance, including management of air emissions.</w:t>
      </w:r>
    </w:p>
    <w:p w14:paraId="607427C6" w14:textId="77777777" w:rsidR="00EB6564" w:rsidRDefault="00EB6564" w:rsidP="00EB6564">
      <w:pPr>
        <w:pStyle w:val="03HEADING3"/>
      </w:pPr>
      <w:r>
        <w:t>Vehicle and fuel emissions</w:t>
      </w:r>
    </w:p>
    <w:p w14:paraId="6326AF6B" w14:textId="77777777" w:rsidR="00EB6564" w:rsidRDefault="00EB6564" w:rsidP="00EB6564">
      <w:pPr>
        <w:pStyle w:val="04HEADING4"/>
      </w:pPr>
      <w:r>
        <w:t>Regulation of motorway tunnel ventilation stacks</w:t>
      </w:r>
    </w:p>
    <w:p w14:paraId="5E248991" w14:textId="77777777" w:rsidR="00EB6564" w:rsidRDefault="00EB6564" w:rsidP="00EB6564">
      <w:pPr>
        <w:pStyle w:val="05BODYTEXT"/>
      </w:pPr>
      <w:r>
        <w:t xml:space="preserve">In February 2018, the NSW government announced a proposal to strengthen the management of air quality associated with motorway tunnel emissions. Under the proposal, operation of all motorway tunnel ventilation stacks in NSW would require an environment protection licence issued by the EPA. The EPA consulted with industry and government agencies on the proposal during 2018-19. The </w:t>
      </w:r>
      <w:r>
        <w:rPr>
          <w:rStyle w:val="ITALIC"/>
        </w:rPr>
        <w:t>Protection of the Environment Operations Act 1977</w:t>
      </w:r>
      <w:r>
        <w:t xml:space="preserve"> was amended in July 2019 and operators of road tunnel ventilation stacks are now required to hold a licence for air emissions.</w:t>
      </w:r>
    </w:p>
    <w:p w14:paraId="3ABE5685" w14:textId="77777777" w:rsidR="00EB6564" w:rsidRDefault="00EB6564" w:rsidP="00EB6564">
      <w:pPr>
        <w:pStyle w:val="04HEADING4"/>
      </w:pPr>
    </w:p>
    <w:p w14:paraId="3309F3CD" w14:textId="77777777" w:rsidR="00EB6564" w:rsidRDefault="00EB6564" w:rsidP="00EB6564">
      <w:pPr>
        <w:pStyle w:val="04HEADING4"/>
      </w:pPr>
      <w:r>
        <w:t xml:space="preserve">Smoky vehicle program </w:t>
      </w:r>
    </w:p>
    <w:p w14:paraId="1FDABDE4" w14:textId="1AAA555D" w:rsidR="00EB6564" w:rsidRDefault="00EB6564" w:rsidP="00EB6564">
      <w:pPr>
        <w:pStyle w:val="05BODYTEXT"/>
      </w:pPr>
      <w:r>
        <w:t xml:space="preserve">The EPA operates a public </w:t>
      </w:r>
      <w:hyperlink r:id="rId33" w:history="1">
        <w:r w:rsidRPr="00216A61">
          <w:rPr>
            <w:rStyle w:val="Hyperlink"/>
            <w:color w:val="4472C4" w:themeColor="accent1"/>
            <w:u w:val="single"/>
          </w:rPr>
          <w:t>smoky vehicle reporting program</w:t>
        </w:r>
      </w:hyperlink>
      <w:r>
        <w:t xml:space="preserve"> that targets vehicles emitting excessive air impurities. In 2018-19, the EPA issued 835 advisory letters to vehicle owners reported by members of the community, advising the vehicle owners to have the vehicles inspected and repaired if necessary. </w:t>
      </w:r>
    </w:p>
    <w:p w14:paraId="25B39312" w14:textId="77777777" w:rsidR="00EB6564" w:rsidRDefault="00EB6564" w:rsidP="00EB6564">
      <w:pPr>
        <w:pStyle w:val="05BODYTEXT"/>
      </w:pPr>
      <w:r>
        <w:t>Additionally, 35 defective vehicle notices were issued in 2018-19. A Defective Vehicle Notice requires the vehicle owner to carry out any necessary repairs so that the vehicle no longer emits excessive smoke and to provide evidence to the EPA that those repairs were carried out. Failure to provide evidence that the vehicle is no longer emitting excessive smoke may result in the vehicle registration being suspended.</w:t>
      </w:r>
    </w:p>
    <w:p w14:paraId="751DD8B3" w14:textId="77777777" w:rsidR="00EB6564" w:rsidRDefault="00EB6564" w:rsidP="00EB6564">
      <w:pPr>
        <w:pStyle w:val="04HEADING4"/>
      </w:pPr>
      <w:r>
        <w:t>Vapour recovery at service stations</w:t>
      </w:r>
    </w:p>
    <w:p w14:paraId="150F4FF4" w14:textId="77777777" w:rsidR="00EB6564" w:rsidRDefault="00EB6564" w:rsidP="00EB6564">
      <w:pPr>
        <w:pStyle w:val="05BODYTEXT"/>
      </w:pPr>
      <w:r>
        <w:t xml:space="preserve">Vapour recovery stage 1 technology (VR1) captures displaced vapours from storage tanks when a tanker delivers fuel to a service station, while vapour recovery stage 2 technology (VR2) captures vapours displaced at the bowser when a motorist refuels. </w:t>
      </w:r>
    </w:p>
    <w:p w14:paraId="077B001D" w14:textId="77777777" w:rsidR="00EB6564" w:rsidRDefault="00EB6564" w:rsidP="00EB6564">
      <w:pPr>
        <w:pStyle w:val="05BODYTEXT"/>
      </w:pPr>
      <w:r>
        <w:t xml:space="preserve">The EPA’s Vapour Recovery Compliance Program was completed in 2017. Regulatory responsibility for vapour recovery at service stations across Sydney, Wollongong, Newcastle and the Central Coast metropolitan areas, as well as the Lower Hunter and Illawarra Regions, has now transitioned from the EPA to local councils. </w:t>
      </w:r>
      <w:proofErr w:type="gramStart"/>
      <w:r>
        <w:t>At</w:t>
      </w:r>
      <w:proofErr w:type="gramEnd"/>
      <w:r>
        <w:t xml:space="preserve"> 30 June 2019, 99% of petrol service stations required to have VR1 equipment installed and operating were compliant and 98% of petrol service stations required to install VR2 equipment were compliant.</w:t>
      </w:r>
    </w:p>
    <w:p w14:paraId="14BFFC0E" w14:textId="77777777" w:rsidR="00EB6564" w:rsidRDefault="00EB6564" w:rsidP="00EB6564">
      <w:pPr>
        <w:pStyle w:val="05BODYTEXT"/>
      </w:pPr>
      <w:r>
        <w:t xml:space="preserve">The implementation of vapour recovery is estimated to reduce emissions of volatile organic compounds (VOCs) by approximately 5,750 tonnes per year. </w:t>
      </w:r>
    </w:p>
    <w:p w14:paraId="24355C4F" w14:textId="77777777" w:rsidR="00EB6564" w:rsidRDefault="00EB6564" w:rsidP="00EB6564">
      <w:pPr>
        <w:pStyle w:val="04HEADING4"/>
      </w:pPr>
      <w:r>
        <w:t>Summer low-volatility petrol</w:t>
      </w:r>
    </w:p>
    <w:p w14:paraId="2E231785" w14:textId="77777777" w:rsidR="00EB6564" w:rsidRDefault="00EB6564" w:rsidP="00EB6564">
      <w:pPr>
        <w:pStyle w:val="05BODYTEXT"/>
      </w:pPr>
      <w:r>
        <w:t>To manage ozone formation in the Sydney region, regulatory requirements limit petrol volatility to 62 kilopascals (a measure of vapour pressure) over the summer period from 15 November to 15 March each year. Petrol importers and blenders must test and report to the EPA on batch volatility. The petrol volatility limits reduce VOC emissions in the Sydney region by an estimated 4,000 tonnes each summer.</w:t>
      </w:r>
    </w:p>
    <w:p w14:paraId="134A1479" w14:textId="77777777" w:rsidR="00EB6564" w:rsidRDefault="00EB6564" w:rsidP="00EB6564">
      <w:pPr>
        <w:pStyle w:val="04HEADING4"/>
      </w:pPr>
      <w:r>
        <w:t>National vehicle and fuel standards</w:t>
      </w:r>
    </w:p>
    <w:p w14:paraId="1C00208E" w14:textId="77777777" w:rsidR="00EB6564" w:rsidRDefault="00EB6564" w:rsidP="00EB6564">
      <w:pPr>
        <w:pStyle w:val="05BODYTEXT"/>
      </w:pPr>
      <w:r>
        <w:t xml:space="preserve">Fuel quality and vehicle emission standards for new road vehicles are managed by the Commonwealth Government. NSW previously made submissions to the Commonwealth supporting early introduction of tighter national vehicle emission and fuel standards in March 2017. These proposed standards would more closely harmonise with international best practice for national vehicle emissions and fuel quality </w:t>
      </w:r>
      <w:proofErr w:type="gramStart"/>
      <w:r>
        <w:t>standards, and</w:t>
      </w:r>
      <w:proofErr w:type="gramEnd"/>
      <w:r>
        <w:t xml:space="preserve"> will improve health outcomes.</w:t>
      </w:r>
    </w:p>
    <w:p w14:paraId="4BED9CB6" w14:textId="77777777" w:rsidR="00EB6564" w:rsidRDefault="00EB6564" w:rsidP="00EB6564">
      <w:pPr>
        <w:pStyle w:val="03HEADING3"/>
      </w:pPr>
      <w:r>
        <w:t>Wood smoke management</w:t>
      </w:r>
    </w:p>
    <w:p w14:paraId="75A1C3A3" w14:textId="33AED48A" w:rsidR="00EB6564" w:rsidRPr="00032D97" w:rsidRDefault="00EB6564" w:rsidP="00EB6564">
      <w:pPr>
        <w:pStyle w:val="05BODYTEXT"/>
      </w:pPr>
      <w:r w:rsidRPr="00032D97">
        <w:t xml:space="preserve">The EPA supports councils across NSW in managing wood smoke through periodic </w:t>
      </w:r>
      <w:hyperlink r:id="rId34" w:history="1">
        <w:r w:rsidRPr="00DD3101">
          <w:rPr>
            <w:rStyle w:val="Hyperlink"/>
            <w:color w:val="4472C4" w:themeColor="accent1"/>
            <w:u w:val="single"/>
          </w:rPr>
          <w:t>Wood Smoke Reduction Programs</w:t>
        </w:r>
      </w:hyperlink>
      <w:r w:rsidRPr="00032D97">
        <w:t xml:space="preserve"> and providing community education materials for use by councils. Previous social research undertaken for the EPA identified lack of awareness of wood smoke impacts on health as the key barrier to changing people’s wood heater use. </w:t>
      </w:r>
    </w:p>
    <w:p w14:paraId="59DB3608" w14:textId="7A9F848C" w:rsidR="00EB6564" w:rsidRPr="00032D97" w:rsidRDefault="00EB6564" w:rsidP="00EB6564">
      <w:pPr>
        <w:pStyle w:val="05BODYTEXT"/>
      </w:pPr>
      <w:r w:rsidRPr="00032D97">
        <w:t xml:space="preserve">Based on recommendations in the </w:t>
      </w:r>
      <w:hyperlink r:id="rId35" w:history="1">
        <w:r w:rsidRPr="00276A45">
          <w:rPr>
            <w:rStyle w:val="Hyperlink"/>
            <w:color w:val="4472C4" w:themeColor="accent1"/>
            <w:u w:val="single"/>
          </w:rPr>
          <w:t>2016 Upper Hunter Wood Smoke Community Research Project</w:t>
        </w:r>
      </w:hyperlink>
      <w:r w:rsidRPr="00032D97">
        <w:t xml:space="preserve">, the EPA developed a new package of </w:t>
      </w:r>
      <w:hyperlink r:id="rId36" w:history="1">
        <w:r w:rsidRPr="00276A45">
          <w:rPr>
            <w:rStyle w:val="Hyperlink"/>
            <w:color w:val="4472C4" w:themeColor="accent1"/>
            <w:u w:val="single"/>
          </w:rPr>
          <w:t>woodsmoke education materials</w:t>
        </w:r>
      </w:hyperlink>
      <w:r w:rsidRPr="00032D97">
        <w:t xml:space="preserve"> to raise awareness about wood smoke impacts on people’s health and the environment. During winter 2017 the EPA trialled the education package in two regional centres in the Upper Hunter – Singleton and Muswellbrook, before being rolled out to councils across NSW for the winter of 2018. The materials are now available in English and five community languages – Arabic, Cantonese, Hindi, Mandarin and Vietnamese.</w:t>
      </w:r>
    </w:p>
    <w:p w14:paraId="49B4A773" w14:textId="77777777" w:rsidR="00EB6564" w:rsidRPr="00032D97" w:rsidRDefault="00EB6564" w:rsidP="00EB6564">
      <w:pPr>
        <w:pStyle w:val="03HEADING3"/>
      </w:pPr>
      <w:r w:rsidRPr="00032D97">
        <w:t>Hunter region air quality management</w:t>
      </w:r>
    </w:p>
    <w:p w14:paraId="3288B8C0" w14:textId="2D0266B2" w:rsidR="00EB6564" w:rsidRPr="00032D97" w:rsidRDefault="00EB6564" w:rsidP="00EB6564">
      <w:pPr>
        <w:pStyle w:val="05BODYTEXT"/>
      </w:pPr>
      <w:r w:rsidRPr="00032D97">
        <w:t xml:space="preserve">Throughout spring and summer 2018, the EPA implemented Operation Dust Patrol to ensure that coal mines in the Upper Hunter minimised particle emissions.  Dust Patrol used a </w:t>
      </w:r>
      <w:hyperlink r:id="rId37" w:history="1">
        <w:r w:rsidRPr="00276A45">
          <w:rPr>
            <w:rStyle w:val="Hyperlink"/>
            <w:color w:val="4472C4" w:themeColor="accent1"/>
            <w:u w:val="single"/>
          </w:rPr>
          <w:t>Dust Risk Forecasting Model</w:t>
        </w:r>
      </w:hyperlink>
      <w:r w:rsidRPr="00032D97">
        <w:t xml:space="preserve"> to predict times of high dust risk, and the EPA increased surveillance of coal mines at these times. During the operation, the mines produced excessive dust on only one day. This was a significant improvement on earlier years when the mines produced excessive dust on up to 19 days over the same period.</w:t>
      </w:r>
    </w:p>
    <w:p w14:paraId="42246CA6" w14:textId="77777777" w:rsidR="00EB6564" w:rsidRDefault="00EB6564" w:rsidP="00EB6564">
      <w:pPr>
        <w:pStyle w:val="02HEADING2"/>
      </w:pPr>
      <w:r>
        <w:t>Part 2—Assessment of NEPM effectiveness</w:t>
      </w:r>
    </w:p>
    <w:p w14:paraId="0A69006A" w14:textId="77777777" w:rsidR="00EB6564" w:rsidRDefault="00EB6564" w:rsidP="00EB6564">
      <w:pPr>
        <w:pStyle w:val="05BODYTEXT"/>
      </w:pPr>
      <w:r>
        <w:t>Data in this section are presented for the 2018 calendar year.</w:t>
      </w:r>
    </w:p>
    <w:p w14:paraId="79418964" w14:textId="77777777" w:rsidR="00EB6564" w:rsidRDefault="00EB6564" w:rsidP="00EB6564">
      <w:pPr>
        <w:pStyle w:val="05BODYTEXT"/>
      </w:pPr>
      <w:r>
        <w:t xml:space="preserve">The NSW air quality monitoring program is the largest in Australia, with a comprehensive monitoring network operated by DPIE. As noted above, the NEPM network is a sub-set of the NSW air quality monitoring network operated by DPIE. </w:t>
      </w:r>
      <w:proofErr w:type="gramStart"/>
      <w:r>
        <w:t>At</w:t>
      </w:r>
      <w:proofErr w:type="gramEnd"/>
      <w:r>
        <w:t xml:space="preserve"> 31 December 2018, the NSW NEPM reporting network comprised 28 air quality monitoring stations, compared with 22 in 2017. The 28 stations comprised 15 in Sydney, one in the Central Coast, three in the Illawarra, three in the Lower Hunter and six in regional New South Wales. Data were reported for 24 of 28 monitoring stations which met the requirement for greater than 75% data availability for all criteria pollutants. Four stations recorded less than 75% data availability for pollutants over any three-month period.</w:t>
      </w:r>
    </w:p>
    <w:p w14:paraId="6240CBF2" w14:textId="77777777" w:rsidR="00EB6564" w:rsidRDefault="00EB6564" w:rsidP="00EB6564">
      <w:pPr>
        <w:pStyle w:val="05BODYTEXT"/>
      </w:pPr>
      <w:r>
        <w:t xml:space="preserve">During 2018, NEPM goals were met for levels of carbon monoxide, nitrogen dioxide and </w:t>
      </w:r>
      <w:proofErr w:type="spellStart"/>
      <w:r>
        <w:t>sulfur</w:t>
      </w:r>
      <w:proofErr w:type="spellEnd"/>
      <w:r>
        <w:t xml:space="preserve"> dioxide, which all remained well below NEPM standards.</w:t>
      </w:r>
    </w:p>
    <w:p w14:paraId="6ADCDE40" w14:textId="77777777" w:rsidR="00EB6564" w:rsidRDefault="00EB6564" w:rsidP="00EB6564">
      <w:pPr>
        <w:pStyle w:val="05BODYTEXT"/>
      </w:pPr>
      <w:r>
        <w:lastRenderedPageBreak/>
        <w:t>Monitoring for lead as a regional pollutant ceased in NSW from January 2005 due to the extremely low concentrations of lead now found in ambient air. The Sydney Particle Characterisation Study confirmed the low levels of lead in ambient air.</w:t>
      </w:r>
    </w:p>
    <w:p w14:paraId="36472733" w14:textId="77777777" w:rsidR="00EB6564" w:rsidRDefault="00EB6564" w:rsidP="00EB6564">
      <w:pPr>
        <w:pStyle w:val="05BODYTEXT"/>
      </w:pPr>
      <w:r>
        <w:t>During 2018, NEPM goals were not met for ozone and particles as PM</w:t>
      </w:r>
      <w:r>
        <w:rPr>
          <w:vertAlign w:val="subscript"/>
        </w:rPr>
        <w:t>10</w:t>
      </w:r>
      <w:r>
        <w:t xml:space="preserve"> (10 micrometres and smaller in diameter) and as PM</w:t>
      </w:r>
      <w:r>
        <w:rPr>
          <w:vertAlign w:val="subscript"/>
        </w:rPr>
        <w:t>2.5</w:t>
      </w:r>
      <w:r>
        <w:t xml:space="preserve"> (2.5 micrometres and smaller in diameter). Exceedances are summarised below.</w:t>
      </w:r>
    </w:p>
    <w:p w14:paraId="62B7A35F" w14:textId="77777777" w:rsidR="00EB6564" w:rsidRDefault="00EB6564" w:rsidP="00EB6564">
      <w:pPr>
        <w:pStyle w:val="03HEADING3"/>
      </w:pPr>
      <w:r>
        <w:t>Ozone</w:t>
      </w:r>
    </w:p>
    <w:p w14:paraId="3A03572B" w14:textId="77777777" w:rsidR="00EB6564" w:rsidRDefault="00EB6564" w:rsidP="00EB6564">
      <w:pPr>
        <w:pStyle w:val="05BODYTEXT"/>
      </w:pPr>
      <w:r>
        <w:t xml:space="preserve">During 2018, only Sydney and the Lower Hunter regions recorded ozone levels above the national standards. The Central Coast and Illawarra regions were not impacted. </w:t>
      </w:r>
    </w:p>
    <w:p w14:paraId="2D33D66D" w14:textId="77777777" w:rsidR="00EB6564" w:rsidRDefault="00EB6564" w:rsidP="00EB6564">
      <w:pPr>
        <w:pStyle w:val="05BODYTEXT"/>
      </w:pPr>
      <w:r>
        <w:t xml:space="preserve">Ozone forms most actively during the warm months, between November and March. Factors affecting the higher levels of ozone formation in the GMR include intense heatwaves and the daily build-up across the region of precursor emissions of oxides of nitrogen (NOX) and volatile organic compounds (VOC). Meeting the NEPM standards for ozone remains a challenge for Sydney in summer, due to increases in average temperatures, economic activity, motor vehicle </w:t>
      </w:r>
      <w:proofErr w:type="gramStart"/>
      <w:r>
        <w:t>use</w:t>
      </w:r>
      <w:proofErr w:type="gramEnd"/>
      <w:r>
        <w:t xml:space="preserve"> and urban expansion. </w:t>
      </w:r>
    </w:p>
    <w:p w14:paraId="38B5EA37" w14:textId="77777777" w:rsidR="00EB6564" w:rsidRDefault="00EB6564" w:rsidP="00EB6564">
      <w:pPr>
        <w:pStyle w:val="05BODYTEXT"/>
      </w:pPr>
      <w:r>
        <w:t>Twenty-three stations in the NEPM network monitored ozone in 2018, compared with 16 in 2017. Twenty-one stations met 75% data availability. Detailed compliance information is provided below.</w:t>
      </w:r>
    </w:p>
    <w:p w14:paraId="35E718EC" w14:textId="77777777" w:rsidR="00EB6564" w:rsidRDefault="00EB6564" w:rsidP="00EB6564">
      <w:pPr>
        <w:pStyle w:val="05bDOTPOINTS"/>
        <w:spacing w:after="57"/>
        <w:rPr>
          <w:rStyle w:val="ITALIC"/>
        </w:rPr>
      </w:pPr>
      <w:r>
        <w:t>•</w:t>
      </w:r>
      <w:r>
        <w:tab/>
      </w:r>
      <w:r>
        <w:rPr>
          <w:rStyle w:val="ITALIC"/>
        </w:rPr>
        <w:t>Ozone one-hour standard</w:t>
      </w:r>
    </w:p>
    <w:p w14:paraId="7DB3E082" w14:textId="77777777" w:rsidR="00EB6564" w:rsidRDefault="00EB6564" w:rsidP="00EB6564">
      <w:pPr>
        <w:pStyle w:val="05bDOTPOINTS"/>
        <w:spacing w:after="57"/>
      </w:pPr>
      <w:r>
        <w:tab/>
        <w:t>The NEPM one-hour standard was exceeded on five calendar days in 2018 (19, 22 January and 27, 28 and 31 December 2018).</w:t>
      </w:r>
    </w:p>
    <w:p w14:paraId="78B8E611" w14:textId="77777777" w:rsidR="00EB6564" w:rsidRDefault="00EB6564" w:rsidP="00EB6564">
      <w:pPr>
        <w:pStyle w:val="05bDOTPOINTS"/>
      </w:pPr>
      <w:r>
        <w:tab/>
        <w:t>Ten of 21 stations exceeded the one-hour standard: seven stations on one allowable exceedance day and three stations with two to three exceedance days.</w:t>
      </w:r>
    </w:p>
    <w:p w14:paraId="685F0A57" w14:textId="77777777" w:rsidR="00EB6564" w:rsidRDefault="00EB6564" w:rsidP="00EB6564">
      <w:pPr>
        <w:pStyle w:val="05bDOTPOINTS"/>
        <w:spacing w:after="57"/>
        <w:rPr>
          <w:rStyle w:val="ITALIC"/>
        </w:rPr>
      </w:pPr>
      <w:r>
        <w:t>•</w:t>
      </w:r>
      <w:r>
        <w:tab/>
      </w:r>
      <w:r>
        <w:rPr>
          <w:rStyle w:val="ITALIC"/>
        </w:rPr>
        <w:t>Ozone one-hour goal</w:t>
      </w:r>
    </w:p>
    <w:p w14:paraId="211CA8AA" w14:textId="77777777" w:rsidR="00EB6564" w:rsidRDefault="00EB6564" w:rsidP="00EB6564">
      <w:pPr>
        <w:pStyle w:val="05bDOTPOINTS"/>
        <w:spacing w:after="57"/>
      </w:pPr>
      <w:r>
        <w:tab/>
        <w:t>The NEPM goal for the one-hour ozone standard allows one exceedance day per year.</w:t>
      </w:r>
    </w:p>
    <w:p w14:paraId="637F3B4D" w14:textId="77777777" w:rsidR="00EB6564" w:rsidRDefault="00EB6564" w:rsidP="00EB6564">
      <w:pPr>
        <w:pStyle w:val="05bDOTPOINTS"/>
        <w:spacing w:after="57"/>
      </w:pPr>
      <w:r>
        <w:tab/>
        <w:t xml:space="preserve">Eighteen of 21 stations met the NEPM one-hour ozone goal: 11 stations with no exceedance days and seven stations with one allowable exceedance day. </w:t>
      </w:r>
    </w:p>
    <w:p w14:paraId="2312E5FF" w14:textId="77777777" w:rsidR="00EB6564" w:rsidRDefault="00EB6564" w:rsidP="00EB6564">
      <w:pPr>
        <w:pStyle w:val="05bDOTPOINTS"/>
      </w:pPr>
      <w:r>
        <w:tab/>
        <w:t>Three of 21 stations did not comply with the NEPM one-hour ozone goal. The three noncompliant stations, with two to three exceedance days, were in the Sydney region.</w:t>
      </w:r>
    </w:p>
    <w:p w14:paraId="270E2621" w14:textId="77777777" w:rsidR="00EB6564" w:rsidRDefault="00EB6564" w:rsidP="00EB6564">
      <w:pPr>
        <w:pStyle w:val="05bDOTPOINTS"/>
        <w:spacing w:after="57"/>
        <w:rPr>
          <w:rStyle w:val="ITALIC"/>
        </w:rPr>
      </w:pPr>
      <w:r>
        <w:t>•</w:t>
      </w:r>
      <w:r>
        <w:tab/>
      </w:r>
      <w:r>
        <w:rPr>
          <w:rStyle w:val="ITALIC"/>
        </w:rPr>
        <w:t>Ozone four-hour standard</w:t>
      </w:r>
    </w:p>
    <w:p w14:paraId="64D98632" w14:textId="77777777" w:rsidR="00EB6564" w:rsidRDefault="00EB6564" w:rsidP="00EB6564">
      <w:pPr>
        <w:pStyle w:val="05bDOTPOINTS"/>
        <w:spacing w:after="57"/>
      </w:pPr>
      <w:r>
        <w:tab/>
        <w:t>The NEPM four-hour standard was exceeded on seven calendar days in 2018 (12, 19, 22 January, 2 February and 27, 28 and 31 December 2018).</w:t>
      </w:r>
    </w:p>
    <w:p w14:paraId="07FE0D93" w14:textId="77777777" w:rsidR="00EB6564" w:rsidRDefault="00EB6564" w:rsidP="00EB6564">
      <w:pPr>
        <w:pStyle w:val="05bDOTPOINTS"/>
      </w:pPr>
      <w:r>
        <w:tab/>
        <w:t>Twelve of 21 stations exceeded the four-hour standard: two stations on one allowable exceedance day and ten stations with two to four exceedance days.</w:t>
      </w:r>
    </w:p>
    <w:p w14:paraId="385B78F9" w14:textId="77777777" w:rsidR="00EB6564" w:rsidRDefault="00EB6564" w:rsidP="00EB6564">
      <w:pPr>
        <w:pStyle w:val="05bDOTPOINTS"/>
        <w:spacing w:after="57"/>
        <w:rPr>
          <w:rStyle w:val="ITALIC"/>
        </w:rPr>
      </w:pPr>
      <w:r>
        <w:t>•</w:t>
      </w:r>
      <w:r>
        <w:tab/>
      </w:r>
      <w:r>
        <w:rPr>
          <w:rStyle w:val="ITALIC"/>
        </w:rPr>
        <w:t>Ozone four-hour goal</w:t>
      </w:r>
    </w:p>
    <w:p w14:paraId="283CC79E" w14:textId="77777777" w:rsidR="00EB6564" w:rsidRDefault="00EB6564" w:rsidP="00EB6564">
      <w:pPr>
        <w:pStyle w:val="05bDOTPOINTS"/>
        <w:spacing w:after="57"/>
      </w:pPr>
      <w:r>
        <w:tab/>
        <w:t>The NEPM goal for the four-hour ozone standard allows one exceedance day per year.</w:t>
      </w:r>
    </w:p>
    <w:p w14:paraId="3EC2C619" w14:textId="77777777" w:rsidR="00EB6564" w:rsidRDefault="00EB6564" w:rsidP="00EB6564">
      <w:pPr>
        <w:pStyle w:val="05bDOTPOINTS"/>
        <w:spacing w:after="57"/>
      </w:pPr>
      <w:r>
        <w:tab/>
        <w:t xml:space="preserve">Eleven of 21 stations met the NEPM four-hour ozone goal: nine stations with no exceedance days and two stations with one allowable exceedance day. </w:t>
      </w:r>
    </w:p>
    <w:p w14:paraId="513694C8" w14:textId="77777777" w:rsidR="00EB6564" w:rsidRDefault="00EB6564" w:rsidP="00EB6564">
      <w:pPr>
        <w:pStyle w:val="05bDOTPOINTS"/>
      </w:pPr>
      <w:r>
        <w:tab/>
        <w:t>Ten of 21 stations did not comply with the NEPM four-hour ozone goal. The ten non-compliant stations, with two to four exceedance days, were in the Sydney region.</w:t>
      </w:r>
    </w:p>
    <w:p w14:paraId="35F6A57B" w14:textId="77777777" w:rsidR="00EB6564" w:rsidRDefault="00EB6564" w:rsidP="00EB6564">
      <w:pPr>
        <w:pStyle w:val="03HEADING3"/>
      </w:pPr>
      <w:r>
        <w:t>Particles</w:t>
      </w:r>
    </w:p>
    <w:p w14:paraId="52373DF1" w14:textId="77777777" w:rsidR="00EB6564" w:rsidRDefault="00EB6564" w:rsidP="00EB6564">
      <w:pPr>
        <w:pStyle w:val="05BODYTEXT"/>
      </w:pPr>
      <w:r>
        <w:t>Major influences on elevated PM</w:t>
      </w:r>
      <w:r>
        <w:rPr>
          <w:vertAlign w:val="subscript"/>
        </w:rPr>
        <w:t>10</w:t>
      </w:r>
      <w:r>
        <w:t xml:space="preserve"> and PM</w:t>
      </w:r>
      <w:r>
        <w:rPr>
          <w:vertAlign w:val="subscript"/>
        </w:rPr>
        <w:t>2.5</w:t>
      </w:r>
      <w:r>
        <w:t xml:space="preserve"> levels in NSW were widespread dust storms, hazard reduction burning throughout the Sydney GMR in May and July and agricultural activities during March and May in the South-West Slopes-Riverina district.</w:t>
      </w:r>
    </w:p>
    <w:p w14:paraId="2C5033B9" w14:textId="77777777" w:rsidR="00EB6564" w:rsidRDefault="00EB6564" w:rsidP="00EB6564">
      <w:pPr>
        <w:pStyle w:val="05BODYTEXT"/>
      </w:pPr>
      <w:r>
        <w:t xml:space="preserve">In summary, particle levels increased across the State, due to dust from the widespread, intense drought and smoke from hazard reduction burning and bushfires. Local sources of air pollution, including agricultural activity, industrial activity and domestic wood heaters, affected air quality in some locations. </w:t>
      </w:r>
    </w:p>
    <w:p w14:paraId="1BDD0CA3" w14:textId="77777777" w:rsidR="00EB6564" w:rsidRDefault="00EB6564" w:rsidP="00EB6564">
      <w:pPr>
        <w:pStyle w:val="05BODYTEXT"/>
      </w:pPr>
      <w:r>
        <w:t xml:space="preserve">NSW programs targeting the primary emission sources of ozone and particle pollution are outlined in the previous section. </w:t>
      </w:r>
    </w:p>
    <w:p w14:paraId="0A3A872F" w14:textId="77777777" w:rsidR="00EB6564" w:rsidRDefault="00EB6564" w:rsidP="00EB6564">
      <w:pPr>
        <w:pStyle w:val="05BODYTEXT"/>
      </w:pPr>
      <w:r>
        <w:t>Detailed compliance information is provided below.</w:t>
      </w:r>
    </w:p>
    <w:p w14:paraId="0260D1DF" w14:textId="77777777" w:rsidR="00EB6564" w:rsidRDefault="00EB6564" w:rsidP="00EB6564">
      <w:pPr>
        <w:pStyle w:val="04HEADING4"/>
      </w:pPr>
      <w:r>
        <w:t>Particles as PM</w:t>
      </w:r>
      <w:r>
        <w:rPr>
          <w:vertAlign w:val="subscript"/>
        </w:rPr>
        <w:t>10</w:t>
      </w:r>
    </w:p>
    <w:p w14:paraId="5760098A" w14:textId="77777777" w:rsidR="00EB6564" w:rsidRDefault="00EB6564" w:rsidP="00EB6564">
      <w:pPr>
        <w:pStyle w:val="05BODYTEXT"/>
      </w:pPr>
      <w:r>
        <w:t>Twenty-eight stations in the NSW NEPM air quality monitoring network monitored PM</w:t>
      </w:r>
      <w:r>
        <w:rPr>
          <w:vertAlign w:val="subscript"/>
        </w:rPr>
        <w:t>10</w:t>
      </w:r>
      <w:r>
        <w:t xml:space="preserve"> levels in 2018, compared with 19 in 2017. Twenty-six stations met 75% data availability.</w:t>
      </w:r>
    </w:p>
    <w:p w14:paraId="1A5ACF73" w14:textId="77777777" w:rsidR="00EB6564" w:rsidRDefault="00EB6564" w:rsidP="00EB6564">
      <w:pPr>
        <w:pStyle w:val="05bDOTPOINTS"/>
        <w:spacing w:after="57"/>
        <w:rPr>
          <w:rStyle w:val="ITALIC"/>
        </w:rPr>
      </w:pPr>
      <w:r>
        <w:t>•</w:t>
      </w:r>
      <w:r>
        <w:tab/>
      </w:r>
      <w:r>
        <w:rPr>
          <w:rStyle w:val="ITALIC"/>
        </w:rPr>
        <w:t>PM</w:t>
      </w:r>
      <w:r>
        <w:rPr>
          <w:rStyle w:val="ITALIC"/>
          <w:vertAlign w:val="subscript"/>
        </w:rPr>
        <w:t>10</w:t>
      </w:r>
      <w:r>
        <w:rPr>
          <w:rStyle w:val="ITALIC"/>
        </w:rPr>
        <w:t xml:space="preserve"> 24-hour standard</w:t>
      </w:r>
    </w:p>
    <w:p w14:paraId="28D530DE" w14:textId="77777777" w:rsidR="00EB6564" w:rsidRDefault="00EB6564" w:rsidP="00EB6564">
      <w:pPr>
        <w:pStyle w:val="05bDOTPOINTS"/>
        <w:spacing w:after="57"/>
      </w:pPr>
      <w:r>
        <w:tab/>
        <w:t>The PM</w:t>
      </w:r>
      <w:r>
        <w:rPr>
          <w:vertAlign w:val="subscript"/>
        </w:rPr>
        <w:t>10</w:t>
      </w:r>
      <w:r>
        <w:t xml:space="preserve"> 24-hour standard was exceeded on 59 calendar days in 2018. </w:t>
      </w:r>
    </w:p>
    <w:p w14:paraId="15C07012" w14:textId="77777777" w:rsidR="00EB6564" w:rsidRDefault="00EB6564" w:rsidP="00EB6564">
      <w:pPr>
        <w:pStyle w:val="05bDOTPOINTS"/>
        <w:spacing w:after="57"/>
      </w:pPr>
      <w:r>
        <w:tab/>
        <w:t xml:space="preserve">Thirty-eight days were exceptional events, due to widespread dust storms (23 days), smoke from and hazard reduction burning (14 days) and bushfires (1 day). </w:t>
      </w:r>
    </w:p>
    <w:p w14:paraId="12981797" w14:textId="77777777" w:rsidR="00EB6564" w:rsidRDefault="00EB6564" w:rsidP="00EB6564">
      <w:pPr>
        <w:pStyle w:val="05bDOTPOINTS"/>
        <w:spacing w:after="57"/>
      </w:pPr>
      <w:r>
        <w:lastRenderedPageBreak/>
        <w:tab/>
        <w:t>Twenty-one days were non-exceptional events, due to particles from local sources. Sixteen days were most likely affected by agricultural activities in the NSW South-West Slopes-Riverina region.</w:t>
      </w:r>
    </w:p>
    <w:p w14:paraId="6FCDC668" w14:textId="77777777" w:rsidR="00EB6564" w:rsidRDefault="00EB6564" w:rsidP="00EB6564">
      <w:pPr>
        <w:pStyle w:val="05bDOTPOINTS"/>
      </w:pPr>
      <w:r>
        <w:tab/>
        <w:t>All 26 NEPM-compliant stations (for data availability) exceeded the PM</w:t>
      </w:r>
      <w:r>
        <w:rPr>
          <w:vertAlign w:val="subscript"/>
        </w:rPr>
        <w:t>10</w:t>
      </w:r>
      <w:r>
        <w:t xml:space="preserve"> 24-hour standard on days that were exceptional events. Three of 26 stations exceeded the PM</w:t>
      </w:r>
      <w:r>
        <w:rPr>
          <w:vertAlign w:val="subscript"/>
        </w:rPr>
        <w:t>10</w:t>
      </w:r>
      <w:r>
        <w:t xml:space="preserve"> 24-hour standard, due to particles from local sources: Wagga Wagga North and Albury in the Riverina region and Kembla Grange in the Illawarra region.</w:t>
      </w:r>
    </w:p>
    <w:p w14:paraId="444179B8" w14:textId="77777777" w:rsidR="00EB6564" w:rsidRDefault="00EB6564" w:rsidP="00EB6564">
      <w:pPr>
        <w:pStyle w:val="05bDOTPOINTS"/>
        <w:spacing w:after="57"/>
        <w:rPr>
          <w:rStyle w:val="ITALIC"/>
        </w:rPr>
      </w:pPr>
      <w:r>
        <w:t>•</w:t>
      </w:r>
      <w:r>
        <w:tab/>
        <w:t>P</w:t>
      </w:r>
      <w:r>
        <w:rPr>
          <w:rStyle w:val="ITALIC"/>
        </w:rPr>
        <w:t>M</w:t>
      </w:r>
      <w:r>
        <w:rPr>
          <w:rStyle w:val="ITALIC"/>
          <w:vertAlign w:val="subscript"/>
        </w:rPr>
        <w:t>10</w:t>
      </w:r>
      <w:r>
        <w:rPr>
          <w:rStyle w:val="ITALIC"/>
        </w:rPr>
        <w:t xml:space="preserve"> 24-hour goal</w:t>
      </w:r>
    </w:p>
    <w:p w14:paraId="1EE75E17" w14:textId="77777777" w:rsidR="00EB6564" w:rsidRDefault="00EB6564" w:rsidP="00EB6564">
      <w:pPr>
        <w:pStyle w:val="05bDOTPOINTS"/>
      </w:pPr>
      <w:r>
        <w:tab/>
        <w:t>Twenty-three of 26 stations met the 24-hour PM</w:t>
      </w:r>
      <w:r>
        <w:rPr>
          <w:vertAlign w:val="subscript"/>
        </w:rPr>
        <w:t>10</w:t>
      </w:r>
      <w:r>
        <w:t xml:space="preserve"> goal, with exceedance days only due to exceptional events. Three stations did not comply with the 24-hour PM</w:t>
      </w:r>
      <w:r>
        <w:rPr>
          <w:vertAlign w:val="subscript"/>
        </w:rPr>
        <w:t>10</w:t>
      </w:r>
      <w:r>
        <w:t xml:space="preserve"> goal, due to exceedance days related to local particle sources (non-exceptional events), as noted above.</w:t>
      </w:r>
    </w:p>
    <w:p w14:paraId="2D114E75" w14:textId="77777777" w:rsidR="00EB6564" w:rsidRDefault="00EB6564" w:rsidP="00EB6564">
      <w:pPr>
        <w:pStyle w:val="05bDOTPOINTS"/>
        <w:spacing w:after="57"/>
        <w:rPr>
          <w:rStyle w:val="ITALIC"/>
        </w:rPr>
      </w:pPr>
      <w:r>
        <w:t>•</w:t>
      </w:r>
      <w:r>
        <w:tab/>
      </w:r>
      <w:r>
        <w:rPr>
          <w:rStyle w:val="ITALIC"/>
        </w:rPr>
        <w:t>PM</w:t>
      </w:r>
      <w:r>
        <w:rPr>
          <w:rStyle w:val="ITALIC"/>
          <w:vertAlign w:val="subscript"/>
        </w:rPr>
        <w:t>10</w:t>
      </w:r>
      <w:r>
        <w:rPr>
          <w:rStyle w:val="ITALIC"/>
        </w:rPr>
        <w:t xml:space="preserve"> annual goal</w:t>
      </w:r>
    </w:p>
    <w:p w14:paraId="0BFB9787" w14:textId="77777777" w:rsidR="00EB6564" w:rsidRDefault="00EB6564" w:rsidP="00EB6564">
      <w:pPr>
        <w:pStyle w:val="05bDOTPOINTS"/>
      </w:pPr>
      <w:r>
        <w:tab/>
        <w:t>Twenty-five of 26 stations met the annual PM</w:t>
      </w:r>
      <w:r>
        <w:rPr>
          <w:vertAlign w:val="subscript"/>
        </w:rPr>
        <w:t>10</w:t>
      </w:r>
      <w:r>
        <w:t xml:space="preserve"> goal, recording annual average concentration below 25.0 µg/m</w:t>
      </w:r>
      <w:r>
        <w:rPr>
          <w:vertAlign w:val="superscript"/>
        </w:rPr>
        <w:t>3</w:t>
      </w:r>
      <w:r>
        <w:t>. Wagga Wagga North did not comply with the goal, recording an annual average of 27.4 µg/m</w:t>
      </w:r>
      <w:r>
        <w:rPr>
          <w:vertAlign w:val="superscript"/>
        </w:rPr>
        <w:t>3</w:t>
      </w:r>
      <w:r>
        <w:t>.</w:t>
      </w:r>
    </w:p>
    <w:p w14:paraId="4DF0D249" w14:textId="77777777" w:rsidR="00EB6564" w:rsidRDefault="00EB6564" w:rsidP="00EB6564">
      <w:pPr>
        <w:pStyle w:val="04HEADING4"/>
      </w:pPr>
      <w:r>
        <w:t>Particles as PM</w:t>
      </w:r>
      <w:r>
        <w:rPr>
          <w:vertAlign w:val="subscript"/>
        </w:rPr>
        <w:t>2.5</w:t>
      </w:r>
    </w:p>
    <w:p w14:paraId="2AC015DC" w14:textId="77777777" w:rsidR="00EB6564" w:rsidRDefault="00EB6564" w:rsidP="00EB6564">
      <w:pPr>
        <w:pStyle w:val="05BODYTEXT"/>
      </w:pPr>
      <w:r>
        <w:t>Twenty-eight stations in the NSW NEPM air quality monitoring network monitored PM</w:t>
      </w:r>
      <w:r>
        <w:rPr>
          <w:vertAlign w:val="subscript"/>
        </w:rPr>
        <w:t>2.5</w:t>
      </w:r>
      <w:r>
        <w:t xml:space="preserve"> levels in 2018, compared with 22 in 2017. Twenty-six stations met 75% data availability.</w:t>
      </w:r>
    </w:p>
    <w:p w14:paraId="26135C82" w14:textId="77777777" w:rsidR="00EB6564" w:rsidRDefault="00EB6564" w:rsidP="00EB6564">
      <w:pPr>
        <w:pStyle w:val="05bDOTPOINTS"/>
        <w:spacing w:after="57"/>
        <w:rPr>
          <w:rStyle w:val="ITALIC"/>
        </w:rPr>
      </w:pPr>
      <w:r>
        <w:t>•</w:t>
      </w:r>
      <w:r>
        <w:tab/>
      </w:r>
      <w:r>
        <w:rPr>
          <w:rStyle w:val="ITALIC"/>
        </w:rPr>
        <w:t>PM</w:t>
      </w:r>
      <w:r>
        <w:rPr>
          <w:rStyle w:val="ITALIC"/>
          <w:vertAlign w:val="subscript"/>
        </w:rPr>
        <w:t>2.5</w:t>
      </w:r>
      <w:r>
        <w:rPr>
          <w:rStyle w:val="ITALIC"/>
        </w:rPr>
        <w:t xml:space="preserve"> 24-hour standard</w:t>
      </w:r>
    </w:p>
    <w:p w14:paraId="4FD0BAEC" w14:textId="77777777" w:rsidR="00EB6564" w:rsidRDefault="00EB6564" w:rsidP="00EB6564">
      <w:pPr>
        <w:pStyle w:val="05bDOTPOINTS"/>
        <w:spacing w:after="57"/>
      </w:pPr>
      <w:r>
        <w:tab/>
        <w:t>The PM</w:t>
      </w:r>
      <w:r>
        <w:rPr>
          <w:vertAlign w:val="subscript"/>
        </w:rPr>
        <w:t>2.5</w:t>
      </w:r>
      <w:r>
        <w:t xml:space="preserve"> 24-hour standard was exceeded on 26 calendar days in 2018. </w:t>
      </w:r>
    </w:p>
    <w:p w14:paraId="159FC575" w14:textId="77777777" w:rsidR="00EB6564" w:rsidRDefault="00EB6564" w:rsidP="00EB6564">
      <w:pPr>
        <w:pStyle w:val="05bDOTPOINTS"/>
        <w:spacing w:after="57"/>
      </w:pPr>
      <w:r>
        <w:tab/>
        <w:t xml:space="preserve">Twenty-one days were exceptional events, due to smoke from hazard reduction burning (20 days) and one day due to a widespread dust storm. </w:t>
      </w:r>
    </w:p>
    <w:p w14:paraId="2D66C530" w14:textId="77777777" w:rsidR="00EB6564" w:rsidRDefault="00EB6564" w:rsidP="00EB6564">
      <w:pPr>
        <w:pStyle w:val="05bDOTPOINTS"/>
        <w:spacing w:after="57"/>
      </w:pPr>
      <w:r>
        <w:tab/>
        <w:t>Five days were non-exceptional events, due to particles from local sources. Three days were affected by wood smoke and one day by wood smoke and emissions from local industry. Two days were affected by agricultural activities (one of these dates, 24 April, was affected by hazard reduction burning near Sydney North-West and counted in the number of exceptional event days).</w:t>
      </w:r>
    </w:p>
    <w:p w14:paraId="5AA7984E" w14:textId="77777777" w:rsidR="00EB6564" w:rsidRDefault="00EB6564" w:rsidP="00EB6564">
      <w:pPr>
        <w:pStyle w:val="05bDOTPOINTS"/>
      </w:pPr>
      <w:r>
        <w:tab/>
        <w:t>Twenty-one of 27 NEPM-compliant stations (for data availability) recorded exceedances of the PM</w:t>
      </w:r>
      <w:r>
        <w:rPr>
          <w:vertAlign w:val="subscript"/>
        </w:rPr>
        <w:t>2.5</w:t>
      </w:r>
      <w:r>
        <w:t xml:space="preserve"> 24-hour standard.</w:t>
      </w:r>
    </w:p>
    <w:p w14:paraId="6A8AC851" w14:textId="77777777" w:rsidR="00EB6564" w:rsidRDefault="00EB6564" w:rsidP="00EB6564">
      <w:pPr>
        <w:pStyle w:val="05bDOTPOINTS"/>
        <w:rPr>
          <w:rStyle w:val="ITALIC"/>
        </w:rPr>
      </w:pPr>
      <w:r>
        <w:t>•</w:t>
      </w:r>
      <w:r>
        <w:tab/>
      </w:r>
      <w:r>
        <w:rPr>
          <w:rStyle w:val="ITALIC"/>
        </w:rPr>
        <w:t>PM</w:t>
      </w:r>
      <w:r>
        <w:rPr>
          <w:rStyle w:val="ITALIC"/>
          <w:vertAlign w:val="subscript"/>
        </w:rPr>
        <w:t>2.5</w:t>
      </w:r>
      <w:r>
        <w:rPr>
          <w:rStyle w:val="ITALIC"/>
        </w:rPr>
        <w:t xml:space="preserve"> 24-hour goal</w:t>
      </w:r>
    </w:p>
    <w:p w14:paraId="6933BF6A" w14:textId="77777777" w:rsidR="00EB6564" w:rsidRDefault="00EB6564" w:rsidP="00EB6564">
      <w:pPr>
        <w:pStyle w:val="05bDOTPOINTS"/>
        <w:spacing w:after="57"/>
      </w:pPr>
      <w:r>
        <w:tab/>
        <w:t>Twenty-four of 27 stations met the NEPM 24-hour PM</w:t>
      </w:r>
      <w:r>
        <w:rPr>
          <w:vertAlign w:val="subscript"/>
        </w:rPr>
        <w:t>2.5</w:t>
      </w:r>
      <w:r>
        <w:t xml:space="preserve"> goal: six stations with no exceedances and 18 stations with exceedance days only due to exceptional events (hazard reduction burning on one to eight days). </w:t>
      </w:r>
    </w:p>
    <w:p w14:paraId="0143263F" w14:textId="77777777" w:rsidR="00EB6564" w:rsidRDefault="00EB6564" w:rsidP="00EB6564">
      <w:pPr>
        <w:pStyle w:val="05bDOTPOINTS"/>
      </w:pPr>
      <w:r>
        <w:tab/>
        <w:t>Three stations did not meet the goal, due to exceedance days affected by woodsmoke (four days at Gunnedah in the NSW North-west Slopes), agricultural activities (two days at Albury in the NSW South-West Slopes), and local industry emissions (one day at Chullora in Sydney East).</w:t>
      </w:r>
    </w:p>
    <w:p w14:paraId="081EDF1C" w14:textId="77777777" w:rsidR="00EB6564" w:rsidRDefault="00EB6564" w:rsidP="00EB6564">
      <w:pPr>
        <w:pStyle w:val="05bDOTPOINTS"/>
        <w:spacing w:after="57"/>
        <w:rPr>
          <w:rStyle w:val="ITALIC"/>
        </w:rPr>
      </w:pPr>
      <w:r>
        <w:t>•</w:t>
      </w:r>
      <w:r>
        <w:tab/>
      </w:r>
      <w:r>
        <w:rPr>
          <w:rStyle w:val="ITALIC"/>
        </w:rPr>
        <w:t>PM</w:t>
      </w:r>
      <w:r>
        <w:rPr>
          <w:rStyle w:val="ITALIC"/>
          <w:vertAlign w:val="subscript"/>
        </w:rPr>
        <w:t>2.5</w:t>
      </w:r>
      <w:r>
        <w:rPr>
          <w:rStyle w:val="ITALIC"/>
        </w:rPr>
        <w:t xml:space="preserve"> annual goal </w:t>
      </w:r>
    </w:p>
    <w:p w14:paraId="2361ECB2" w14:textId="77777777" w:rsidR="00EB6564" w:rsidRDefault="00EB6564" w:rsidP="00EB6564">
      <w:pPr>
        <w:pStyle w:val="05bDOTPOINTS"/>
      </w:pPr>
      <w:r>
        <w:tab/>
        <w:t>Seventeen of 27 stations met the annual PM</w:t>
      </w:r>
      <w:r>
        <w:rPr>
          <w:vertAlign w:val="subscript"/>
        </w:rPr>
        <w:t>2.5</w:t>
      </w:r>
      <w:r>
        <w:t xml:space="preserve"> goal, recording annual average concentrations below 8.049 µg/m</w:t>
      </w:r>
      <w:r>
        <w:rPr>
          <w:vertAlign w:val="superscript"/>
        </w:rPr>
        <w:t>3</w:t>
      </w:r>
      <w:r>
        <w:t>. Ten stations did not comply with the goal, recording annual averages ranging from 8.1-10.1 µg/m</w:t>
      </w:r>
      <w:r>
        <w:rPr>
          <w:vertAlign w:val="superscript"/>
        </w:rPr>
        <w:t>3</w:t>
      </w:r>
      <w:r>
        <w:t xml:space="preserve"> in Sydney, 8.7 µg/m</w:t>
      </w:r>
      <w:r>
        <w:rPr>
          <w:vertAlign w:val="superscript"/>
        </w:rPr>
        <w:t>3</w:t>
      </w:r>
      <w:r>
        <w:t xml:space="preserve"> in the Lower Hunter region and 8.3-9.0 µg/m</w:t>
      </w:r>
      <w:r>
        <w:rPr>
          <w:vertAlign w:val="superscript"/>
        </w:rPr>
        <w:t>3</w:t>
      </w:r>
      <w:r>
        <w:t xml:space="preserve"> in other regional areas.</w:t>
      </w:r>
    </w:p>
    <w:p w14:paraId="7EC23E7E" w14:textId="77777777" w:rsidR="00EB6564" w:rsidRDefault="00EB6564" w:rsidP="00EB6564">
      <w:pPr>
        <w:pStyle w:val="03HEADING3"/>
      </w:pPr>
      <w:r>
        <w:t>Monitoring data</w:t>
      </w:r>
    </w:p>
    <w:p w14:paraId="7CE45773" w14:textId="77777777" w:rsidR="00EB6564" w:rsidRDefault="00EB6564" w:rsidP="00EB6564">
      <w:pPr>
        <w:pStyle w:val="05BODYTEXT"/>
      </w:pPr>
      <w:r>
        <w:t xml:space="preserve">Data from NEPM monitoring stations are presented below, showing compliance with the NEPM standards and goals set by Schedule 2 of the NEPM. </w:t>
      </w:r>
    </w:p>
    <w:p w14:paraId="5EFBE01F" w14:textId="77777777" w:rsidR="00EB6564" w:rsidRDefault="00EB6564" w:rsidP="00EB6564">
      <w:pPr>
        <w:pStyle w:val="05BODYTEXT"/>
      </w:pPr>
      <w:r>
        <w:t>An air quality monitoring station complies with NEPM goals for specific criteria pollutants, for averaging times shorter than one year, if:</w:t>
      </w:r>
    </w:p>
    <w:p w14:paraId="7FD1DD26" w14:textId="77777777" w:rsidR="00EB6564" w:rsidRDefault="00EB6564" w:rsidP="00EB6564">
      <w:pPr>
        <w:pStyle w:val="05bDOTPOINTS"/>
      </w:pPr>
      <w:r>
        <w:t>•</w:t>
      </w:r>
      <w:r>
        <w:tab/>
        <w:t>at least 75% of data are captured in each quarter of the year, and</w:t>
      </w:r>
    </w:p>
    <w:p w14:paraId="311DFD7B" w14:textId="77777777" w:rsidR="00EB6564" w:rsidRDefault="00EB6564" w:rsidP="00EB6564">
      <w:pPr>
        <w:pStyle w:val="05bDOTPOINTS"/>
      </w:pPr>
      <w:r>
        <w:t>•</w:t>
      </w:r>
      <w:r>
        <w:tab/>
        <w:t>the NEPM standards for gases are exceeded on only one day per calendar year, or</w:t>
      </w:r>
    </w:p>
    <w:p w14:paraId="66922921" w14:textId="77777777" w:rsidR="00EB6564" w:rsidRDefault="00EB6564" w:rsidP="00EB6564">
      <w:pPr>
        <w:pStyle w:val="05bDOTPOINTS"/>
      </w:pPr>
      <w:r>
        <w:t>•</w:t>
      </w:r>
      <w:r>
        <w:tab/>
        <w:t>the NEPM standards for particles as PM</w:t>
      </w:r>
      <w:r>
        <w:rPr>
          <w:vertAlign w:val="subscript"/>
        </w:rPr>
        <w:t>10</w:t>
      </w:r>
      <w:r>
        <w:t xml:space="preserve"> and PM</w:t>
      </w:r>
      <w:r>
        <w:rPr>
          <w:vertAlign w:val="subscript"/>
        </w:rPr>
        <w:t>2.5</w:t>
      </w:r>
      <w:r>
        <w:t xml:space="preserve"> are exceeded only on days classified as exceptional events, where elevated levels relate directly to continental windblown dust, authorised hazard reduction burning or bushfires.</w:t>
      </w:r>
    </w:p>
    <w:p w14:paraId="1040C1D7" w14:textId="433B5D62" w:rsidR="00EB6564" w:rsidRDefault="00EB6564" w:rsidP="00EB6564">
      <w:pPr>
        <w:pStyle w:val="05BODYTEXT"/>
      </w:pPr>
      <w:r>
        <w:t xml:space="preserve">Hourly updated data from the total NSW air quality monitoring network are reported at </w:t>
      </w:r>
      <w:hyperlink r:id="rId38" w:history="1">
        <w:r w:rsidRPr="00276A45">
          <w:rPr>
            <w:rStyle w:val="Hyperlink"/>
            <w:color w:val="4472C4" w:themeColor="accent1"/>
            <w:u w:val="single"/>
          </w:rPr>
          <w:t>http://www.environment.nsw.gov.au/AQMS/aqi.htm</w:t>
        </w:r>
      </w:hyperlink>
      <w:r>
        <w:t xml:space="preserve">. </w:t>
      </w:r>
    </w:p>
    <w:p w14:paraId="1F590955" w14:textId="6E17EF6E" w:rsidR="00EB6564" w:rsidRDefault="00EB6564" w:rsidP="00EB6564">
      <w:pPr>
        <w:pStyle w:val="05BODYTEXT"/>
      </w:pPr>
      <w:r>
        <w:t xml:space="preserve">Current and historical data is searchable and downloadable from </w:t>
      </w:r>
      <w:hyperlink r:id="rId39" w:history="1">
        <w:r w:rsidRPr="00276A45">
          <w:rPr>
            <w:rStyle w:val="Hyperlink"/>
            <w:color w:val="4472C4" w:themeColor="accent1"/>
            <w:u w:val="single"/>
          </w:rPr>
          <w:t>http://www.environment.nsw.gov.au/AQMS/search.htm</w:t>
        </w:r>
      </w:hyperlink>
      <w:r>
        <w:t>.</w:t>
      </w:r>
    </w:p>
    <w:p w14:paraId="35C7CC82" w14:textId="37C3E17B" w:rsidR="00EB6564" w:rsidRDefault="00EB6564" w:rsidP="00EB6564">
      <w:pPr>
        <w:pStyle w:val="05BODYTEXT"/>
      </w:pPr>
      <w:r>
        <w:t xml:space="preserve">Information about the NSW Air Quality Monitoring Plan is located at </w:t>
      </w:r>
      <w:hyperlink r:id="rId40" w:history="1">
        <w:r w:rsidRPr="00276A45">
          <w:rPr>
            <w:rStyle w:val="Hyperlink"/>
            <w:color w:val="4472C4" w:themeColor="accent1"/>
            <w:u w:val="single"/>
          </w:rPr>
          <w:t>https://www.environment.nsw.gov.au/topics/air/monitoring-air-quality/review/nsw-air-quality-monitoring-plan</w:t>
        </w:r>
      </w:hyperlink>
      <w:r>
        <w:t>.</w:t>
      </w:r>
    </w:p>
    <w:tbl>
      <w:tblPr>
        <w:tblW w:w="0" w:type="auto"/>
        <w:tblInd w:w="-8" w:type="dxa"/>
        <w:tblLayout w:type="fixed"/>
        <w:tblCellMar>
          <w:left w:w="0" w:type="dxa"/>
          <w:right w:w="0" w:type="dxa"/>
        </w:tblCellMar>
        <w:tblLook w:val="0000" w:firstRow="0" w:lastRow="0" w:firstColumn="0" w:lastColumn="0" w:noHBand="0" w:noVBand="0"/>
      </w:tblPr>
      <w:tblGrid>
        <w:gridCol w:w="1696"/>
        <w:gridCol w:w="5711"/>
      </w:tblGrid>
      <w:tr w:rsidR="00EB6564" w14:paraId="12B67058" w14:textId="77777777" w:rsidTr="00134EA2">
        <w:trPr>
          <w:trHeight w:val="60"/>
          <w:tblHeader/>
        </w:trPr>
        <w:tc>
          <w:tcPr>
            <w:tcW w:w="1696" w:type="dxa"/>
            <w:vMerge w:val="restart"/>
            <w:tcMar>
              <w:top w:w="85" w:type="dxa"/>
              <w:left w:w="85" w:type="dxa"/>
              <w:bottom w:w="85" w:type="dxa"/>
              <w:right w:w="85" w:type="dxa"/>
            </w:tcMar>
          </w:tcPr>
          <w:p w14:paraId="21E0AD09" w14:textId="77777777" w:rsidR="00EB6564" w:rsidRDefault="00EB6564" w:rsidP="00134EA2">
            <w:pPr>
              <w:pStyle w:val="CHEMICALCHEMTABLES"/>
              <w:keepNext/>
              <w:spacing w:before="0" w:after="0" w:line="240" w:lineRule="auto"/>
            </w:pPr>
            <w:r>
              <w:lastRenderedPageBreak/>
              <w:t>CO</w:t>
            </w:r>
          </w:p>
        </w:tc>
        <w:tc>
          <w:tcPr>
            <w:tcW w:w="5711" w:type="dxa"/>
            <w:tcMar>
              <w:top w:w="85" w:type="dxa"/>
              <w:left w:w="85" w:type="dxa"/>
              <w:bottom w:w="85" w:type="dxa"/>
              <w:right w:w="85" w:type="dxa"/>
            </w:tcMar>
          </w:tcPr>
          <w:p w14:paraId="435AF003" w14:textId="77777777" w:rsidR="00EB6564" w:rsidRDefault="00EB6564" w:rsidP="00134EA2">
            <w:pPr>
              <w:pStyle w:val="CHEMICALfullnameCHEMTABLES"/>
              <w:keepNext/>
              <w:spacing w:before="0" w:after="0" w:line="240" w:lineRule="auto"/>
            </w:pPr>
            <w:r>
              <w:t>Carbon monoxide</w:t>
            </w:r>
          </w:p>
        </w:tc>
      </w:tr>
      <w:tr w:rsidR="00EB6564" w14:paraId="3B6CFA42" w14:textId="77777777" w:rsidTr="00134EA2">
        <w:trPr>
          <w:trHeight w:val="60"/>
          <w:tblHeader/>
        </w:trPr>
        <w:tc>
          <w:tcPr>
            <w:tcW w:w="1696" w:type="dxa"/>
            <w:vMerge/>
          </w:tcPr>
          <w:p w14:paraId="7C009DDB" w14:textId="77777777" w:rsidR="00EB6564" w:rsidRDefault="00EB6564" w:rsidP="00134EA2">
            <w:pPr>
              <w:pStyle w:val="NoParagraphStyle"/>
              <w:keepNext/>
              <w:spacing w:line="240" w:lineRule="auto"/>
              <w:textAlignment w:val="auto"/>
              <w:rPr>
                <w:rFonts w:ascii="Calibri" w:hAnsi="Calibri" w:cs="Calibri"/>
                <w:color w:val="auto"/>
              </w:rPr>
            </w:pPr>
          </w:p>
        </w:tc>
        <w:tc>
          <w:tcPr>
            <w:tcW w:w="5711" w:type="dxa"/>
            <w:tcMar>
              <w:top w:w="85" w:type="dxa"/>
              <w:left w:w="85" w:type="dxa"/>
              <w:bottom w:w="85" w:type="dxa"/>
              <w:right w:w="85" w:type="dxa"/>
            </w:tcMar>
          </w:tcPr>
          <w:p w14:paraId="3EB4DC1C" w14:textId="77777777" w:rsidR="00EB6564" w:rsidRDefault="00EB6564" w:rsidP="00134EA2">
            <w:pPr>
              <w:pStyle w:val="NEPMstandardCHEMTABLES"/>
              <w:keepNext/>
              <w:spacing w:before="0" w:after="0" w:line="240" w:lineRule="auto"/>
            </w:pPr>
            <w:r>
              <w:t>(NEPM standard 8 hours = 9.0ppm)</w:t>
            </w:r>
          </w:p>
        </w:tc>
      </w:tr>
      <w:tr w:rsidR="00EB6564" w14:paraId="127AD1BF" w14:textId="77777777" w:rsidTr="00134EA2">
        <w:trPr>
          <w:trHeight w:hRule="exact" w:val="113"/>
        </w:trPr>
        <w:tc>
          <w:tcPr>
            <w:tcW w:w="1696" w:type="dxa"/>
            <w:tcMar>
              <w:top w:w="85" w:type="dxa"/>
              <w:left w:w="85" w:type="dxa"/>
              <w:bottom w:w="85" w:type="dxa"/>
              <w:right w:w="85" w:type="dxa"/>
            </w:tcMar>
          </w:tcPr>
          <w:p w14:paraId="5EC998E1" w14:textId="77777777" w:rsidR="00EB6564" w:rsidRDefault="00EB6564" w:rsidP="00134EA2">
            <w:pPr>
              <w:pStyle w:val="NoParagraphStyle"/>
              <w:keepNext/>
              <w:spacing w:line="240" w:lineRule="auto"/>
              <w:textAlignment w:val="auto"/>
              <w:rPr>
                <w:rFonts w:ascii="Calibri" w:hAnsi="Calibri" w:cs="Calibri"/>
                <w:color w:val="auto"/>
              </w:rPr>
            </w:pPr>
          </w:p>
        </w:tc>
        <w:tc>
          <w:tcPr>
            <w:tcW w:w="5711" w:type="dxa"/>
            <w:tcMar>
              <w:top w:w="85" w:type="dxa"/>
              <w:left w:w="85" w:type="dxa"/>
              <w:bottom w:w="85" w:type="dxa"/>
              <w:right w:w="85" w:type="dxa"/>
            </w:tcMar>
          </w:tcPr>
          <w:p w14:paraId="76FAE6F2" w14:textId="77777777" w:rsidR="00EB6564" w:rsidRDefault="00EB6564" w:rsidP="00134EA2">
            <w:pPr>
              <w:pStyle w:val="NoParagraphStyle"/>
              <w:keepNext/>
              <w:spacing w:line="240" w:lineRule="auto"/>
              <w:textAlignment w:val="auto"/>
              <w:rPr>
                <w:rFonts w:ascii="Calibri" w:hAnsi="Calibri" w:cs="Calibri"/>
                <w:color w:val="auto"/>
              </w:rPr>
            </w:pPr>
          </w:p>
        </w:tc>
      </w:tr>
    </w:tbl>
    <w:p w14:paraId="0CCD3B5F" w14:textId="77777777" w:rsidR="00EB6564" w:rsidRDefault="00EB6564" w:rsidP="00397A8C">
      <w:pPr>
        <w:pStyle w:val="05BODYTEXT"/>
        <w:keepN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2472"/>
        <w:gridCol w:w="2473"/>
        <w:gridCol w:w="2472"/>
      </w:tblGrid>
      <w:tr w:rsidR="00EB6564" w14:paraId="3D04E2FC" w14:textId="77777777" w:rsidTr="00032D97">
        <w:trPr>
          <w:trHeight w:val="60"/>
          <w:tblHeader/>
        </w:trPr>
        <w:tc>
          <w:tcPr>
            <w:tcW w:w="2472"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86B5AB8" w14:textId="77777777" w:rsidR="00EB6564" w:rsidRDefault="00EB6564" w:rsidP="00397A8C">
            <w:pPr>
              <w:pStyle w:val="06bTABLEHEADERROW"/>
              <w:spacing w:line="240" w:lineRule="auto"/>
            </w:pPr>
            <w:r>
              <w:t>Station</w:t>
            </w:r>
          </w:p>
        </w:tc>
        <w:tc>
          <w:tcPr>
            <w:tcW w:w="247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98408F5" w14:textId="77777777" w:rsidR="00EB6564" w:rsidRDefault="00EB6564" w:rsidP="00397A8C">
            <w:pPr>
              <w:pStyle w:val="06bTABLEHEADERROW"/>
              <w:spacing w:line="240" w:lineRule="auto"/>
              <w:jc w:val="center"/>
            </w:pPr>
            <w:r>
              <w:t>Number of exceedances</w:t>
            </w:r>
          </w:p>
        </w:tc>
        <w:tc>
          <w:tcPr>
            <w:tcW w:w="2472"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95856C1" w14:textId="77777777" w:rsidR="00EB6564" w:rsidRDefault="00EB6564" w:rsidP="00397A8C">
            <w:pPr>
              <w:pStyle w:val="06bTABLEHEADERROW"/>
              <w:spacing w:line="240" w:lineRule="auto"/>
              <w:jc w:val="center"/>
            </w:pPr>
            <w:r>
              <w:t>NEPM goal compliance</w:t>
            </w:r>
          </w:p>
        </w:tc>
      </w:tr>
      <w:tr w:rsidR="00EB6564" w14:paraId="20B5CB90" w14:textId="77777777" w:rsidTr="00032D9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7F84B236" w14:textId="77777777" w:rsidR="00EB6564" w:rsidRDefault="00EB6564" w:rsidP="00397A8C">
            <w:pPr>
              <w:pStyle w:val="06cTABLETEXT"/>
              <w:keepNext/>
              <w:spacing w:line="240" w:lineRule="auto"/>
            </w:pPr>
            <w:r>
              <w:rPr>
                <w:rStyle w:val="BOLD"/>
              </w:rPr>
              <w:t>Sydney</w:t>
            </w:r>
          </w:p>
        </w:tc>
      </w:tr>
      <w:tr w:rsidR="00EB6564" w14:paraId="29ECB751" w14:textId="77777777" w:rsidTr="00032D97">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94F1638" w14:textId="77777777" w:rsidR="00EB6564" w:rsidRDefault="00EB6564" w:rsidP="00397A8C">
            <w:pPr>
              <w:pStyle w:val="06cTABLETEXT"/>
              <w:keepNext/>
              <w:spacing w:line="240" w:lineRule="auto"/>
            </w:pPr>
            <w:r>
              <w:t>Camden</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A146A69" w14:textId="77777777" w:rsidR="00EB6564" w:rsidRDefault="00EB6564" w:rsidP="00397A8C">
            <w:pPr>
              <w:pStyle w:val="06cTABLETEXT"/>
              <w:keepNext/>
              <w:spacing w:line="240" w:lineRule="auto"/>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C4338F4" w14:textId="77777777" w:rsidR="00EB6564" w:rsidRDefault="00EB6564" w:rsidP="00397A8C">
            <w:pPr>
              <w:pStyle w:val="06cTABLETEXT"/>
              <w:keepNext/>
              <w:spacing w:line="240" w:lineRule="auto"/>
              <w:jc w:val="center"/>
            </w:pPr>
            <w:r>
              <w:t>Met</w:t>
            </w:r>
          </w:p>
        </w:tc>
      </w:tr>
      <w:tr w:rsidR="00EB6564" w14:paraId="56213822" w14:textId="77777777" w:rsidTr="00032D97">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9416D9F" w14:textId="77777777" w:rsidR="00EB6564" w:rsidRDefault="00EB6564">
            <w:pPr>
              <w:pStyle w:val="06cTABLETEXT"/>
            </w:pPr>
            <w:r>
              <w:t>Campbelltown West</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E176CBD" w14:textId="77777777" w:rsidR="00EB6564" w:rsidRDefault="00EB6564">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3B371CA" w14:textId="77777777" w:rsidR="00EB6564" w:rsidRDefault="00EB6564">
            <w:pPr>
              <w:pStyle w:val="06cTABLETEXT"/>
              <w:jc w:val="center"/>
            </w:pPr>
            <w:r>
              <w:t>Met</w:t>
            </w:r>
          </w:p>
        </w:tc>
      </w:tr>
      <w:tr w:rsidR="00EB6564" w14:paraId="63BA1BE7" w14:textId="77777777" w:rsidTr="00032D97">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37363D1" w14:textId="77777777" w:rsidR="00EB6564" w:rsidRDefault="00EB6564">
            <w:pPr>
              <w:pStyle w:val="06cTABLETEXT"/>
            </w:pPr>
            <w:r>
              <w:t>Chullora</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CC91F3F" w14:textId="77777777" w:rsidR="00EB6564" w:rsidRDefault="00EB6564">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AC070F5" w14:textId="77777777" w:rsidR="00EB6564" w:rsidRDefault="00EB6564">
            <w:pPr>
              <w:pStyle w:val="06cTABLETEXT"/>
              <w:jc w:val="center"/>
            </w:pPr>
            <w:r>
              <w:t>Met</w:t>
            </w:r>
          </w:p>
        </w:tc>
      </w:tr>
      <w:tr w:rsidR="00EB6564" w14:paraId="7EBB6620" w14:textId="77777777" w:rsidTr="00032D97">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5CD4FE5" w14:textId="77777777" w:rsidR="00EB6564" w:rsidRDefault="00EB6564">
            <w:pPr>
              <w:pStyle w:val="06cTABLETEXT"/>
            </w:pPr>
            <w:r>
              <w:t>Liverpool</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7F025E" w14:textId="77777777" w:rsidR="00EB6564" w:rsidRDefault="00EB6564">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8ACBDC" w14:textId="77777777" w:rsidR="00EB6564" w:rsidRDefault="00EB6564">
            <w:pPr>
              <w:pStyle w:val="06cTABLETEXT"/>
              <w:jc w:val="center"/>
            </w:pPr>
            <w:r>
              <w:t>Met</w:t>
            </w:r>
          </w:p>
        </w:tc>
      </w:tr>
      <w:tr w:rsidR="00EB6564" w14:paraId="035E8BB4" w14:textId="77777777" w:rsidTr="00032D97">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649C418" w14:textId="77777777" w:rsidR="00EB6564" w:rsidRDefault="00EB6564">
            <w:pPr>
              <w:pStyle w:val="06cTABLETEXT"/>
            </w:pPr>
            <w:r>
              <w:t>Macquarie Park</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6F4D145" w14:textId="77777777" w:rsidR="00EB6564" w:rsidRDefault="00EB6564">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90D03FA" w14:textId="77777777" w:rsidR="00EB6564" w:rsidRDefault="00EB6564">
            <w:pPr>
              <w:pStyle w:val="06cTABLETEXT"/>
              <w:jc w:val="center"/>
            </w:pPr>
            <w:r>
              <w:t>Met</w:t>
            </w:r>
          </w:p>
        </w:tc>
      </w:tr>
      <w:tr w:rsidR="00EB6564" w14:paraId="71F09728" w14:textId="77777777" w:rsidTr="00032D97">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D2231DC" w14:textId="77777777" w:rsidR="00EB6564" w:rsidRDefault="00EB6564">
            <w:pPr>
              <w:pStyle w:val="06cTABLETEXT"/>
            </w:pPr>
            <w:r>
              <w:t>Parramatta North</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DFAAFA" w14:textId="77777777" w:rsidR="00EB6564" w:rsidRDefault="00EB6564">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6AEFB6F" w14:textId="77777777" w:rsidR="00EB6564" w:rsidRDefault="00EB6564">
            <w:pPr>
              <w:pStyle w:val="06cTABLETEXT"/>
              <w:jc w:val="center"/>
            </w:pPr>
            <w:r>
              <w:t>Met</w:t>
            </w:r>
          </w:p>
        </w:tc>
      </w:tr>
      <w:tr w:rsidR="00EB6564" w14:paraId="6973BC81" w14:textId="77777777" w:rsidTr="00032D97">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5E3BE76" w14:textId="77777777" w:rsidR="00EB6564" w:rsidRDefault="00EB6564">
            <w:pPr>
              <w:pStyle w:val="06cTABLETEXT"/>
            </w:pPr>
            <w:r>
              <w:t>Prospect</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D0E821D" w14:textId="77777777" w:rsidR="00EB6564" w:rsidRDefault="00EB6564">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0A29D27" w14:textId="77777777" w:rsidR="00EB6564" w:rsidRDefault="00EB6564">
            <w:pPr>
              <w:pStyle w:val="06cTABLETEXT"/>
              <w:jc w:val="center"/>
            </w:pPr>
            <w:r>
              <w:t>Met</w:t>
            </w:r>
          </w:p>
        </w:tc>
      </w:tr>
      <w:tr w:rsidR="00EB6564" w14:paraId="5DDE9CB6" w14:textId="77777777" w:rsidTr="00032D97">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8138AD1" w14:textId="77777777" w:rsidR="00EB6564" w:rsidRDefault="00EB6564">
            <w:pPr>
              <w:pStyle w:val="06cTABLETEXT"/>
            </w:pPr>
            <w:r>
              <w:t>Rozelle*</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0C12142" w14:textId="77777777" w:rsidR="00EB6564" w:rsidRDefault="00EB6564">
            <w:pPr>
              <w:pStyle w:val="NoParagraphStyle"/>
              <w:spacing w:line="240" w:lineRule="auto"/>
              <w:textAlignment w:val="auto"/>
              <w:rPr>
                <w:rFonts w:ascii="Calibri" w:hAnsi="Calibri" w:cs="Calibri"/>
                <w:color w:val="auto"/>
              </w:rPr>
            </w:pP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C25B6B2" w14:textId="77777777" w:rsidR="00EB6564" w:rsidRDefault="00EB6564">
            <w:pPr>
              <w:pStyle w:val="06cTABLETEXT"/>
              <w:jc w:val="center"/>
            </w:pPr>
            <w:r>
              <w:t>ND</w:t>
            </w:r>
          </w:p>
        </w:tc>
      </w:tr>
      <w:tr w:rsidR="00EB6564" w14:paraId="5DBAEE87" w14:textId="77777777" w:rsidTr="00032D9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02EC7FC" w14:textId="77777777" w:rsidR="00EB6564" w:rsidRDefault="00EB6564">
            <w:pPr>
              <w:pStyle w:val="06cTABLETEXT"/>
            </w:pPr>
            <w:r>
              <w:rPr>
                <w:rStyle w:val="BOLD"/>
              </w:rPr>
              <w:t>Central Coast</w:t>
            </w:r>
          </w:p>
        </w:tc>
      </w:tr>
      <w:tr w:rsidR="00EB6564" w14:paraId="7ED0D8C7" w14:textId="77777777" w:rsidTr="00032D97">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75DA508" w14:textId="77777777" w:rsidR="00EB6564" w:rsidRDefault="00EB6564">
            <w:pPr>
              <w:pStyle w:val="06cTABLETEXT"/>
            </w:pPr>
            <w:r>
              <w:t>Wyong</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E9104A4" w14:textId="77777777" w:rsidR="00EB6564" w:rsidRDefault="00EB6564">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C6BCE28" w14:textId="77777777" w:rsidR="00EB6564" w:rsidRDefault="00EB6564">
            <w:pPr>
              <w:pStyle w:val="06cTABLETEXT"/>
              <w:jc w:val="center"/>
            </w:pPr>
            <w:r>
              <w:t>Met</w:t>
            </w:r>
          </w:p>
        </w:tc>
      </w:tr>
      <w:tr w:rsidR="00EB6564" w14:paraId="3BFB9686" w14:textId="77777777" w:rsidTr="00032D9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2D193B10" w14:textId="77777777" w:rsidR="00EB6564" w:rsidRDefault="00EB6564">
            <w:pPr>
              <w:pStyle w:val="06cTABLETEXT"/>
            </w:pPr>
            <w:r>
              <w:rPr>
                <w:rStyle w:val="BOLD"/>
              </w:rPr>
              <w:t>Illawarra</w:t>
            </w:r>
          </w:p>
        </w:tc>
      </w:tr>
      <w:tr w:rsidR="00EB6564" w14:paraId="56243138" w14:textId="77777777" w:rsidTr="00032D97">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DCA77FC" w14:textId="77777777" w:rsidR="00EB6564" w:rsidRDefault="00EB6564">
            <w:pPr>
              <w:pStyle w:val="06cTABLETEXT"/>
            </w:pPr>
            <w:r>
              <w:t>Wollongong</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B69C834" w14:textId="77777777" w:rsidR="00EB6564" w:rsidRDefault="00EB6564">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4323B92" w14:textId="77777777" w:rsidR="00EB6564" w:rsidRDefault="00EB6564">
            <w:pPr>
              <w:pStyle w:val="06cTABLETEXT"/>
              <w:jc w:val="center"/>
            </w:pPr>
            <w:r>
              <w:t>Met</w:t>
            </w:r>
          </w:p>
        </w:tc>
      </w:tr>
      <w:tr w:rsidR="00EB6564" w14:paraId="05F814D3" w14:textId="77777777" w:rsidTr="00032D9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58121BC" w14:textId="77777777" w:rsidR="00EB6564" w:rsidRDefault="00EB6564">
            <w:pPr>
              <w:pStyle w:val="06cTABLETEXT"/>
            </w:pPr>
            <w:r>
              <w:rPr>
                <w:rStyle w:val="BOLD"/>
              </w:rPr>
              <w:t>Lower Hunter</w:t>
            </w:r>
          </w:p>
        </w:tc>
      </w:tr>
      <w:tr w:rsidR="00EB6564" w14:paraId="23387E5B" w14:textId="77777777" w:rsidTr="00032D97">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94388DE" w14:textId="77777777" w:rsidR="00EB6564" w:rsidRDefault="00EB6564">
            <w:pPr>
              <w:pStyle w:val="06cTABLETEXT"/>
            </w:pPr>
            <w:r>
              <w:t>Newcastle</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EE6788D" w14:textId="77777777" w:rsidR="00EB6564" w:rsidRDefault="00EB6564">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AAB9322" w14:textId="77777777" w:rsidR="00EB6564" w:rsidRDefault="00EB6564">
            <w:pPr>
              <w:pStyle w:val="06cTABLETEXT"/>
              <w:jc w:val="center"/>
            </w:pPr>
            <w:r>
              <w:t>Met</w:t>
            </w:r>
          </w:p>
        </w:tc>
      </w:tr>
    </w:tbl>
    <w:p w14:paraId="3FEACAFD" w14:textId="77777777" w:rsidR="00EB6564" w:rsidRDefault="00EB6564" w:rsidP="00EB6564">
      <w:pPr>
        <w:pStyle w:val="07FOOTNOTES"/>
      </w:pPr>
      <w:r>
        <w:t xml:space="preserve">* </w:t>
      </w:r>
      <w:r>
        <w:tab/>
        <w:t>ND (not determined) – the Rozelle station did not meet 75% data availability criteria for carbon monoxide due to recommissioning of the site in 2018</w:t>
      </w:r>
    </w:p>
    <w:p w14:paraId="2D7A1005" w14:textId="1F76B27E" w:rsidR="00134EA2" w:rsidRDefault="00EB6564" w:rsidP="00EB6564">
      <w:pPr>
        <w:pStyle w:val="05BODYTEXT"/>
      </w:pPr>
      <w:r>
        <w:t>During 2018, compliance with the AAQ NEPM for carbon monoxide was demonstrated at 10 of 11 sites in the Sydney, Illawarra, Central Coast and Lower Hunter regions.</w:t>
      </w:r>
    </w:p>
    <w:p w14:paraId="27AA6072" w14:textId="77777777" w:rsidR="00134EA2" w:rsidRDefault="00134EA2">
      <w:pPr>
        <w:rPr>
          <w:rFonts w:ascii="Calibri" w:hAnsi="Calibri" w:cs="Calibri"/>
          <w:color w:val="000000"/>
          <w:sz w:val="16"/>
          <w:szCs w:val="16"/>
        </w:rPr>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1696"/>
        <w:gridCol w:w="5675"/>
      </w:tblGrid>
      <w:tr w:rsidR="00EB6564" w14:paraId="0FD21CE4" w14:textId="77777777" w:rsidTr="00134EA2">
        <w:trPr>
          <w:trHeight w:val="60"/>
          <w:tblHeader/>
        </w:trPr>
        <w:tc>
          <w:tcPr>
            <w:tcW w:w="1696" w:type="dxa"/>
            <w:vMerge w:val="restart"/>
            <w:tcMar>
              <w:top w:w="85" w:type="dxa"/>
              <w:left w:w="85" w:type="dxa"/>
              <w:bottom w:w="85" w:type="dxa"/>
              <w:right w:w="85" w:type="dxa"/>
            </w:tcMar>
          </w:tcPr>
          <w:p w14:paraId="07DB1D8D" w14:textId="77777777" w:rsidR="00EB6564" w:rsidRDefault="00EB6564">
            <w:pPr>
              <w:pStyle w:val="CHEMICALCHEMTABLES"/>
            </w:pPr>
            <w:r>
              <w:lastRenderedPageBreak/>
              <w:t>NO</w:t>
            </w:r>
            <w:r>
              <w:rPr>
                <w:vertAlign w:val="subscript"/>
              </w:rPr>
              <w:t>2</w:t>
            </w:r>
          </w:p>
        </w:tc>
        <w:tc>
          <w:tcPr>
            <w:tcW w:w="5675" w:type="dxa"/>
            <w:tcMar>
              <w:top w:w="85" w:type="dxa"/>
              <w:left w:w="85" w:type="dxa"/>
              <w:bottom w:w="85" w:type="dxa"/>
              <w:right w:w="85" w:type="dxa"/>
            </w:tcMar>
          </w:tcPr>
          <w:p w14:paraId="7C096770" w14:textId="77777777" w:rsidR="00EB6564" w:rsidRDefault="00EB6564">
            <w:pPr>
              <w:pStyle w:val="CHEMICALfullnameCHEMTABLES"/>
            </w:pPr>
            <w:r>
              <w:t>Nitrogen dioxide</w:t>
            </w:r>
          </w:p>
        </w:tc>
      </w:tr>
      <w:tr w:rsidR="00EB6564" w14:paraId="5E3A30CD" w14:textId="77777777" w:rsidTr="00134EA2">
        <w:trPr>
          <w:trHeight w:val="60"/>
          <w:tblHeader/>
        </w:trPr>
        <w:tc>
          <w:tcPr>
            <w:tcW w:w="1696" w:type="dxa"/>
            <w:vMerge/>
          </w:tcPr>
          <w:p w14:paraId="0AAB0B35" w14:textId="77777777" w:rsidR="00EB6564" w:rsidRDefault="00EB6564">
            <w:pPr>
              <w:pStyle w:val="NoParagraphStyle"/>
              <w:spacing w:line="240" w:lineRule="auto"/>
              <w:textAlignment w:val="auto"/>
              <w:rPr>
                <w:rFonts w:ascii="Calibri" w:hAnsi="Calibri" w:cs="Calibri"/>
                <w:color w:val="auto"/>
              </w:rPr>
            </w:pPr>
          </w:p>
        </w:tc>
        <w:tc>
          <w:tcPr>
            <w:tcW w:w="5675" w:type="dxa"/>
            <w:tcMar>
              <w:top w:w="85" w:type="dxa"/>
              <w:left w:w="85" w:type="dxa"/>
              <w:bottom w:w="85" w:type="dxa"/>
              <w:right w:w="85" w:type="dxa"/>
            </w:tcMar>
          </w:tcPr>
          <w:p w14:paraId="5ED9A274" w14:textId="77777777" w:rsidR="00EB6564" w:rsidRDefault="00EB6564">
            <w:pPr>
              <w:pStyle w:val="NEPMstandardCHEMTABLES"/>
            </w:pPr>
            <w:r>
              <w:t>(NEPM standard: 1 hour = 0.12ppm, 1 year = 0.03ppm)</w:t>
            </w:r>
          </w:p>
        </w:tc>
      </w:tr>
      <w:tr w:rsidR="00EB6564" w14:paraId="0D14EA2C" w14:textId="77777777" w:rsidTr="00134EA2">
        <w:trPr>
          <w:trHeight w:hRule="exact" w:val="113"/>
        </w:trPr>
        <w:tc>
          <w:tcPr>
            <w:tcW w:w="1696" w:type="dxa"/>
            <w:tcMar>
              <w:top w:w="85" w:type="dxa"/>
              <w:left w:w="85" w:type="dxa"/>
              <w:bottom w:w="85" w:type="dxa"/>
              <w:right w:w="85" w:type="dxa"/>
            </w:tcMar>
          </w:tcPr>
          <w:p w14:paraId="796F218E" w14:textId="77777777" w:rsidR="00EB6564" w:rsidRDefault="00EB6564">
            <w:pPr>
              <w:pStyle w:val="NoParagraphStyle"/>
              <w:spacing w:line="240" w:lineRule="auto"/>
              <w:textAlignment w:val="auto"/>
              <w:rPr>
                <w:rFonts w:ascii="Calibri" w:hAnsi="Calibri" w:cs="Calibri"/>
                <w:color w:val="auto"/>
              </w:rPr>
            </w:pPr>
          </w:p>
        </w:tc>
        <w:tc>
          <w:tcPr>
            <w:tcW w:w="5675" w:type="dxa"/>
            <w:tcMar>
              <w:top w:w="85" w:type="dxa"/>
              <w:left w:w="85" w:type="dxa"/>
              <w:bottom w:w="85" w:type="dxa"/>
              <w:right w:w="85" w:type="dxa"/>
            </w:tcMar>
          </w:tcPr>
          <w:p w14:paraId="376732CE" w14:textId="77777777" w:rsidR="00EB6564" w:rsidRDefault="00EB6564">
            <w:pPr>
              <w:pStyle w:val="NoParagraphStyle"/>
              <w:spacing w:line="240" w:lineRule="auto"/>
              <w:textAlignment w:val="auto"/>
              <w:rPr>
                <w:rFonts w:ascii="Calibri" w:hAnsi="Calibri" w:cs="Calibri"/>
                <w:color w:val="auto"/>
              </w:rPr>
            </w:pPr>
          </w:p>
        </w:tc>
      </w:tr>
    </w:tbl>
    <w:p w14:paraId="76684B95"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1481"/>
        <w:gridCol w:w="1482"/>
        <w:gridCol w:w="1481"/>
        <w:gridCol w:w="1481"/>
        <w:gridCol w:w="1482"/>
      </w:tblGrid>
      <w:tr w:rsidR="00EB6564" w14:paraId="04F767B4" w14:textId="77777777">
        <w:trPr>
          <w:trHeight w:val="60"/>
          <w:tblHeader/>
        </w:trPr>
        <w:tc>
          <w:tcPr>
            <w:tcW w:w="1481"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A289CC6" w14:textId="77777777" w:rsidR="00EB6564" w:rsidRDefault="00EB6564">
            <w:pPr>
              <w:pStyle w:val="06bTABLEHEADERROW"/>
            </w:pPr>
            <w:r>
              <w:t>Station</w:t>
            </w:r>
          </w:p>
        </w:tc>
        <w:tc>
          <w:tcPr>
            <w:tcW w:w="2963"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3132555" w14:textId="77777777" w:rsidR="00EB6564" w:rsidRDefault="00EB6564">
            <w:pPr>
              <w:pStyle w:val="06bTABLEHEADERROW"/>
              <w:jc w:val="center"/>
            </w:pPr>
            <w:r>
              <w:t>1 hour</w:t>
            </w:r>
          </w:p>
        </w:tc>
        <w:tc>
          <w:tcPr>
            <w:tcW w:w="2963"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08BF9B5" w14:textId="77777777" w:rsidR="00EB6564" w:rsidRDefault="00EB6564">
            <w:pPr>
              <w:pStyle w:val="06bTABLEHEADERROW"/>
              <w:jc w:val="center"/>
            </w:pPr>
            <w:r>
              <w:t>1 year</w:t>
            </w:r>
          </w:p>
        </w:tc>
      </w:tr>
      <w:tr w:rsidR="00EB6564" w14:paraId="0B5B46E2" w14:textId="77777777" w:rsidTr="00032D97">
        <w:trPr>
          <w:trHeight w:val="60"/>
          <w:tblHeader/>
        </w:trPr>
        <w:tc>
          <w:tcPr>
            <w:tcW w:w="1481" w:type="dxa"/>
            <w:vMerge/>
            <w:tcBorders>
              <w:top w:val="single" w:sz="8" w:space="0" w:color="FFFFFF"/>
              <w:left w:val="single" w:sz="4" w:space="0" w:color="FFFFFF"/>
              <w:bottom w:val="single" w:sz="4" w:space="0" w:color="FFFFFF"/>
              <w:right w:val="single" w:sz="4" w:space="0" w:color="FFFFFF"/>
            </w:tcBorders>
          </w:tcPr>
          <w:p w14:paraId="22521ACA" w14:textId="77777777" w:rsidR="00EB6564" w:rsidRDefault="00EB6564">
            <w:pPr>
              <w:pStyle w:val="NoParagraphStyle"/>
              <w:spacing w:line="240" w:lineRule="auto"/>
              <w:textAlignment w:val="auto"/>
              <w:rPr>
                <w:rFonts w:ascii="Calibri" w:hAnsi="Calibri" w:cs="Calibri"/>
                <w:color w:val="auto"/>
              </w:rPr>
            </w:pPr>
          </w:p>
        </w:tc>
        <w:tc>
          <w:tcPr>
            <w:tcW w:w="1482"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2DA8C47" w14:textId="77777777" w:rsidR="00EB6564" w:rsidRDefault="00EB6564">
            <w:pPr>
              <w:pStyle w:val="06bTABLEHEADERROW"/>
              <w:jc w:val="center"/>
            </w:pPr>
            <w:r>
              <w:t>Number of exceedances</w:t>
            </w:r>
          </w:p>
        </w:tc>
        <w:tc>
          <w:tcPr>
            <w:tcW w:w="1481"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54451EA" w14:textId="77777777" w:rsidR="00EB6564" w:rsidRDefault="00EB6564">
            <w:pPr>
              <w:pStyle w:val="06bTABLEHEADERROW"/>
              <w:jc w:val="center"/>
            </w:pPr>
            <w:r>
              <w:t>NEPM goal compliance</w:t>
            </w:r>
          </w:p>
        </w:tc>
        <w:tc>
          <w:tcPr>
            <w:tcW w:w="1481"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9075AD8" w14:textId="77777777" w:rsidR="00EB6564" w:rsidRDefault="00EB6564">
            <w:pPr>
              <w:pStyle w:val="06bTABLEHEADERROW"/>
              <w:jc w:val="center"/>
            </w:pPr>
            <w:r>
              <w:t>Annual average (ppm)</w:t>
            </w:r>
          </w:p>
        </w:tc>
        <w:tc>
          <w:tcPr>
            <w:tcW w:w="1482"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A34EC54" w14:textId="77777777" w:rsidR="00EB6564" w:rsidRDefault="00EB6564">
            <w:pPr>
              <w:pStyle w:val="06bTABLEHEADERROW"/>
              <w:jc w:val="center"/>
            </w:pPr>
            <w:r>
              <w:t>NEPM goal compliance</w:t>
            </w:r>
          </w:p>
        </w:tc>
      </w:tr>
      <w:tr w:rsidR="00EB6564" w14:paraId="6C6CFC9E" w14:textId="77777777" w:rsidTr="00032D97">
        <w:trPr>
          <w:trHeight w:val="60"/>
        </w:trPr>
        <w:tc>
          <w:tcPr>
            <w:tcW w:w="740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7BB02F3" w14:textId="77777777" w:rsidR="00EB6564" w:rsidRDefault="00EB6564">
            <w:pPr>
              <w:pStyle w:val="06cTABLETEXT"/>
            </w:pPr>
            <w:r>
              <w:rPr>
                <w:rStyle w:val="BOLD"/>
              </w:rPr>
              <w:t>Sydney</w:t>
            </w:r>
          </w:p>
        </w:tc>
      </w:tr>
      <w:tr w:rsidR="00EB6564" w14:paraId="0AB5B8C2"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C241929" w14:textId="77777777" w:rsidR="00EB6564" w:rsidRDefault="00EB6564">
            <w:pPr>
              <w:pStyle w:val="06cTABLETEXT"/>
            </w:pPr>
            <w:r>
              <w:t>Bargo</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FE5F2C3"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39F1DE0"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A49D7BD" w14:textId="77777777" w:rsidR="00EB6564" w:rsidRDefault="00EB6564">
            <w:pPr>
              <w:pStyle w:val="06cTABLETEXT"/>
              <w:jc w:val="center"/>
            </w:pPr>
            <w:r>
              <w:t>0.006</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DE664CB" w14:textId="77777777" w:rsidR="00EB6564" w:rsidRDefault="00EB6564">
            <w:pPr>
              <w:pStyle w:val="06cTABLETEXT"/>
              <w:jc w:val="center"/>
            </w:pPr>
            <w:r>
              <w:t>Met</w:t>
            </w:r>
          </w:p>
        </w:tc>
      </w:tr>
      <w:tr w:rsidR="00EB6564" w14:paraId="67FE0B75"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87DAB70" w14:textId="77777777" w:rsidR="00EB6564" w:rsidRDefault="00EB6564">
            <w:pPr>
              <w:pStyle w:val="06cTABLETEXT"/>
            </w:pPr>
            <w:r>
              <w:t>Bringelly</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826D40A"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4A129EC"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5D2159B" w14:textId="77777777" w:rsidR="00EB6564" w:rsidRDefault="00EB6564">
            <w:pPr>
              <w:pStyle w:val="06cTABLETEXT"/>
              <w:jc w:val="center"/>
            </w:pPr>
            <w:r>
              <w:t>0.006</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793B11A" w14:textId="77777777" w:rsidR="00EB6564" w:rsidRDefault="00EB6564">
            <w:pPr>
              <w:pStyle w:val="06cTABLETEXT"/>
              <w:jc w:val="center"/>
            </w:pPr>
            <w:r>
              <w:t>Met</w:t>
            </w:r>
          </w:p>
        </w:tc>
      </w:tr>
      <w:tr w:rsidR="00EB6564" w14:paraId="01A649C1"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80A7F9E" w14:textId="77777777" w:rsidR="00EB6564" w:rsidRDefault="00EB6564">
            <w:pPr>
              <w:pStyle w:val="06cTABLETEXT"/>
            </w:pPr>
            <w:r>
              <w:t>Camden</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5CE8A64"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FA00ECC"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A64743C" w14:textId="77777777" w:rsidR="00EB6564" w:rsidRDefault="00EB6564">
            <w:pPr>
              <w:pStyle w:val="06cTABLETEXT"/>
              <w:jc w:val="center"/>
            </w:pPr>
            <w:r>
              <w:t>0.005</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ACC109D" w14:textId="77777777" w:rsidR="00EB6564" w:rsidRDefault="00EB6564">
            <w:pPr>
              <w:pStyle w:val="06cTABLETEXT"/>
              <w:jc w:val="center"/>
            </w:pPr>
            <w:r>
              <w:t>Met</w:t>
            </w:r>
          </w:p>
        </w:tc>
      </w:tr>
      <w:tr w:rsidR="00EB6564" w14:paraId="210F3355"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368282F" w14:textId="77777777" w:rsidR="00EB6564" w:rsidRDefault="00EB6564">
            <w:pPr>
              <w:pStyle w:val="06cTABLETEXT"/>
            </w:pPr>
            <w:r>
              <w:t>Campbelltown West</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DDA8053"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279A8A6"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047C080" w14:textId="77777777" w:rsidR="00EB6564" w:rsidRDefault="00EB6564">
            <w:pPr>
              <w:pStyle w:val="06cTABLETEXT"/>
              <w:jc w:val="center"/>
            </w:pPr>
            <w:r>
              <w:t>0.011</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BB099F5" w14:textId="77777777" w:rsidR="00EB6564" w:rsidRDefault="00EB6564">
            <w:pPr>
              <w:pStyle w:val="06cTABLETEXT"/>
              <w:jc w:val="center"/>
            </w:pPr>
            <w:r>
              <w:t>Met</w:t>
            </w:r>
          </w:p>
        </w:tc>
      </w:tr>
      <w:tr w:rsidR="00EB6564" w14:paraId="558E842D"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F31183F" w14:textId="77777777" w:rsidR="00EB6564" w:rsidRDefault="00EB6564">
            <w:pPr>
              <w:pStyle w:val="06cTABLETEXT"/>
            </w:pPr>
            <w:r>
              <w:t>Chullora</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97C16F4"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8898853"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F3FB164" w14:textId="77777777" w:rsidR="00EB6564" w:rsidRDefault="00EB6564">
            <w:pPr>
              <w:pStyle w:val="06cTABLETEXT"/>
              <w:jc w:val="center"/>
            </w:pPr>
            <w:r>
              <w:t>0.012</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9852FFC" w14:textId="77777777" w:rsidR="00EB6564" w:rsidRDefault="00EB6564">
            <w:pPr>
              <w:pStyle w:val="06cTABLETEXT"/>
              <w:jc w:val="center"/>
            </w:pPr>
            <w:r>
              <w:t>Met</w:t>
            </w:r>
          </w:p>
        </w:tc>
      </w:tr>
      <w:tr w:rsidR="00EB6564" w14:paraId="53AED6C8"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771A3F0" w14:textId="77777777" w:rsidR="00EB6564" w:rsidRDefault="00EB6564">
            <w:pPr>
              <w:pStyle w:val="06cTABLETEXT"/>
            </w:pPr>
            <w:r>
              <w:t>Earlwood</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DAB161D"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77C2DE6"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1F9C8D1" w14:textId="77777777" w:rsidR="00EB6564" w:rsidRDefault="00EB6564">
            <w:pPr>
              <w:pStyle w:val="06cTABLETEXT"/>
              <w:jc w:val="center"/>
            </w:pPr>
            <w:r>
              <w:t>0.010</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699C1DC" w14:textId="77777777" w:rsidR="00EB6564" w:rsidRDefault="00EB6564">
            <w:pPr>
              <w:pStyle w:val="06cTABLETEXT"/>
              <w:jc w:val="center"/>
            </w:pPr>
            <w:r>
              <w:t>Met</w:t>
            </w:r>
          </w:p>
        </w:tc>
      </w:tr>
      <w:tr w:rsidR="00EB6564" w14:paraId="1291E811"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572A9E5" w14:textId="77777777" w:rsidR="00EB6564" w:rsidRDefault="00EB6564">
            <w:pPr>
              <w:pStyle w:val="06cTABLETEXT"/>
            </w:pPr>
            <w:r>
              <w:t>Liverpool</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EC9DF7"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274FC98"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D0B5AB1" w14:textId="77777777" w:rsidR="00EB6564" w:rsidRDefault="00EB6564">
            <w:pPr>
              <w:pStyle w:val="06cTABLETEXT"/>
              <w:jc w:val="center"/>
            </w:pPr>
            <w:r>
              <w:t>0.012</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7A2FB5E" w14:textId="77777777" w:rsidR="00EB6564" w:rsidRDefault="00EB6564">
            <w:pPr>
              <w:pStyle w:val="06cTABLETEXT"/>
              <w:jc w:val="center"/>
            </w:pPr>
            <w:r>
              <w:t>Met</w:t>
            </w:r>
          </w:p>
        </w:tc>
      </w:tr>
      <w:tr w:rsidR="00EB6564" w14:paraId="3EBD6A2B"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280A062" w14:textId="77777777" w:rsidR="00EB6564" w:rsidRDefault="00EB6564">
            <w:pPr>
              <w:pStyle w:val="06cTABLETEXT"/>
            </w:pPr>
            <w:r>
              <w:t>Macquarie Park</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B9578AA"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042D9EA"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FAED3C7" w14:textId="77777777" w:rsidR="00EB6564" w:rsidRDefault="00EB6564">
            <w:pPr>
              <w:pStyle w:val="06cTABLETEXT"/>
              <w:jc w:val="center"/>
            </w:pPr>
            <w:r>
              <w:t>0.006</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FF571A" w14:textId="77777777" w:rsidR="00EB6564" w:rsidRDefault="00EB6564">
            <w:pPr>
              <w:pStyle w:val="06cTABLETEXT"/>
              <w:jc w:val="center"/>
            </w:pPr>
            <w:r>
              <w:t>Met</w:t>
            </w:r>
          </w:p>
        </w:tc>
      </w:tr>
      <w:tr w:rsidR="00EB6564" w14:paraId="26C84A1F"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9ED8C7" w14:textId="77777777" w:rsidR="00EB6564" w:rsidRDefault="00EB6564">
            <w:pPr>
              <w:pStyle w:val="06cTABLETEXT"/>
            </w:pPr>
            <w:r>
              <w:t>Oakdale</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FEF0602"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FC67204"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B10BD86" w14:textId="77777777" w:rsidR="00EB6564" w:rsidRDefault="00EB6564">
            <w:pPr>
              <w:pStyle w:val="06cTABLETEXT"/>
              <w:jc w:val="center"/>
            </w:pPr>
            <w:r>
              <w:t>0.002</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C438EC0" w14:textId="77777777" w:rsidR="00EB6564" w:rsidRDefault="00EB6564">
            <w:pPr>
              <w:pStyle w:val="06cTABLETEXT"/>
              <w:jc w:val="center"/>
            </w:pPr>
            <w:r>
              <w:t>Met</w:t>
            </w:r>
          </w:p>
        </w:tc>
      </w:tr>
      <w:tr w:rsidR="00EB6564" w14:paraId="0BDFEE85"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CD05017" w14:textId="77777777" w:rsidR="00EB6564" w:rsidRDefault="00EB6564">
            <w:pPr>
              <w:pStyle w:val="06cTABLETEXT"/>
            </w:pPr>
            <w:r>
              <w:t>Parramatta North</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E9D717A"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917172F"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5E132F4" w14:textId="77777777" w:rsidR="00EB6564" w:rsidRDefault="00EB6564">
            <w:pPr>
              <w:pStyle w:val="06cTABLETEXT"/>
              <w:jc w:val="center"/>
            </w:pPr>
            <w:r>
              <w:t>0.011</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B6C7C0D" w14:textId="77777777" w:rsidR="00EB6564" w:rsidRDefault="00EB6564">
            <w:pPr>
              <w:pStyle w:val="06cTABLETEXT"/>
              <w:jc w:val="center"/>
            </w:pPr>
            <w:r>
              <w:t>Met</w:t>
            </w:r>
          </w:p>
        </w:tc>
      </w:tr>
      <w:tr w:rsidR="00EB6564" w14:paraId="56341B90"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8CE1818" w14:textId="77777777" w:rsidR="00EB6564" w:rsidRDefault="00EB6564">
            <w:pPr>
              <w:pStyle w:val="06cTABLETEXT"/>
            </w:pPr>
            <w:r>
              <w:t>Prospect</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57F17E8"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7C4C1D2"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24C8B60" w14:textId="77777777" w:rsidR="00EB6564" w:rsidRDefault="00EB6564">
            <w:pPr>
              <w:pStyle w:val="06cTABLETEXT"/>
              <w:jc w:val="center"/>
            </w:pPr>
            <w:r>
              <w:t>0.009</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D8BC5E7" w14:textId="77777777" w:rsidR="00EB6564" w:rsidRDefault="00EB6564">
            <w:pPr>
              <w:pStyle w:val="06cTABLETEXT"/>
              <w:jc w:val="center"/>
            </w:pPr>
            <w:r>
              <w:t>Met</w:t>
            </w:r>
          </w:p>
        </w:tc>
      </w:tr>
      <w:tr w:rsidR="00EB6564" w14:paraId="3027E9F6"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8124BB0" w14:textId="77777777" w:rsidR="00EB6564" w:rsidRDefault="00EB6564">
            <w:pPr>
              <w:pStyle w:val="06cTABLETEXT"/>
            </w:pPr>
            <w:r>
              <w:t>Randwick</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EE79C0"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7C19A49"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948ACB4" w14:textId="77777777" w:rsidR="00EB6564" w:rsidRDefault="00EB6564">
            <w:pPr>
              <w:pStyle w:val="06cTABLETEXT"/>
              <w:jc w:val="center"/>
            </w:pPr>
            <w:r>
              <w:t>0.007</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4162220" w14:textId="77777777" w:rsidR="00EB6564" w:rsidRDefault="00EB6564">
            <w:pPr>
              <w:pStyle w:val="06cTABLETEXT"/>
              <w:jc w:val="center"/>
            </w:pPr>
            <w:r>
              <w:t>Met</w:t>
            </w:r>
          </w:p>
        </w:tc>
      </w:tr>
      <w:tr w:rsidR="00EB6564" w14:paraId="5E24885F"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6474F06" w14:textId="77777777" w:rsidR="00EB6564" w:rsidRDefault="00EB6564">
            <w:pPr>
              <w:pStyle w:val="06cTABLETEXT"/>
            </w:pPr>
            <w:r>
              <w:t>Richmond</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8AF45AF"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71146BA"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CD34D05" w14:textId="77777777" w:rsidR="00EB6564" w:rsidRDefault="00EB6564">
            <w:pPr>
              <w:pStyle w:val="06cTABLETEXT"/>
              <w:jc w:val="center"/>
            </w:pPr>
            <w:r>
              <w:t>0.005</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13EB7F9" w14:textId="77777777" w:rsidR="00EB6564" w:rsidRDefault="00EB6564">
            <w:pPr>
              <w:pStyle w:val="06cTABLETEXT"/>
              <w:jc w:val="center"/>
            </w:pPr>
            <w:r>
              <w:t>Met</w:t>
            </w:r>
          </w:p>
        </w:tc>
      </w:tr>
      <w:tr w:rsidR="00EB6564" w14:paraId="7507E880"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A909834" w14:textId="77777777" w:rsidR="00EB6564" w:rsidRDefault="00EB6564">
            <w:pPr>
              <w:pStyle w:val="06cTABLETEXT"/>
            </w:pPr>
            <w:r>
              <w:t>Rozelle*</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82BD336" w14:textId="77777777" w:rsidR="00EB6564" w:rsidRDefault="00EB6564">
            <w:pPr>
              <w:pStyle w:val="NoParagraphStyle"/>
              <w:spacing w:line="240" w:lineRule="auto"/>
              <w:textAlignment w:val="auto"/>
              <w:rPr>
                <w:rFonts w:ascii="Calibri" w:hAnsi="Calibri" w:cs="Calibri"/>
                <w:color w:val="auto"/>
              </w:rPr>
            </w:pP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452B408" w14:textId="77777777" w:rsidR="00EB6564" w:rsidRDefault="00EB6564">
            <w:pPr>
              <w:pStyle w:val="06cTABLETEXT"/>
              <w:jc w:val="center"/>
            </w:pPr>
            <w:r>
              <w:t>ND</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3D16296" w14:textId="77777777" w:rsidR="00EB6564" w:rsidRDefault="00EB6564">
            <w:pPr>
              <w:pStyle w:val="NoParagraphStyle"/>
              <w:spacing w:line="240" w:lineRule="auto"/>
              <w:textAlignment w:val="auto"/>
              <w:rPr>
                <w:rFonts w:ascii="Calibri" w:hAnsi="Calibri" w:cs="Calibri"/>
                <w:color w:val="auto"/>
              </w:rPr>
            </w:pP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2BFD980" w14:textId="77777777" w:rsidR="00EB6564" w:rsidRDefault="00EB6564">
            <w:pPr>
              <w:pStyle w:val="06cTABLETEXT"/>
              <w:jc w:val="center"/>
            </w:pPr>
            <w:r>
              <w:t>ND</w:t>
            </w:r>
          </w:p>
        </w:tc>
      </w:tr>
      <w:tr w:rsidR="00EB6564" w14:paraId="7956041F"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B6F7102" w14:textId="77777777" w:rsidR="00EB6564" w:rsidRDefault="00EB6564">
            <w:pPr>
              <w:pStyle w:val="06cTABLETEXT"/>
            </w:pPr>
            <w:r>
              <w:t>St Marys</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D4F32F8"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2631462"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E11C799" w14:textId="77777777" w:rsidR="00EB6564" w:rsidRDefault="00EB6564">
            <w:pPr>
              <w:pStyle w:val="06cTABLETEXT"/>
              <w:jc w:val="center"/>
            </w:pPr>
            <w:r>
              <w:t>0.005</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B2303D0" w14:textId="77777777" w:rsidR="00EB6564" w:rsidRDefault="00EB6564">
            <w:pPr>
              <w:pStyle w:val="06cTABLETEXT"/>
              <w:jc w:val="center"/>
            </w:pPr>
            <w:r>
              <w:t>Met</w:t>
            </w:r>
          </w:p>
        </w:tc>
      </w:tr>
      <w:tr w:rsidR="00EB6564" w14:paraId="5023E052" w14:textId="77777777" w:rsidTr="00032D97">
        <w:trPr>
          <w:trHeight w:val="60"/>
        </w:trPr>
        <w:tc>
          <w:tcPr>
            <w:tcW w:w="740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73E916FD" w14:textId="77777777" w:rsidR="00EB6564" w:rsidRDefault="00EB6564">
            <w:pPr>
              <w:pStyle w:val="06cTABLETEXT"/>
            </w:pPr>
            <w:r>
              <w:rPr>
                <w:rStyle w:val="BOLD"/>
              </w:rPr>
              <w:t>Central Coast</w:t>
            </w:r>
          </w:p>
        </w:tc>
      </w:tr>
      <w:tr w:rsidR="00EB6564" w14:paraId="26F575EC"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B617FBC" w14:textId="77777777" w:rsidR="00EB6564" w:rsidRDefault="00EB6564">
            <w:pPr>
              <w:pStyle w:val="06cTABLETEXT"/>
            </w:pPr>
            <w:r>
              <w:t>Wyong</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66E0FE3"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76440F8"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C1D4B34" w14:textId="77777777" w:rsidR="00EB6564" w:rsidRDefault="00EB6564">
            <w:pPr>
              <w:pStyle w:val="06cTABLETEXT"/>
              <w:jc w:val="center"/>
            </w:pPr>
            <w:r>
              <w:t>0.004</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ADACCF4" w14:textId="77777777" w:rsidR="00EB6564" w:rsidRDefault="00EB6564">
            <w:pPr>
              <w:pStyle w:val="06cTABLETEXT"/>
              <w:jc w:val="center"/>
            </w:pPr>
            <w:r>
              <w:t>Met</w:t>
            </w:r>
          </w:p>
        </w:tc>
      </w:tr>
      <w:tr w:rsidR="00EB6564" w14:paraId="180E3820"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1B9AAF0" w14:textId="77777777" w:rsidR="00EB6564" w:rsidRDefault="00EB6564">
            <w:pPr>
              <w:pStyle w:val="06cTABLETEXT"/>
            </w:pPr>
            <w:r>
              <w:rPr>
                <w:rStyle w:val="BOLD"/>
              </w:rPr>
              <w:t>Illawarra</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ADF889D" w14:textId="77777777" w:rsidR="00EB6564" w:rsidRDefault="00EB6564">
            <w:pPr>
              <w:pStyle w:val="NoParagraphStyle"/>
              <w:spacing w:line="240" w:lineRule="auto"/>
              <w:textAlignment w:val="auto"/>
              <w:rPr>
                <w:rFonts w:ascii="Calibri" w:hAnsi="Calibri" w:cs="Calibri"/>
                <w:color w:val="auto"/>
              </w:rPr>
            </w:pP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2C88B731" w14:textId="77777777" w:rsidR="00EB6564" w:rsidRDefault="00EB6564">
            <w:pPr>
              <w:pStyle w:val="NoParagraphStyle"/>
              <w:spacing w:line="240" w:lineRule="auto"/>
              <w:textAlignment w:val="auto"/>
              <w:rPr>
                <w:rFonts w:ascii="Calibri" w:hAnsi="Calibri" w:cs="Calibri"/>
                <w:color w:val="auto"/>
              </w:rPr>
            </w:pP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13E8A992" w14:textId="77777777" w:rsidR="00EB6564" w:rsidRDefault="00EB6564">
            <w:pPr>
              <w:pStyle w:val="NoParagraphStyle"/>
              <w:spacing w:line="240" w:lineRule="auto"/>
              <w:textAlignment w:val="auto"/>
              <w:rPr>
                <w:rFonts w:ascii="Calibri" w:hAnsi="Calibri" w:cs="Calibri"/>
                <w:color w:val="auto"/>
              </w:rPr>
            </w:pP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5FBE068D" w14:textId="77777777" w:rsidR="00EB6564" w:rsidRDefault="00EB6564">
            <w:pPr>
              <w:pStyle w:val="NoParagraphStyle"/>
              <w:spacing w:line="240" w:lineRule="auto"/>
              <w:textAlignment w:val="auto"/>
              <w:rPr>
                <w:rFonts w:ascii="Calibri" w:hAnsi="Calibri" w:cs="Calibri"/>
                <w:color w:val="auto"/>
              </w:rPr>
            </w:pPr>
          </w:p>
        </w:tc>
      </w:tr>
      <w:tr w:rsidR="00EB6564" w14:paraId="45C58A42"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48BE27D" w14:textId="77777777" w:rsidR="00EB6564" w:rsidRDefault="00EB6564">
            <w:pPr>
              <w:pStyle w:val="06cTABLETEXT"/>
            </w:pPr>
            <w:r>
              <w:t xml:space="preserve">Albion Park South </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57CBE76"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DA381D2"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4B81DAB" w14:textId="77777777" w:rsidR="00EB6564" w:rsidRDefault="00EB6564">
            <w:pPr>
              <w:pStyle w:val="06cTABLETEXT"/>
              <w:jc w:val="center"/>
            </w:pPr>
            <w:r>
              <w:t>0.004</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65714CB" w14:textId="77777777" w:rsidR="00EB6564" w:rsidRDefault="00EB6564">
            <w:pPr>
              <w:pStyle w:val="06cTABLETEXT"/>
              <w:jc w:val="center"/>
            </w:pPr>
            <w:r>
              <w:t>Met</w:t>
            </w:r>
          </w:p>
        </w:tc>
      </w:tr>
      <w:tr w:rsidR="00EB6564" w14:paraId="52901949"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655F000" w14:textId="77777777" w:rsidR="00EB6564" w:rsidRDefault="00EB6564">
            <w:pPr>
              <w:pStyle w:val="06cTABLETEXT"/>
            </w:pPr>
            <w:r>
              <w:t>Kembla Grange</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9E50AA9"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2D6ED5C" w14:textId="77777777" w:rsidR="00EB6564" w:rsidRDefault="00EB6564">
            <w:pPr>
              <w:pStyle w:val="06cTABLETEXT"/>
              <w:jc w:val="center"/>
            </w:pPr>
            <w:r>
              <w:t> </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A5C8E7A" w14:textId="77777777" w:rsidR="00EB6564" w:rsidRDefault="00EB6564">
            <w:pPr>
              <w:pStyle w:val="06cTABLETEXT"/>
              <w:jc w:val="center"/>
            </w:pPr>
            <w:r>
              <w:t>0.005</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BD2D708" w14:textId="77777777" w:rsidR="00EB6564" w:rsidRDefault="00EB6564">
            <w:pPr>
              <w:pStyle w:val="06cTABLETEXT"/>
              <w:jc w:val="center"/>
            </w:pPr>
            <w:r>
              <w:t>Met</w:t>
            </w:r>
          </w:p>
        </w:tc>
      </w:tr>
      <w:tr w:rsidR="00EB6564" w14:paraId="6BC83C16"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D26D504" w14:textId="77777777" w:rsidR="00EB6564" w:rsidRDefault="00EB6564">
            <w:pPr>
              <w:pStyle w:val="06cTABLETEXT"/>
            </w:pPr>
            <w:r>
              <w:t>Wollongong</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5C6EFF1"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BEFC332"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8203C6A" w14:textId="77777777" w:rsidR="00EB6564" w:rsidRDefault="00EB6564">
            <w:pPr>
              <w:pStyle w:val="06cTABLETEXT"/>
              <w:jc w:val="center"/>
            </w:pPr>
            <w:r>
              <w:t>0.007</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7BA93E3" w14:textId="77777777" w:rsidR="00EB6564" w:rsidRDefault="00EB6564">
            <w:pPr>
              <w:pStyle w:val="06cTABLETEXT"/>
              <w:jc w:val="center"/>
            </w:pPr>
            <w:r>
              <w:t>Met</w:t>
            </w:r>
          </w:p>
        </w:tc>
      </w:tr>
      <w:tr w:rsidR="00EB6564" w14:paraId="109AACA5" w14:textId="77777777" w:rsidTr="00032D97">
        <w:trPr>
          <w:trHeight w:val="60"/>
        </w:trPr>
        <w:tc>
          <w:tcPr>
            <w:tcW w:w="740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7BB602E9" w14:textId="77777777" w:rsidR="00EB6564" w:rsidRDefault="00EB6564">
            <w:pPr>
              <w:pStyle w:val="06cTABLETEXT"/>
            </w:pPr>
            <w:r>
              <w:rPr>
                <w:rStyle w:val="BOLD"/>
              </w:rPr>
              <w:lastRenderedPageBreak/>
              <w:t>Lower Hunter</w:t>
            </w:r>
          </w:p>
        </w:tc>
      </w:tr>
      <w:tr w:rsidR="00EB6564" w14:paraId="4A6EC47B"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8DDDD22" w14:textId="77777777" w:rsidR="00EB6564" w:rsidRDefault="00EB6564">
            <w:pPr>
              <w:pStyle w:val="06cTABLETEXT"/>
            </w:pPr>
            <w:r>
              <w:t>Beresfield</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27914C1"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1DFAD1"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B2C016F" w14:textId="77777777" w:rsidR="00EB6564" w:rsidRDefault="00EB6564">
            <w:pPr>
              <w:pStyle w:val="06cTABLETEXT"/>
              <w:jc w:val="center"/>
            </w:pPr>
            <w:r>
              <w:t>0.009</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23FF389" w14:textId="77777777" w:rsidR="00EB6564" w:rsidRDefault="00EB6564">
            <w:pPr>
              <w:pStyle w:val="06cTABLETEXT"/>
              <w:jc w:val="center"/>
            </w:pPr>
            <w:r>
              <w:t>Met</w:t>
            </w:r>
          </w:p>
        </w:tc>
      </w:tr>
      <w:tr w:rsidR="00EB6564" w14:paraId="1CD378F1"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748A3D" w14:textId="77777777" w:rsidR="00EB6564" w:rsidRDefault="00EB6564">
            <w:pPr>
              <w:pStyle w:val="06cTABLETEXT"/>
            </w:pPr>
            <w:r>
              <w:t xml:space="preserve">Newcastle </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FE7FAB0"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188F213"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DBBAF54" w14:textId="77777777" w:rsidR="00EB6564" w:rsidRDefault="00EB6564">
            <w:pPr>
              <w:pStyle w:val="06cTABLETEXT"/>
              <w:jc w:val="center"/>
            </w:pPr>
            <w:r>
              <w:t>0.007</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441D69F" w14:textId="77777777" w:rsidR="00EB6564" w:rsidRDefault="00EB6564">
            <w:pPr>
              <w:pStyle w:val="06cTABLETEXT"/>
              <w:jc w:val="center"/>
            </w:pPr>
            <w:r>
              <w:t>Met</w:t>
            </w:r>
          </w:p>
        </w:tc>
      </w:tr>
      <w:tr w:rsidR="00EB6564" w14:paraId="3FBB88AF"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7D36DAB" w14:textId="77777777" w:rsidR="00EB6564" w:rsidRDefault="00EB6564">
            <w:pPr>
              <w:pStyle w:val="06cTABLETEXT"/>
            </w:pPr>
            <w:r>
              <w:t>Wallsend</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5233B33"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3A2D398"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89C2D50" w14:textId="77777777" w:rsidR="00EB6564" w:rsidRDefault="00EB6564">
            <w:pPr>
              <w:pStyle w:val="06cTABLETEXT"/>
              <w:jc w:val="center"/>
            </w:pPr>
            <w:r>
              <w:t>0.007</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A83074A" w14:textId="77777777" w:rsidR="00EB6564" w:rsidRDefault="00EB6564">
            <w:pPr>
              <w:pStyle w:val="06cTABLETEXT"/>
              <w:jc w:val="center"/>
            </w:pPr>
            <w:r>
              <w:t>Met</w:t>
            </w:r>
          </w:p>
        </w:tc>
      </w:tr>
      <w:tr w:rsidR="00EB6564" w14:paraId="3BFCD537" w14:textId="77777777" w:rsidTr="00032D97">
        <w:trPr>
          <w:trHeight w:val="60"/>
        </w:trPr>
        <w:tc>
          <w:tcPr>
            <w:tcW w:w="740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18778382" w14:textId="77777777" w:rsidR="00EB6564" w:rsidRDefault="00EB6564">
            <w:pPr>
              <w:pStyle w:val="06cTABLETEXT"/>
            </w:pPr>
            <w:r>
              <w:rPr>
                <w:rStyle w:val="BOLD"/>
              </w:rPr>
              <w:t>Regional New South Wales</w:t>
            </w:r>
          </w:p>
        </w:tc>
      </w:tr>
      <w:tr w:rsidR="00EB6564" w14:paraId="146FF6CD" w14:textId="77777777" w:rsidTr="00032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D8C614A" w14:textId="77777777" w:rsidR="00EB6564" w:rsidRDefault="00EB6564">
            <w:pPr>
              <w:pStyle w:val="06cTABLETEXT"/>
            </w:pPr>
            <w:r>
              <w:t>Gunnedah**</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D7D4A92" w14:textId="77777777" w:rsidR="00EB6564" w:rsidRDefault="00EB6564">
            <w:pPr>
              <w:pStyle w:val="NoParagraphStyle"/>
              <w:spacing w:line="240" w:lineRule="auto"/>
              <w:textAlignment w:val="auto"/>
              <w:rPr>
                <w:rFonts w:ascii="Calibri" w:hAnsi="Calibri" w:cs="Calibri"/>
                <w:color w:val="auto"/>
              </w:rPr>
            </w:pP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AA29218" w14:textId="77777777" w:rsidR="00EB6564" w:rsidRDefault="00EB6564">
            <w:pPr>
              <w:pStyle w:val="06cTABLETEXT"/>
              <w:jc w:val="center"/>
            </w:pPr>
            <w:r>
              <w:t>ND</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9CB4809" w14:textId="77777777" w:rsidR="00EB6564" w:rsidRDefault="00EB6564">
            <w:pPr>
              <w:pStyle w:val="NoParagraphStyle"/>
              <w:spacing w:line="240" w:lineRule="auto"/>
              <w:textAlignment w:val="auto"/>
              <w:rPr>
                <w:rFonts w:ascii="Calibri" w:hAnsi="Calibri" w:cs="Calibri"/>
                <w:color w:val="auto"/>
              </w:rPr>
            </w:pP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6974648" w14:textId="77777777" w:rsidR="00EB6564" w:rsidRDefault="00EB6564">
            <w:pPr>
              <w:pStyle w:val="06cTABLETEXT"/>
              <w:jc w:val="center"/>
            </w:pPr>
            <w:r>
              <w:t>ND</w:t>
            </w:r>
          </w:p>
        </w:tc>
      </w:tr>
    </w:tbl>
    <w:p w14:paraId="2984CAC8" w14:textId="77777777" w:rsidR="00EB6564" w:rsidRDefault="00EB6564" w:rsidP="00397A8C">
      <w:pPr>
        <w:pStyle w:val="07FOOTNOTES"/>
        <w:spacing w:after="0"/>
      </w:pPr>
      <w:r>
        <w:t xml:space="preserve">* </w:t>
      </w:r>
      <w:r>
        <w:tab/>
        <w:t>ND (not determined) – the Rozelle station non-compliant with &gt; 75% data availability criteria for nitrogen dioxide due to recommissioning of the site in 2018</w:t>
      </w:r>
    </w:p>
    <w:p w14:paraId="666413F9" w14:textId="77777777" w:rsidR="00EB6564" w:rsidRDefault="00EB6564" w:rsidP="00EB6564">
      <w:pPr>
        <w:pStyle w:val="07FOOTNOTES"/>
      </w:pPr>
      <w:r>
        <w:t>**</w:t>
      </w:r>
      <w:r>
        <w:tab/>
        <w:t>ND (not determined) – Gunnedah station non-compliant with &gt; 75% data availability criteria for ozone during quarter 1 due to late commissioning.</w:t>
      </w:r>
    </w:p>
    <w:p w14:paraId="285F35F0" w14:textId="77777777" w:rsidR="00EB6564" w:rsidRDefault="00EB6564" w:rsidP="00EB6564">
      <w:pPr>
        <w:pStyle w:val="05BODYTEXT"/>
      </w:pPr>
      <w:r>
        <w:t xml:space="preserve">During 2018, compliance with the AAQ NEPM goals for nitrogen dioxide was demonstrated at 21 of 23 sites in the Sydney, Illawarra, Central Coast and Lower Hunter regions. </w:t>
      </w:r>
    </w:p>
    <w:tbl>
      <w:tblPr>
        <w:tblW w:w="0" w:type="auto"/>
        <w:tblInd w:w="-8" w:type="dxa"/>
        <w:tblLayout w:type="fixed"/>
        <w:tblCellMar>
          <w:left w:w="0" w:type="dxa"/>
          <w:right w:w="0" w:type="dxa"/>
        </w:tblCellMar>
        <w:tblLook w:val="0000" w:firstRow="0" w:lastRow="0" w:firstColumn="0" w:lastColumn="0" w:noHBand="0" w:noVBand="0"/>
      </w:tblPr>
      <w:tblGrid>
        <w:gridCol w:w="1696"/>
        <w:gridCol w:w="5731"/>
      </w:tblGrid>
      <w:tr w:rsidR="00EB6564" w14:paraId="03F5253E" w14:textId="77777777" w:rsidTr="00134EA2">
        <w:trPr>
          <w:trHeight w:val="60"/>
          <w:tblHeader/>
        </w:trPr>
        <w:tc>
          <w:tcPr>
            <w:tcW w:w="1696" w:type="dxa"/>
            <w:vMerge w:val="restart"/>
            <w:tcMar>
              <w:top w:w="85" w:type="dxa"/>
              <w:left w:w="85" w:type="dxa"/>
              <w:bottom w:w="85" w:type="dxa"/>
              <w:right w:w="85" w:type="dxa"/>
            </w:tcMar>
          </w:tcPr>
          <w:p w14:paraId="67A5030A" w14:textId="77777777" w:rsidR="00EB6564" w:rsidRDefault="00EB6564" w:rsidP="00134EA2">
            <w:pPr>
              <w:pStyle w:val="CHEMICALCHEMTABLES"/>
              <w:spacing w:after="0" w:line="240" w:lineRule="auto"/>
            </w:pPr>
            <w:r>
              <w:t>O</w:t>
            </w:r>
            <w:r>
              <w:rPr>
                <w:vertAlign w:val="subscript"/>
              </w:rPr>
              <w:t>3</w:t>
            </w:r>
          </w:p>
        </w:tc>
        <w:tc>
          <w:tcPr>
            <w:tcW w:w="5731" w:type="dxa"/>
            <w:tcMar>
              <w:top w:w="85" w:type="dxa"/>
              <w:left w:w="85" w:type="dxa"/>
              <w:bottom w:w="85" w:type="dxa"/>
              <w:right w:w="85" w:type="dxa"/>
            </w:tcMar>
          </w:tcPr>
          <w:p w14:paraId="40728215" w14:textId="77777777" w:rsidR="00EB6564" w:rsidRDefault="00EB6564" w:rsidP="00134EA2">
            <w:pPr>
              <w:pStyle w:val="CHEMICALfullnameCHEMTABLES"/>
              <w:spacing w:after="0" w:line="240" w:lineRule="auto"/>
            </w:pPr>
            <w:r>
              <w:t>Ozone</w:t>
            </w:r>
          </w:p>
        </w:tc>
      </w:tr>
      <w:tr w:rsidR="00EB6564" w14:paraId="02488447" w14:textId="77777777" w:rsidTr="00134EA2">
        <w:trPr>
          <w:trHeight w:val="60"/>
          <w:tblHeader/>
        </w:trPr>
        <w:tc>
          <w:tcPr>
            <w:tcW w:w="1696" w:type="dxa"/>
            <w:vMerge/>
          </w:tcPr>
          <w:p w14:paraId="6EA2652E"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710959D" w14:textId="77777777" w:rsidR="00EB6564" w:rsidRDefault="00EB6564" w:rsidP="00134EA2">
            <w:pPr>
              <w:pStyle w:val="NEPMstandardCHEMTABLES"/>
              <w:spacing w:after="0" w:line="240" w:lineRule="auto"/>
            </w:pPr>
            <w:r>
              <w:t>(NEPM standard: 1 hour = 0.10ppm, 4 hours = 0.08ppm)</w:t>
            </w:r>
          </w:p>
        </w:tc>
      </w:tr>
      <w:tr w:rsidR="00EB6564" w14:paraId="7C38E277" w14:textId="77777777" w:rsidTr="00134EA2">
        <w:trPr>
          <w:trHeight w:hRule="exact" w:val="113"/>
        </w:trPr>
        <w:tc>
          <w:tcPr>
            <w:tcW w:w="1696" w:type="dxa"/>
            <w:tcMar>
              <w:top w:w="85" w:type="dxa"/>
              <w:left w:w="85" w:type="dxa"/>
              <w:bottom w:w="85" w:type="dxa"/>
              <w:right w:w="85" w:type="dxa"/>
            </w:tcMar>
          </w:tcPr>
          <w:p w14:paraId="33073BE9"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37922241" w14:textId="77777777" w:rsidR="00EB6564" w:rsidRDefault="00EB6564" w:rsidP="00134EA2">
            <w:pPr>
              <w:pStyle w:val="NoParagraphStyle"/>
              <w:spacing w:line="240" w:lineRule="auto"/>
              <w:textAlignment w:val="auto"/>
              <w:rPr>
                <w:rFonts w:ascii="Calibri" w:hAnsi="Calibri" w:cs="Calibri"/>
                <w:color w:val="auto"/>
              </w:rPr>
            </w:pPr>
          </w:p>
        </w:tc>
      </w:tr>
    </w:tbl>
    <w:p w14:paraId="2D54DAAE" w14:textId="77777777" w:rsidR="00EB6564" w:rsidRDefault="00EB6564" w:rsidP="00134EA2">
      <w:pPr>
        <w:pStyle w:val="05BODYT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1483"/>
        <w:gridCol w:w="1484"/>
        <w:gridCol w:w="1483"/>
        <w:gridCol w:w="1483"/>
        <w:gridCol w:w="1484"/>
      </w:tblGrid>
      <w:tr w:rsidR="00EB6564" w14:paraId="36F10883" w14:textId="77777777">
        <w:trPr>
          <w:trHeight w:val="6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B560AF9" w14:textId="77777777" w:rsidR="00EB6564" w:rsidRDefault="00EB6564">
            <w:pPr>
              <w:pStyle w:val="06bTABLEHEADERROW"/>
            </w:pPr>
            <w:r>
              <w:t>Station</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1EEFAA0E" w14:textId="77777777" w:rsidR="00EB6564" w:rsidRDefault="00EB6564">
            <w:pPr>
              <w:pStyle w:val="06bTABLEHEADERROW"/>
              <w:jc w:val="center"/>
            </w:pPr>
            <w:r>
              <w:t>1 hour</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B5BAC61" w14:textId="77777777" w:rsidR="00EB6564" w:rsidRDefault="00EB6564">
            <w:pPr>
              <w:pStyle w:val="06bTABLEHEADERROW"/>
              <w:jc w:val="center"/>
            </w:pPr>
            <w:r>
              <w:t>4 hours</w:t>
            </w:r>
          </w:p>
        </w:tc>
      </w:tr>
      <w:tr w:rsidR="00EB6564" w14:paraId="73D0269D" w14:textId="77777777" w:rsidTr="00032D97">
        <w:trPr>
          <w:trHeight w:val="60"/>
          <w:tblHeader/>
        </w:trPr>
        <w:tc>
          <w:tcPr>
            <w:tcW w:w="1483" w:type="dxa"/>
            <w:vMerge/>
            <w:tcBorders>
              <w:top w:val="single" w:sz="8" w:space="0" w:color="FFFFFF"/>
              <w:left w:val="single" w:sz="4" w:space="0" w:color="FFFFFF"/>
              <w:bottom w:val="single" w:sz="4" w:space="0" w:color="FFFFFF"/>
              <w:right w:val="single" w:sz="4" w:space="0" w:color="FFFFFF"/>
            </w:tcBorders>
          </w:tcPr>
          <w:p w14:paraId="57E06C6B" w14:textId="77777777" w:rsidR="00EB6564" w:rsidRDefault="00EB6564">
            <w:pPr>
              <w:pStyle w:val="NoParagraphStyle"/>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7AC351D" w14:textId="77777777" w:rsidR="00EB6564" w:rsidRDefault="00EB6564">
            <w:pPr>
              <w:pStyle w:val="06bTABLEHEADERROW"/>
              <w:jc w:val="center"/>
            </w:pPr>
            <w:r>
              <w:t>Number of exceedances</w:t>
            </w:r>
          </w:p>
        </w:tc>
        <w:tc>
          <w:tcPr>
            <w:tcW w:w="148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47E7720" w14:textId="77777777" w:rsidR="00EB6564" w:rsidRDefault="00EB6564">
            <w:pPr>
              <w:pStyle w:val="06bTABLEHEADERROW"/>
              <w:jc w:val="center"/>
            </w:pPr>
            <w:r>
              <w:t>NEPM goal compliance</w:t>
            </w:r>
          </w:p>
        </w:tc>
        <w:tc>
          <w:tcPr>
            <w:tcW w:w="148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2ACB516" w14:textId="77777777" w:rsidR="00EB6564" w:rsidRDefault="00EB6564">
            <w:pPr>
              <w:pStyle w:val="06bTABLEHEADERROW"/>
              <w:jc w:val="center"/>
            </w:pPr>
            <w:r>
              <w:t>Number of exceedances</w:t>
            </w:r>
          </w:p>
        </w:tc>
        <w:tc>
          <w:tcPr>
            <w:tcW w:w="148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6ABB1C8" w14:textId="77777777" w:rsidR="00EB6564" w:rsidRDefault="00EB6564">
            <w:pPr>
              <w:pStyle w:val="06bTABLEHEADERROW"/>
              <w:jc w:val="center"/>
            </w:pPr>
            <w:r>
              <w:t>NEPM goal compliance</w:t>
            </w:r>
          </w:p>
        </w:tc>
      </w:tr>
      <w:tr w:rsidR="00EB6564" w14:paraId="55D2CE7F" w14:textId="77777777" w:rsidTr="00032D97">
        <w:trPr>
          <w:trHeight w:val="60"/>
        </w:trPr>
        <w:tc>
          <w:tcPr>
            <w:tcW w:w="741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13664787" w14:textId="77777777" w:rsidR="00EB6564" w:rsidRDefault="00EB6564">
            <w:pPr>
              <w:pStyle w:val="06cTABLETEXT"/>
            </w:pPr>
            <w:r>
              <w:rPr>
                <w:rStyle w:val="BOLD"/>
              </w:rPr>
              <w:t>Sydney</w:t>
            </w:r>
          </w:p>
        </w:tc>
      </w:tr>
      <w:tr w:rsidR="00EB6564" w14:paraId="40EE617B"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348D0C8" w14:textId="77777777" w:rsidR="00EB6564" w:rsidRDefault="00EB6564">
            <w:pPr>
              <w:pStyle w:val="06cTABLETEXT"/>
            </w:pPr>
            <w:r>
              <w:t>Bargo</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B7E38AF" w14:textId="77777777" w:rsidR="00EB6564" w:rsidRDefault="00EB6564">
            <w:pPr>
              <w:pStyle w:val="06cTABLETEXT"/>
              <w:jc w:val="center"/>
            </w:pPr>
            <w:r>
              <w:t>1</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4517BF8"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50DD69A" w14:textId="77777777" w:rsidR="00EB6564" w:rsidRDefault="00EB6564">
            <w:pPr>
              <w:pStyle w:val="06cTABLETEXT"/>
              <w:jc w:val="center"/>
            </w:pPr>
            <w:r>
              <w:t>2</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EEE8EF0" w14:textId="77777777" w:rsidR="00EB6564" w:rsidRDefault="00EB6564">
            <w:pPr>
              <w:pStyle w:val="06cTABLETEXT"/>
              <w:jc w:val="center"/>
            </w:pPr>
            <w:r>
              <w:t>Not Met</w:t>
            </w:r>
          </w:p>
        </w:tc>
      </w:tr>
      <w:tr w:rsidR="00EB6564" w14:paraId="1A011049"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41E92CA" w14:textId="77777777" w:rsidR="00EB6564" w:rsidRDefault="00EB6564">
            <w:pPr>
              <w:pStyle w:val="06cTABLETEXT"/>
            </w:pPr>
            <w:r>
              <w:t xml:space="preserve">Bringelly </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3F20075" w14:textId="77777777" w:rsidR="00EB6564" w:rsidRDefault="00EB6564">
            <w:pPr>
              <w:pStyle w:val="06cTABLETEXT"/>
              <w:jc w:val="center"/>
            </w:pPr>
            <w:r>
              <w:t>2</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60887BC" w14:textId="77777777" w:rsidR="00EB6564" w:rsidRDefault="00EB6564">
            <w:pPr>
              <w:pStyle w:val="06cTABLETEXT"/>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04BFB42" w14:textId="77777777" w:rsidR="00EB6564" w:rsidRDefault="00EB6564">
            <w:pPr>
              <w:pStyle w:val="06cTABLETEXT"/>
              <w:jc w:val="center"/>
            </w:pPr>
            <w:r>
              <w:t>4</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DF2E326" w14:textId="77777777" w:rsidR="00EB6564" w:rsidRDefault="00EB6564">
            <w:pPr>
              <w:pStyle w:val="06cTABLETEXT"/>
              <w:jc w:val="center"/>
            </w:pPr>
            <w:r>
              <w:t>Not Met</w:t>
            </w:r>
          </w:p>
        </w:tc>
      </w:tr>
      <w:tr w:rsidR="00EB6564" w14:paraId="2CF23961"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5DA6E27" w14:textId="77777777" w:rsidR="00EB6564" w:rsidRDefault="00EB6564">
            <w:pPr>
              <w:pStyle w:val="06cTABLETEXT"/>
            </w:pPr>
            <w:r>
              <w:t xml:space="preserve">Camden </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7C09966" w14:textId="77777777" w:rsidR="00EB6564" w:rsidRDefault="00EB6564">
            <w:pPr>
              <w:pStyle w:val="06cTABLETEXT"/>
              <w:jc w:val="center"/>
            </w:pPr>
            <w:r>
              <w:t>2</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2C99F9E" w14:textId="77777777" w:rsidR="00EB6564" w:rsidRDefault="00EB6564">
            <w:pPr>
              <w:pStyle w:val="06cTABLETEXT"/>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BFD47C4" w14:textId="77777777" w:rsidR="00EB6564" w:rsidRDefault="00EB6564">
            <w:pPr>
              <w:pStyle w:val="06cTABLETEXT"/>
              <w:jc w:val="center"/>
            </w:pPr>
            <w:r>
              <w:t>4</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EB6FC19" w14:textId="77777777" w:rsidR="00EB6564" w:rsidRDefault="00EB6564">
            <w:pPr>
              <w:pStyle w:val="06cTABLETEXT"/>
              <w:jc w:val="center"/>
            </w:pPr>
            <w:r>
              <w:t>Not Met</w:t>
            </w:r>
          </w:p>
        </w:tc>
      </w:tr>
      <w:tr w:rsidR="00EB6564" w14:paraId="4D354D75"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3900019" w14:textId="77777777" w:rsidR="00EB6564" w:rsidRDefault="00EB6564">
            <w:pPr>
              <w:pStyle w:val="06cTABLETEXT"/>
            </w:pPr>
            <w:r>
              <w:t xml:space="preserve">Campbelltown West </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660B253" w14:textId="77777777" w:rsidR="00EB6564" w:rsidRDefault="00EB6564">
            <w:pPr>
              <w:pStyle w:val="06cTABLETEXT"/>
              <w:jc w:val="center"/>
            </w:pPr>
            <w:r>
              <w:t>3</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6A5DB90" w14:textId="77777777" w:rsidR="00EB6564" w:rsidRDefault="00EB6564">
            <w:pPr>
              <w:pStyle w:val="06cTABLETEXT"/>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E5131C" w14:textId="77777777" w:rsidR="00EB6564" w:rsidRDefault="00EB6564">
            <w:pPr>
              <w:pStyle w:val="06cTABLETEXT"/>
              <w:jc w:val="center"/>
            </w:pPr>
            <w:r>
              <w:t>4</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61ACCF4" w14:textId="77777777" w:rsidR="00EB6564" w:rsidRDefault="00EB6564">
            <w:pPr>
              <w:pStyle w:val="06cTABLETEXT"/>
              <w:jc w:val="center"/>
            </w:pPr>
            <w:r>
              <w:t>Not Met</w:t>
            </w:r>
          </w:p>
        </w:tc>
      </w:tr>
      <w:tr w:rsidR="00EB6564" w14:paraId="348EA475"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0E970C7" w14:textId="77777777" w:rsidR="00EB6564" w:rsidRDefault="00EB6564">
            <w:pPr>
              <w:pStyle w:val="06cTABLETEXT"/>
            </w:pPr>
            <w:r>
              <w:t xml:space="preserve">Chullora </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6982BA7"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6CF89B2"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2E25E50" w14:textId="77777777" w:rsidR="00EB6564" w:rsidRDefault="00EB6564">
            <w:pPr>
              <w:pStyle w:val="06cTABLETEXT"/>
              <w:jc w:val="center"/>
            </w:pPr>
            <w:r>
              <w:t>1</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148E53A" w14:textId="77777777" w:rsidR="00EB6564" w:rsidRDefault="00EB6564">
            <w:pPr>
              <w:pStyle w:val="06cTABLETEXT"/>
              <w:jc w:val="center"/>
            </w:pPr>
            <w:r>
              <w:t>Met</w:t>
            </w:r>
          </w:p>
        </w:tc>
      </w:tr>
      <w:tr w:rsidR="00EB6564" w14:paraId="161EC1A8"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F47F3CB" w14:textId="77777777" w:rsidR="00EB6564" w:rsidRDefault="00EB6564">
            <w:pPr>
              <w:pStyle w:val="06cTABLETEXT"/>
            </w:pPr>
            <w:r>
              <w:t xml:space="preserve">Earlwood </w:t>
            </w:r>
            <w:proofErr w:type="spellStart"/>
            <w:r>
              <w:t>lweeo</w:t>
            </w:r>
            <w:proofErr w:type="spellEnd"/>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660A409"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481DFB0"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56F246D" w14:textId="77777777" w:rsidR="00EB6564" w:rsidRDefault="00EB6564">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3D539FF" w14:textId="77777777" w:rsidR="00EB6564" w:rsidRDefault="00EB6564">
            <w:pPr>
              <w:pStyle w:val="06cTABLETEXT"/>
              <w:jc w:val="center"/>
            </w:pPr>
            <w:r>
              <w:t>Met</w:t>
            </w:r>
          </w:p>
        </w:tc>
      </w:tr>
      <w:tr w:rsidR="00EB6564" w14:paraId="20872949"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4F81197" w14:textId="77777777" w:rsidR="00EB6564" w:rsidRDefault="00EB6564">
            <w:pPr>
              <w:pStyle w:val="06cTABLETEXT"/>
            </w:pPr>
            <w:r>
              <w:t xml:space="preserve">Liverpool </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BC7933E" w14:textId="77777777" w:rsidR="00EB6564" w:rsidRDefault="00EB6564">
            <w:pPr>
              <w:pStyle w:val="06cTABLETEXT"/>
              <w:jc w:val="center"/>
            </w:pPr>
            <w:r>
              <w:t>1</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2686CA5"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B1CB57C" w14:textId="77777777" w:rsidR="00EB6564" w:rsidRDefault="00EB6564">
            <w:pPr>
              <w:pStyle w:val="06cTABLETEXT"/>
              <w:jc w:val="center"/>
            </w:pPr>
            <w:r>
              <w:t>3</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76B0AB9" w14:textId="77777777" w:rsidR="00EB6564" w:rsidRDefault="00EB6564">
            <w:pPr>
              <w:pStyle w:val="06cTABLETEXT"/>
              <w:jc w:val="center"/>
            </w:pPr>
            <w:r>
              <w:t>Not Met</w:t>
            </w:r>
          </w:p>
        </w:tc>
      </w:tr>
      <w:tr w:rsidR="00EB6564" w14:paraId="57A31E2B"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C479355" w14:textId="77777777" w:rsidR="00EB6564" w:rsidRDefault="00EB6564">
            <w:pPr>
              <w:pStyle w:val="06cTABLETEXT"/>
            </w:pPr>
            <w:r>
              <w:t>Macquarie Park</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EC1E76"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D597500"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BEA5C90" w14:textId="77777777" w:rsidR="00EB6564" w:rsidRDefault="00EB6564">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8EDD8CD" w14:textId="77777777" w:rsidR="00EB6564" w:rsidRDefault="00EB6564">
            <w:pPr>
              <w:pStyle w:val="06cTABLETEXT"/>
              <w:jc w:val="center"/>
            </w:pPr>
            <w:r>
              <w:t>Met</w:t>
            </w:r>
          </w:p>
        </w:tc>
      </w:tr>
      <w:tr w:rsidR="00EB6564" w14:paraId="25715CE2"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7C92E77" w14:textId="77777777" w:rsidR="00EB6564" w:rsidRDefault="00EB6564">
            <w:pPr>
              <w:pStyle w:val="06cTABLETEXT"/>
            </w:pPr>
            <w:r>
              <w:t xml:space="preserve">Oakdale </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C0852B6"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59F4E6"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414DADF" w14:textId="77777777" w:rsidR="00EB6564" w:rsidRDefault="00EB6564">
            <w:pPr>
              <w:pStyle w:val="06cTABLETEXT"/>
              <w:jc w:val="center"/>
            </w:pPr>
            <w:r>
              <w:t>2</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F1D6324" w14:textId="77777777" w:rsidR="00EB6564" w:rsidRDefault="00EB6564">
            <w:pPr>
              <w:pStyle w:val="06cTABLETEXT"/>
              <w:jc w:val="center"/>
            </w:pPr>
            <w:r>
              <w:t>Not Met</w:t>
            </w:r>
          </w:p>
        </w:tc>
      </w:tr>
      <w:tr w:rsidR="00EB6564" w14:paraId="6153CF7E"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90506DF" w14:textId="77777777" w:rsidR="00EB6564" w:rsidRDefault="00EB6564">
            <w:pPr>
              <w:pStyle w:val="06cTABLETEXT"/>
            </w:pPr>
            <w:r>
              <w:t>Parramatta North</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0E55867" w14:textId="77777777" w:rsidR="00EB6564" w:rsidRDefault="00EB6564">
            <w:pPr>
              <w:pStyle w:val="06cTABLETEXT"/>
              <w:jc w:val="center"/>
            </w:pPr>
            <w:r>
              <w:t>1</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97D3486"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354A8A2" w14:textId="77777777" w:rsidR="00EB6564" w:rsidRDefault="00EB6564">
            <w:pPr>
              <w:pStyle w:val="06cTABLETEXT"/>
              <w:jc w:val="center"/>
            </w:pPr>
            <w:r>
              <w:t>2</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1D63249" w14:textId="77777777" w:rsidR="00EB6564" w:rsidRDefault="00EB6564">
            <w:pPr>
              <w:pStyle w:val="06cTABLETEXT"/>
              <w:jc w:val="center"/>
            </w:pPr>
            <w:r>
              <w:t>Not Met</w:t>
            </w:r>
          </w:p>
        </w:tc>
      </w:tr>
      <w:tr w:rsidR="00EB6564" w14:paraId="1B7B5964"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74BFEB8" w14:textId="77777777" w:rsidR="00EB6564" w:rsidRDefault="00EB6564">
            <w:pPr>
              <w:pStyle w:val="06cTABLETEXT"/>
            </w:pPr>
            <w:r>
              <w:t xml:space="preserve">Prospect </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977D2E6" w14:textId="77777777" w:rsidR="00EB6564" w:rsidRDefault="00EB6564">
            <w:pPr>
              <w:pStyle w:val="06cTABLETEXT"/>
              <w:jc w:val="center"/>
            </w:pPr>
            <w:r>
              <w:t>1</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4E2BDA3"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991E842" w14:textId="77777777" w:rsidR="00EB6564" w:rsidRDefault="00EB6564">
            <w:pPr>
              <w:pStyle w:val="06cTABLETEXT"/>
              <w:jc w:val="center"/>
            </w:pPr>
            <w:r>
              <w:t>2</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D882835" w14:textId="77777777" w:rsidR="00EB6564" w:rsidRDefault="00EB6564">
            <w:pPr>
              <w:pStyle w:val="06cTABLETEXT"/>
              <w:jc w:val="center"/>
            </w:pPr>
            <w:r>
              <w:t>Not Met</w:t>
            </w:r>
          </w:p>
        </w:tc>
      </w:tr>
      <w:tr w:rsidR="00EB6564" w14:paraId="050EF579"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621069A" w14:textId="77777777" w:rsidR="00EB6564" w:rsidRDefault="00EB6564">
            <w:pPr>
              <w:pStyle w:val="06cTABLETEXT"/>
            </w:pPr>
            <w:r>
              <w:lastRenderedPageBreak/>
              <w:t>Randwick</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C072168"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89955FE"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D84C87E" w14:textId="77777777" w:rsidR="00EB6564" w:rsidRDefault="00EB6564">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A0C4DBC" w14:textId="77777777" w:rsidR="00EB6564" w:rsidRDefault="00EB6564">
            <w:pPr>
              <w:pStyle w:val="06cTABLETEXT"/>
              <w:jc w:val="center"/>
            </w:pPr>
            <w:r>
              <w:t>Met</w:t>
            </w:r>
          </w:p>
        </w:tc>
      </w:tr>
      <w:tr w:rsidR="00EB6564" w14:paraId="45564E7B"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9EBE412" w14:textId="77777777" w:rsidR="00EB6564" w:rsidRDefault="00EB6564">
            <w:pPr>
              <w:pStyle w:val="06cTABLETEXT"/>
            </w:pPr>
            <w:r>
              <w:t xml:space="preserve">Richmond </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9995A75" w14:textId="77777777" w:rsidR="00EB6564" w:rsidRDefault="00EB6564">
            <w:pPr>
              <w:pStyle w:val="06cTABLETEXT"/>
              <w:jc w:val="center"/>
            </w:pPr>
            <w:r>
              <w:t>1</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B302520"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10D28AC" w14:textId="77777777" w:rsidR="00EB6564" w:rsidRDefault="00EB6564">
            <w:pPr>
              <w:pStyle w:val="06cTABLETEXT"/>
              <w:jc w:val="center"/>
            </w:pPr>
            <w:r>
              <w:t>2</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DE25A0" w14:textId="77777777" w:rsidR="00EB6564" w:rsidRDefault="00EB6564">
            <w:pPr>
              <w:pStyle w:val="06cTABLETEXT"/>
              <w:jc w:val="center"/>
            </w:pPr>
            <w:r>
              <w:t>Not Met</w:t>
            </w:r>
          </w:p>
        </w:tc>
      </w:tr>
      <w:tr w:rsidR="00EB6564" w14:paraId="2F2D3206"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B0D98FB" w14:textId="77777777" w:rsidR="00EB6564" w:rsidRDefault="00EB6564">
            <w:pPr>
              <w:pStyle w:val="06cTABLETEXT"/>
            </w:pPr>
            <w:r>
              <w:t xml:space="preserve">Rozelle* </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3B295EB" w14:textId="77777777" w:rsidR="00EB6564" w:rsidRDefault="00EB6564">
            <w:pPr>
              <w:pStyle w:val="NoParagraphStyle"/>
              <w:spacing w:line="240" w:lineRule="auto"/>
              <w:textAlignment w:val="auto"/>
              <w:rPr>
                <w:rFonts w:ascii="Calibri" w:hAnsi="Calibri" w:cs="Calibri"/>
                <w:color w:val="auto"/>
              </w:rPr>
            </w:pP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52E562D" w14:textId="77777777" w:rsidR="00EB6564" w:rsidRDefault="00EB6564">
            <w:pPr>
              <w:pStyle w:val="NoParagraphStyle"/>
              <w:spacing w:line="240" w:lineRule="auto"/>
              <w:textAlignment w:val="auto"/>
              <w:rPr>
                <w:rFonts w:ascii="Calibri" w:hAnsi="Calibri" w:cs="Calibri"/>
                <w:color w:val="auto"/>
              </w:rPr>
            </w:pP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DACD549" w14:textId="77777777" w:rsidR="00EB6564" w:rsidRDefault="00EB6564">
            <w:pPr>
              <w:pStyle w:val="NoParagraphStyle"/>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A7F42A9" w14:textId="77777777" w:rsidR="00EB6564" w:rsidRDefault="00EB6564">
            <w:pPr>
              <w:pStyle w:val="06cTABLETEXT"/>
              <w:jc w:val="center"/>
            </w:pPr>
            <w:r>
              <w:t>ND</w:t>
            </w:r>
          </w:p>
        </w:tc>
      </w:tr>
      <w:tr w:rsidR="00EB6564" w14:paraId="6841038C"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3E4E7D8" w14:textId="77777777" w:rsidR="00EB6564" w:rsidRDefault="00EB6564">
            <w:pPr>
              <w:pStyle w:val="06cTABLETEXT"/>
            </w:pPr>
            <w:r>
              <w:t>St Marys</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F9F373D" w14:textId="77777777" w:rsidR="00EB6564" w:rsidRDefault="00EB6564">
            <w:pPr>
              <w:pStyle w:val="06cTABLETEXT"/>
              <w:jc w:val="center"/>
            </w:pPr>
            <w:r>
              <w:t>1</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A16FD0D"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EF67FB1" w14:textId="77777777" w:rsidR="00EB6564" w:rsidRDefault="00EB6564">
            <w:pPr>
              <w:pStyle w:val="06cTABLETEXT"/>
              <w:jc w:val="center"/>
            </w:pPr>
            <w:r>
              <w:t>2</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18D63F8" w14:textId="77777777" w:rsidR="00EB6564" w:rsidRDefault="00EB6564">
            <w:pPr>
              <w:pStyle w:val="06cTABLETEXT"/>
              <w:jc w:val="center"/>
            </w:pPr>
            <w:r>
              <w:t>Not Met</w:t>
            </w:r>
          </w:p>
        </w:tc>
      </w:tr>
      <w:tr w:rsidR="00EB6564" w14:paraId="428B0B59"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213205A0" w14:textId="77777777" w:rsidR="00EB6564" w:rsidRDefault="00EB6564">
            <w:pPr>
              <w:pStyle w:val="06cTABLETEXT"/>
            </w:pPr>
            <w:r>
              <w:rPr>
                <w:rStyle w:val="BOLD"/>
              </w:rPr>
              <w:t>Central Coast</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170E96F5" w14:textId="77777777" w:rsidR="00EB6564" w:rsidRDefault="00EB6564">
            <w:pPr>
              <w:pStyle w:val="NoParagraphStyle"/>
              <w:spacing w:line="240" w:lineRule="auto"/>
              <w:textAlignment w:val="auto"/>
              <w:rPr>
                <w:rFonts w:ascii="Calibri" w:hAnsi="Calibri" w:cs="Calibri"/>
                <w:color w:val="auto"/>
              </w:rPr>
            </w:pP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25C1E197" w14:textId="77777777" w:rsidR="00EB6564" w:rsidRDefault="00EB6564">
            <w:pPr>
              <w:pStyle w:val="NoParagraphStyle"/>
              <w:spacing w:line="240" w:lineRule="auto"/>
              <w:textAlignment w:val="auto"/>
              <w:rPr>
                <w:rFonts w:ascii="Calibri" w:hAnsi="Calibri" w:cs="Calibri"/>
                <w:color w:val="auto"/>
              </w:rPr>
            </w:pP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19F81442" w14:textId="77777777" w:rsidR="00EB6564" w:rsidRDefault="00EB6564">
            <w:pPr>
              <w:pStyle w:val="NoParagraphStyle"/>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5D2DD681" w14:textId="77777777" w:rsidR="00EB6564" w:rsidRDefault="00EB6564">
            <w:pPr>
              <w:pStyle w:val="NoParagraphStyle"/>
              <w:spacing w:line="240" w:lineRule="auto"/>
              <w:textAlignment w:val="auto"/>
              <w:rPr>
                <w:rFonts w:ascii="Calibri" w:hAnsi="Calibri" w:cs="Calibri"/>
                <w:color w:val="auto"/>
              </w:rPr>
            </w:pPr>
          </w:p>
        </w:tc>
      </w:tr>
      <w:tr w:rsidR="00EB6564" w14:paraId="0E434F2B"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B3F322A" w14:textId="77777777" w:rsidR="00EB6564" w:rsidRDefault="00EB6564">
            <w:pPr>
              <w:pStyle w:val="06cTABLETEXT"/>
            </w:pPr>
            <w:r>
              <w:t>Wyong</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274777B"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9189E32"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079CF63" w14:textId="77777777" w:rsidR="00EB6564" w:rsidRDefault="00EB6564">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C15E01C" w14:textId="77777777" w:rsidR="00EB6564" w:rsidRDefault="00EB6564">
            <w:pPr>
              <w:pStyle w:val="06cTABLETEXT"/>
              <w:jc w:val="center"/>
            </w:pPr>
            <w:r>
              <w:t>Met</w:t>
            </w:r>
          </w:p>
        </w:tc>
      </w:tr>
      <w:tr w:rsidR="00EB6564" w14:paraId="1CDA5254" w14:textId="77777777" w:rsidTr="00032D97">
        <w:trPr>
          <w:trHeight w:val="60"/>
        </w:trPr>
        <w:tc>
          <w:tcPr>
            <w:tcW w:w="741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740D28D" w14:textId="77777777" w:rsidR="00EB6564" w:rsidRDefault="00EB6564">
            <w:pPr>
              <w:pStyle w:val="06cTABLETEXT"/>
            </w:pPr>
            <w:r>
              <w:rPr>
                <w:rStyle w:val="BOLD"/>
              </w:rPr>
              <w:t>Illawarra</w:t>
            </w:r>
          </w:p>
        </w:tc>
      </w:tr>
      <w:tr w:rsidR="00EB6564" w14:paraId="1682428E"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E951197" w14:textId="77777777" w:rsidR="00EB6564" w:rsidRDefault="00EB6564">
            <w:pPr>
              <w:pStyle w:val="06cTABLETEXT"/>
            </w:pPr>
            <w:r>
              <w:t>Albion Park South</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7D0CD16"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5888F3"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F8AC8D0" w14:textId="77777777" w:rsidR="00EB6564" w:rsidRDefault="00EB6564">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46BB0A" w14:textId="77777777" w:rsidR="00EB6564" w:rsidRDefault="00EB6564">
            <w:pPr>
              <w:pStyle w:val="06cTABLETEXT"/>
              <w:jc w:val="center"/>
            </w:pPr>
            <w:r>
              <w:t>Met</w:t>
            </w:r>
          </w:p>
        </w:tc>
      </w:tr>
      <w:tr w:rsidR="00EB6564" w14:paraId="50E41FDC"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E4005D9" w14:textId="77777777" w:rsidR="00EB6564" w:rsidRDefault="00EB6564">
            <w:pPr>
              <w:pStyle w:val="06cTABLETEXT"/>
            </w:pPr>
            <w:r>
              <w:t>Kembla Grange</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92D1B85"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2856DF1"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D7B256" w14:textId="77777777" w:rsidR="00EB6564" w:rsidRDefault="00EB6564">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4E1436B" w14:textId="77777777" w:rsidR="00EB6564" w:rsidRDefault="00EB6564">
            <w:pPr>
              <w:pStyle w:val="06cTABLETEXT"/>
              <w:jc w:val="center"/>
            </w:pPr>
            <w:r>
              <w:t>Met</w:t>
            </w:r>
          </w:p>
        </w:tc>
      </w:tr>
      <w:tr w:rsidR="00EB6564" w14:paraId="259795BC"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AA71968" w14:textId="77777777" w:rsidR="00EB6564" w:rsidRDefault="00EB6564">
            <w:pPr>
              <w:pStyle w:val="06cTABLETEXT"/>
            </w:pPr>
            <w:r>
              <w:t>Wollongong</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786867E"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EE27633"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0DD67FB" w14:textId="77777777" w:rsidR="00EB6564" w:rsidRDefault="00EB6564">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EADFC7" w14:textId="77777777" w:rsidR="00EB6564" w:rsidRDefault="00EB6564">
            <w:pPr>
              <w:pStyle w:val="06cTABLETEXT"/>
              <w:jc w:val="center"/>
            </w:pPr>
            <w:r>
              <w:t>Met</w:t>
            </w:r>
          </w:p>
        </w:tc>
      </w:tr>
      <w:tr w:rsidR="00EB6564" w14:paraId="2358EFA3" w14:textId="77777777" w:rsidTr="00032D97">
        <w:trPr>
          <w:trHeight w:val="60"/>
        </w:trPr>
        <w:tc>
          <w:tcPr>
            <w:tcW w:w="741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35808DD" w14:textId="77777777" w:rsidR="00EB6564" w:rsidRDefault="00EB6564">
            <w:pPr>
              <w:pStyle w:val="06cTABLETEXT"/>
            </w:pPr>
            <w:r>
              <w:rPr>
                <w:rStyle w:val="BOLD"/>
              </w:rPr>
              <w:t>Lower Hunter</w:t>
            </w:r>
          </w:p>
        </w:tc>
      </w:tr>
      <w:tr w:rsidR="00EB6564" w14:paraId="4C024B58"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5EE0287" w14:textId="77777777" w:rsidR="00EB6564" w:rsidRDefault="00EB6564">
            <w:pPr>
              <w:pStyle w:val="06cTABLETEXT"/>
            </w:pPr>
            <w:r>
              <w:t>Beresfield</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6E3C55E" w14:textId="77777777" w:rsidR="00EB6564" w:rsidRDefault="00EB6564">
            <w:pPr>
              <w:pStyle w:val="06cTABLETEXT"/>
              <w:jc w:val="center"/>
            </w:pPr>
            <w:r>
              <w:t>1</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B177632"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E1E4E35" w14:textId="77777777" w:rsidR="00EB6564" w:rsidRDefault="00EB6564">
            <w:pPr>
              <w:pStyle w:val="06cTABLETEXT"/>
              <w:jc w:val="center"/>
            </w:pPr>
            <w:r>
              <w:t>1</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BAB0C43" w14:textId="77777777" w:rsidR="00EB6564" w:rsidRDefault="00EB6564">
            <w:pPr>
              <w:pStyle w:val="06cTABLETEXT"/>
              <w:jc w:val="center"/>
            </w:pPr>
            <w:r>
              <w:t>Met</w:t>
            </w:r>
          </w:p>
        </w:tc>
      </w:tr>
      <w:tr w:rsidR="00EB6564" w14:paraId="0F2A83C1"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F11431E" w14:textId="77777777" w:rsidR="00EB6564" w:rsidRDefault="00EB6564">
            <w:pPr>
              <w:pStyle w:val="06cTABLETEXT"/>
            </w:pPr>
            <w:r>
              <w:t>Newcastle</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44888B4"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DB11AB7"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E5A903B" w14:textId="77777777" w:rsidR="00EB6564" w:rsidRDefault="00EB6564">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35C18A6" w14:textId="77777777" w:rsidR="00EB6564" w:rsidRDefault="00EB6564">
            <w:pPr>
              <w:pStyle w:val="06cTABLETEXT"/>
              <w:jc w:val="center"/>
            </w:pPr>
            <w:r>
              <w:t>Met</w:t>
            </w:r>
          </w:p>
        </w:tc>
      </w:tr>
      <w:tr w:rsidR="00EB6564" w14:paraId="68FBA23B"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D0D48B8" w14:textId="77777777" w:rsidR="00EB6564" w:rsidRDefault="00EB6564">
            <w:pPr>
              <w:pStyle w:val="06cTABLETEXT"/>
            </w:pPr>
            <w:r>
              <w:t>Wallsend</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1ABB13B"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2BAFDFA"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AAE159E" w14:textId="77777777" w:rsidR="00EB6564" w:rsidRDefault="00EB6564">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803847" w14:textId="77777777" w:rsidR="00EB6564" w:rsidRDefault="00EB6564">
            <w:pPr>
              <w:pStyle w:val="06cTABLETEXT"/>
              <w:jc w:val="center"/>
            </w:pPr>
            <w:r>
              <w:t>Met</w:t>
            </w:r>
          </w:p>
        </w:tc>
      </w:tr>
      <w:tr w:rsidR="00EB6564" w14:paraId="3D762213" w14:textId="77777777" w:rsidTr="00032D97">
        <w:trPr>
          <w:trHeight w:val="60"/>
        </w:trPr>
        <w:tc>
          <w:tcPr>
            <w:tcW w:w="741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188B923E" w14:textId="77777777" w:rsidR="00EB6564" w:rsidRDefault="00EB6564">
            <w:pPr>
              <w:pStyle w:val="06cTABLETEXT"/>
            </w:pPr>
            <w:r>
              <w:rPr>
                <w:rStyle w:val="BOLD"/>
              </w:rPr>
              <w:t>Regional New South Wales</w:t>
            </w:r>
          </w:p>
        </w:tc>
      </w:tr>
      <w:tr w:rsidR="00EB6564" w14:paraId="0E5B5634" w14:textId="77777777" w:rsidTr="00032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8060CAA" w14:textId="77777777" w:rsidR="00EB6564" w:rsidRDefault="00EB6564">
            <w:pPr>
              <w:pStyle w:val="06cTABLETEXT"/>
            </w:pPr>
            <w:r>
              <w:t>Gunnedah**</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B20C6D4" w14:textId="77777777" w:rsidR="00EB6564" w:rsidRDefault="00EB6564">
            <w:pPr>
              <w:pStyle w:val="NoParagraphStyle"/>
              <w:spacing w:line="240" w:lineRule="auto"/>
              <w:textAlignment w:val="auto"/>
              <w:rPr>
                <w:rFonts w:ascii="Calibri" w:hAnsi="Calibri" w:cs="Calibri"/>
                <w:color w:val="auto"/>
              </w:rPr>
            </w:pP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3786A3D" w14:textId="77777777" w:rsidR="00EB6564" w:rsidRDefault="00EB6564">
            <w:pPr>
              <w:pStyle w:val="NoParagraphStyle"/>
              <w:spacing w:line="240" w:lineRule="auto"/>
              <w:textAlignment w:val="auto"/>
              <w:rPr>
                <w:rFonts w:ascii="Calibri" w:hAnsi="Calibri" w:cs="Calibri"/>
                <w:color w:val="auto"/>
              </w:rPr>
            </w:pP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D907AFA" w14:textId="77777777" w:rsidR="00EB6564" w:rsidRDefault="00EB6564">
            <w:pPr>
              <w:pStyle w:val="NoParagraphStyle"/>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ACABA56" w14:textId="77777777" w:rsidR="00EB6564" w:rsidRDefault="00EB6564">
            <w:pPr>
              <w:pStyle w:val="06cTABLETEXT"/>
              <w:jc w:val="center"/>
            </w:pPr>
            <w:r>
              <w:t>ND</w:t>
            </w:r>
          </w:p>
        </w:tc>
      </w:tr>
    </w:tbl>
    <w:p w14:paraId="5AB470F9" w14:textId="77777777" w:rsidR="00EB6564" w:rsidRDefault="00EB6564" w:rsidP="00397A8C">
      <w:pPr>
        <w:pStyle w:val="07FOOTNOTES"/>
        <w:spacing w:after="0"/>
      </w:pPr>
      <w:r>
        <w:t xml:space="preserve">* </w:t>
      </w:r>
      <w:r>
        <w:tab/>
        <w:t>ND (not determined) – the Rozelle station non-compliant with &gt; 75% data availability criteria for ozone due to recommissioning of the site in 2018</w:t>
      </w:r>
    </w:p>
    <w:p w14:paraId="575EF246" w14:textId="77777777" w:rsidR="00EB6564" w:rsidRDefault="00EB6564" w:rsidP="00EB6564">
      <w:pPr>
        <w:pStyle w:val="07FOOTNOTES"/>
        <w:spacing w:after="170"/>
      </w:pPr>
      <w:r>
        <w:t>**</w:t>
      </w:r>
      <w:r>
        <w:tab/>
        <w:t>ND (not determined) – Gunnedah station non-compliant with &gt; 75% data availability criteria for ozone during quarter 1 due to late commissioning.</w:t>
      </w:r>
    </w:p>
    <w:p w14:paraId="70813DE5" w14:textId="22E42AC1" w:rsidR="00EB6564" w:rsidRDefault="00EB6564" w:rsidP="00EB6564">
      <w:pPr>
        <w:pStyle w:val="05BODYTEXT"/>
      </w:pPr>
      <w:r>
        <w:t>During 2018, compliance with the AAQ NEPM goals for ozone was demonstrated at 18 of 23 sites for the one-hour goal and 11 of 23 sites for the four-hour goal.</w:t>
      </w:r>
    </w:p>
    <w:p w14:paraId="264903B0" w14:textId="5A1F2BB0" w:rsidR="00134EA2" w:rsidRDefault="00134EA2">
      <w:pPr>
        <w:rPr>
          <w:rFonts w:ascii="Calibri" w:hAnsi="Calibri" w:cs="Calibri"/>
          <w:color w:val="000000"/>
          <w:sz w:val="16"/>
          <w:szCs w:val="16"/>
        </w:rPr>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1696"/>
        <w:gridCol w:w="5731"/>
      </w:tblGrid>
      <w:tr w:rsidR="00EB6564" w14:paraId="772930B1" w14:textId="77777777" w:rsidTr="00134EA2">
        <w:trPr>
          <w:trHeight w:val="60"/>
          <w:tblHeader/>
        </w:trPr>
        <w:tc>
          <w:tcPr>
            <w:tcW w:w="1696" w:type="dxa"/>
            <w:vMerge w:val="restart"/>
            <w:tcMar>
              <w:top w:w="85" w:type="dxa"/>
              <w:left w:w="85" w:type="dxa"/>
              <w:bottom w:w="85" w:type="dxa"/>
              <w:right w:w="85" w:type="dxa"/>
            </w:tcMar>
          </w:tcPr>
          <w:p w14:paraId="29306B8F" w14:textId="77777777" w:rsidR="00EB6564" w:rsidRDefault="00EB6564">
            <w:pPr>
              <w:pStyle w:val="CHEMICALCHEMTABLES"/>
            </w:pPr>
            <w:r>
              <w:lastRenderedPageBreak/>
              <w:t>SO</w:t>
            </w:r>
            <w:r>
              <w:rPr>
                <w:vertAlign w:val="subscript"/>
              </w:rPr>
              <w:t>2</w:t>
            </w:r>
          </w:p>
        </w:tc>
        <w:tc>
          <w:tcPr>
            <w:tcW w:w="5731" w:type="dxa"/>
            <w:tcMar>
              <w:top w:w="85" w:type="dxa"/>
              <w:left w:w="85" w:type="dxa"/>
              <w:bottom w:w="85" w:type="dxa"/>
              <w:right w:w="85" w:type="dxa"/>
            </w:tcMar>
          </w:tcPr>
          <w:p w14:paraId="419B200C" w14:textId="77777777" w:rsidR="00EB6564" w:rsidRDefault="00EB6564">
            <w:pPr>
              <w:pStyle w:val="CHEMICALfullnameCHEMTABLES"/>
            </w:pPr>
            <w:r>
              <w:t>Sulfur dioxide</w:t>
            </w:r>
          </w:p>
        </w:tc>
      </w:tr>
      <w:tr w:rsidR="00EB6564" w14:paraId="76516846" w14:textId="77777777" w:rsidTr="00134EA2">
        <w:trPr>
          <w:trHeight w:val="60"/>
          <w:tblHeader/>
        </w:trPr>
        <w:tc>
          <w:tcPr>
            <w:tcW w:w="1696" w:type="dxa"/>
            <w:vMerge/>
          </w:tcPr>
          <w:p w14:paraId="023DE952" w14:textId="77777777" w:rsidR="00EB6564" w:rsidRDefault="00EB6564">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1C2C9B60" w14:textId="77777777" w:rsidR="00EB6564" w:rsidRDefault="00EB6564">
            <w:pPr>
              <w:pStyle w:val="NEPMstandardCHEMTABLES"/>
            </w:pPr>
            <w:r>
              <w:t>(NEPM standard: 1 hour = 0.20ppm, 1 day = 0.08ppm, 1 year = 0.02ppm)</w:t>
            </w:r>
          </w:p>
        </w:tc>
      </w:tr>
      <w:tr w:rsidR="00EB6564" w14:paraId="3D31BAB3" w14:textId="77777777" w:rsidTr="00134EA2">
        <w:trPr>
          <w:trHeight w:hRule="exact" w:val="113"/>
        </w:trPr>
        <w:tc>
          <w:tcPr>
            <w:tcW w:w="1696" w:type="dxa"/>
            <w:tcMar>
              <w:top w:w="85" w:type="dxa"/>
              <w:left w:w="85" w:type="dxa"/>
              <w:bottom w:w="85" w:type="dxa"/>
              <w:right w:w="85" w:type="dxa"/>
            </w:tcMar>
          </w:tcPr>
          <w:p w14:paraId="2C1A3154" w14:textId="77777777" w:rsidR="00EB6564" w:rsidRDefault="00EB6564">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03E32C93" w14:textId="77777777" w:rsidR="00EB6564" w:rsidRDefault="00EB6564">
            <w:pPr>
              <w:pStyle w:val="NoParagraphStyle"/>
              <w:spacing w:line="240" w:lineRule="auto"/>
              <w:textAlignment w:val="auto"/>
              <w:rPr>
                <w:rFonts w:ascii="Calibri" w:hAnsi="Calibri" w:cs="Calibri"/>
                <w:color w:val="auto"/>
              </w:rPr>
            </w:pPr>
          </w:p>
        </w:tc>
      </w:tr>
    </w:tbl>
    <w:p w14:paraId="37D440D1"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1186"/>
        <w:gridCol w:w="1059"/>
        <w:gridCol w:w="1060"/>
        <w:gridCol w:w="1059"/>
        <w:gridCol w:w="1060"/>
        <w:gridCol w:w="1059"/>
        <w:gridCol w:w="1060"/>
      </w:tblGrid>
      <w:tr w:rsidR="00EB6564" w14:paraId="5E4BFC18" w14:textId="77777777">
        <w:trPr>
          <w:trHeight w:val="60"/>
          <w:tblHeader/>
        </w:trPr>
        <w:tc>
          <w:tcPr>
            <w:tcW w:w="1186"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4C758F5" w14:textId="77777777" w:rsidR="00EB6564" w:rsidRDefault="00EB6564" w:rsidP="00134EA2">
            <w:pPr>
              <w:pStyle w:val="06bTABLEHEADERROW"/>
              <w:spacing w:after="0" w:line="240" w:lineRule="auto"/>
            </w:pPr>
            <w:r>
              <w:t>Station</w:t>
            </w:r>
          </w:p>
        </w:tc>
        <w:tc>
          <w:tcPr>
            <w:tcW w:w="2119"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EAC9056" w14:textId="77777777" w:rsidR="00EB6564" w:rsidRDefault="00EB6564" w:rsidP="00134EA2">
            <w:pPr>
              <w:pStyle w:val="06bTABLEHEADERROW"/>
              <w:spacing w:after="0" w:line="240" w:lineRule="auto"/>
              <w:jc w:val="center"/>
            </w:pPr>
            <w:r>
              <w:t>1 hour</w:t>
            </w:r>
          </w:p>
        </w:tc>
        <w:tc>
          <w:tcPr>
            <w:tcW w:w="2119"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D2A0B35" w14:textId="77777777" w:rsidR="00EB6564" w:rsidRDefault="00EB6564" w:rsidP="00134EA2">
            <w:pPr>
              <w:pStyle w:val="06bTABLEHEADERROW"/>
              <w:spacing w:after="0" w:line="240" w:lineRule="auto"/>
              <w:jc w:val="center"/>
            </w:pPr>
            <w:r>
              <w:t>1 day</w:t>
            </w:r>
          </w:p>
        </w:tc>
        <w:tc>
          <w:tcPr>
            <w:tcW w:w="2119"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0FCD388" w14:textId="77777777" w:rsidR="00EB6564" w:rsidRDefault="00EB6564" w:rsidP="00134EA2">
            <w:pPr>
              <w:pStyle w:val="06bTABLEHEADERROW"/>
              <w:spacing w:after="0" w:line="240" w:lineRule="auto"/>
              <w:jc w:val="center"/>
            </w:pPr>
            <w:r>
              <w:t>1 year</w:t>
            </w:r>
          </w:p>
        </w:tc>
      </w:tr>
      <w:tr w:rsidR="00EB6564" w14:paraId="60C1E64B" w14:textId="77777777" w:rsidTr="00032D97">
        <w:trPr>
          <w:trHeight w:val="60"/>
          <w:tblHeader/>
        </w:trPr>
        <w:tc>
          <w:tcPr>
            <w:tcW w:w="1186" w:type="dxa"/>
            <w:vMerge/>
            <w:tcBorders>
              <w:top w:val="single" w:sz="8" w:space="0" w:color="FFFFFF"/>
              <w:left w:val="single" w:sz="4" w:space="0" w:color="FFFFFF"/>
              <w:bottom w:val="single" w:sz="8" w:space="0" w:color="FFFFFF"/>
              <w:right w:val="single" w:sz="4" w:space="0" w:color="FFFFFF"/>
            </w:tcBorders>
          </w:tcPr>
          <w:p w14:paraId="24130FF1" w14:textId="77777777" w:rsidR="00EB6564" w:rsidRDefault="00EB6564" w:rsidP="00134EA2">
            <w:pPr>
              <w:pStyle w:val="NoParagraphStyle"/>
              <w:spacing w:line="240" w:lineRule="auto"/>
              <w:textAlignment w:val="auto"/>
              <w:rPr>
                <w:rFonts w:ascii="Calibri" w:hAnsi="Calibri" w:cs="Calibri"/>
                <w:color w:val="auto"/>
              </w:rPr>
            </w:pPr>
          </w:p>
        </w:tc>
        <w:tc>
          <w:tcPr>
            <w:tcW w:w="105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A57679F" w14:textId="77777777" w:rsidR="00EB6564" w:rsidRDefault="00EB6564" w:rsidP="00134EA2">
            <w:pPr>
              <w:pStyle w:val="06bTABLEHEADERROW"/>
              <w:spacing w:after="0" w:line="240" w:lineRule="auto"/>
              <w:jc w:val="center"/>
            </w:pPr>
            <w:r>
              <w:t>Number of exceedances</w:t>
            </w:r>
          </w:p>
        </w:tc>
        <w:tc>
          <w:tcPr>
            <w:tcW w:w="10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62EF4C9" w14:textId="77777777" w:rsidR="00EB6564" w:rsidRDefault="00EB6564" w:rsidP="00134EA2">
            <w:pPr>
              <w:pStyle w:val="06bTABLEHEADERROW"/>
              <w:spacing w:after="0" w:line="240" w:lineRule="auto"/>
              <w:jc w:val="center"/>
            </w:pPr>
            <w:r>
              <w:t>NEPM goal compliance</w:t>
            </w:r>
          </w:p>
        </w:tc>
        <w:tc>
          <w:tcPr>
            <w:tcW w:w="105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2719B6F" w14:textId="77777777" w:rsidR="00EB6564" w:rsidRDefault="00EB6564" w:rsidP="00134EA2">
            <w:pPr>
              <w:pStyle w:val="06bTABLEHEADERROW"/>
              <w:spacing w:after="0" w:line="240" w:lineRule="auto"/>
              <w:jc w:val="center"/>
            </w:pPr>
            <w:r>
              <w:t>Number of exceedances</w:t>
            </w:r>
          </w:p>
        </w:tc>
        <w:tc>
          <w:tcPr>
            <w:tcW w:w="10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B64D80D" w14:textId="77777777" w:rsidR="00EB6564" w:rsidRDefault="00EB6564" w:rsidP="00134EA2">
            <w:pPr>
              <w:pStyle w:val="06bTABLEHEADERROW"/>
              <w:spacing w:after="0" w:line="240" w:lineRule="auto"/>
              <w:jc w:val="center"/>
            </w:pPr>
            <w:r>
              <w:t>NEPM goal compliance</w:t>
            </w:r>
          </w:p>
        </w:tc>
        <w:tc>
          <w:tcPr>
            <w:tcW w:w="105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6C145B0" w14:textId="77777777" w:rsidR="00EB6564" w:rsidRDefault="00EB6564" w:rsidP="00134EA2">
            <w:pPr>
              <w:pStyle w:val="06bTABLEHEADERROW"/>
              <w:spacing w:after="0" w:line="240" w:lineRule="auto"/>
              <w:jc w:val="center"/>
            </w:pPr>
            <w:r>
              <w:t>Annual average (ppm)</w:t>
            </w:r>
          </w:p>
        </w:tc>
        <w:tc>
          <w:tcPr>
            <w:tcW w:w="10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F9B380B" w14:textId="77777777" w:rsidR="00EB6564" w:rsidRDefault="00EB6564" w:rsidP="00134EA2">
            <w:pPr>
              <w:pStyle w:val="06bTABLEHEADERROW"/>
              <w:spacing w:after="0" w:line="240" w:lineRule="auto"/>
              <w:jc w:val="center"/>
            </w:pPr>
            <w:r>
              <w:t>NEPM goal compliance</w:t>
            </w:r>
          </w:p>
        </w:tc>
      </w:tr>
      <w:tr w:rsidR="00EB6564" w14:paraId="277F50FE" w14:textId="77777777" w:rsidTr="00032D97">
        <w:trPr>
          <w:trHeight w:val="60"/>
        </w:trPr>
        <w:tc>
          <w:tcPr>
            <w:tcW w:w="1186" w:type="dxa"/>
            <w:tcBorders>
              <w:top w:val="single" w:sz="8"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9ACC575" w14:textId="77777777" w:rsidR="00EB6564" w:rsidRDefault="00EB6564" w:rsidP="00134EA2">
            <w:pPr>
              <w:pStyle w:val="06cTABLETEXT"/>
              <w:spacing w:after="0" w:line="240" w:lineRule="auto"/>
            </w:pPr>
            <w:r>
              <w:t>Sydney</w:t>
            </w:r>
          </w:p>
        </w:tc>
        <w:tc>
          <w:tcPr>
            <w:tcW w:w="1059" w:type="dxa"/>
            <w:tcBorders>
              <w:top w:val="single" w:sz="8"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41FD6CC"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8"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48019EB" w14:textId="77777777" w:rsidR="00EB6564" w:rsidRDefault="00EB6564" w:rsidP="00134EA2">
            <w:pPr>
              <w:pStyle w:val="NoParagraphStyle"/>
              <w:spacing w:line="240" w:lineRule="auto"/>
              <w:textAlignment w:val="auto"/>
              <w:rPr>
                <w:rFonts w:ascii="Calibri" w:hAnsi="Calibri" w:cs="Calibri"/>
                <w:color w:val="auto"/>
              </w:rPr>
            </w:pPr>
          </w:p>
        </w:tc>
        <w:tc>
          <w:tcPr>
            <w:tcW w:w="1059" w:type="dxa"/>
            <w:tcBorders>
              <w:top w:val="single" w:sz="8"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16EFCA1"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8"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9DE5F10" w14:textId="77777777" w:rsidR="00EB6564" w:rsidRDefault="00EB6564" w:rsidP="00134EA2">
            <w:pPr>
              <w:pStyle w:val="NoParagraphStyle"/>
              <w:spacing w:line="240" w:lineRule="auto"/>
              <w:textAlignment w:val="auto"/>
              <w:rPr>
                <w:rFonts w:ascii="Calibri" w:hAnsi="Calibri" w:cs="Calibri"/>
                <w:color w:val="auto"/>
              </w:rPr>
            </w:pPr>
          </w:p>
        </w:tc>
        <w:tc>
          <w:tcPr>
            <w:tcW w:w="1059" w:type="dxa"/>
            <w:tcBorders>
              <w:top w:val="single" w:sz="8"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2F1D9F5"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8"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3434A1E" w14:textId="77777777" w:rsidR="00EB6564" w:rsidRDefault="00EB6564" w:rsidP="00134EA2">
            <w:pPr>
              <w:pStyle w:val="NoParagraphStyle"/>
              <w:spacing w:line="240" w:lineRule="auto"/>
              <w:textAlignment w:val="auto"/>
              <w:rPr>
                <w:rFonts w:ascii="Calibri" w:hAnsi="Calibri" w:cs="Calibri"/>
                <w:color w:val="auto"/>
              </w:rPr>
            </w:pPr>
          </w:p>
        </w:tc>
      </w:tr>
      <w:tr w:rsidR="00EB6564" w14:paraId="3119C73E"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A52EFEC" w14:textId="77777777" w:rsidR="00EB6564" w:rsidRDefault="00EB6564" w:rsidP="00134EA2">
            <w:pPr>
              <w:pStyle w:val="06cTABLETEXT"/>
              <w:spacing w:after="0" w:line="240" w:lineRule="auto"/>
            </w:pPr>
            <w:r>
              <w:t>Bargo</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ACB0DCC"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ADD1584"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E8F2A97"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561C131"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23D4293" w14:textId="77777777" w:rsidR="00EB6564" w:rsidRDefault="00EB6564" w:rsidP="00134EA2">
            <w:pPr>
              <w:pStyle w:val="06cTABLETEXT"/>
              <w:spacing w:after="0" w:line="240" w:lineRule="auto"/>
              <w:jc w:val="center"/>
            </w:pPr>
            <w:r>
              <w:t>&lt; 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32FF013" w14:textId="77777777" w:rsidR="00EB6564" w:rsidRDefault="00EB6564" w:rsidP="00134EA2">
            <w:pPr>
              <w:pStyle w:val="06cTABLETEXT"/>
              <w:spacing w:after="0" w:line="240" w:lineRule="auto"/>
              <w:jc w:val="center"/>
            </w:pPr>
            <w:r>
              <w:t>Met</w:t>
            </w:r>
          </w:p>
        </w:tc>
      </w:tr>
      <w:tr w:rsidR="00EB6564" w14:paraId="0F833E1E"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4FD7428" w14:textId="77777777" w:rsidR="00EB6564" w:rsidRDefault="00EB6564" w:rsidP="00134EA2">
            <w:pPr>
              <w:pStyle w:val="06cTABLETEXT"/>
              <w:spacing w:after="0" w:line="240" w:lineRule="auto"/>
            </w:pPr>
            <w:r>
              <w:t>Bringelly</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5E0C2E"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5061EE6"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6DC1D65"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5607C3D"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18B141D" w14:textId="77777777" w:rsidR="00EB6564" w:rsidRDefault="00EB6564" w:rsidP="00134EA2">
            <w:pPr>
              <w:pStyle w:val="06cTABLETEXT"/>
              <w:spacing w:after="0" w:line="240" w:lineRule="auto"/>
              <w:jc w:val="center"/>
            </w:pPr>
            <w:r>
              <w:t>&lt; 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F8F8237" w14:textId="77777777" w:rsidR="00EB6564" w:rsidRDefault="00EB6564" w:rsidP="00134EA2">
            <w:pPr>
              <w:pStyle w:val="06cTABLETEXT"/>
              <w:spacing w:after="0" w:line="240" w:lineRule="auto"/>
              <w:jc w:val="center"/>
            </w:pPr>
            <w:r>
              <w:t>Met</w:t>
            </w:r>
          </w:p>
        </w:tc>
      </w:tr>
      <w:tr w:rsidR="00EB6564" w14:paraId="553C54AA"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F2B8F9" w14:textId="77777777" w:rsidR="00EB6564" w:rsidRDefault="00EB6564" w:rsidP="00134EA2">
            <w:pPr>
              <w:pStyle w:val="06cTABLETEXT"/>
              <w:spacing w:after="0" w:line="240" w:lineRule="auto"/>
            </w:pPr>
            <w:r>
              <w:t>Campbelltown West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2AF0B83"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0597F60"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4785719"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7B23007"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9E93D22" w14:textId="77777777" w:rsidR="00EB6564" w:rsidRDefault="00EB6564" w:rsidP="00134EA2">
            <w:pPr>
              <w:pStyle w:val="06cTABLETEXT"/>
              <w:spacing w:after="0" w:line="240" w:lineRule="auto"/>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3DB0ADC" w14:textId="77777777" w:rsidR="00EB6564" w:rsidRDefault="00EB6564" w:rsidP="00134EA2">
            <w:pPr>
              <w:pStyle w:val="06cTABLETEXT"/>
              <w:spacing w:after="0" w:line="240" w:lineRule="auto"/>
              <w:jc w:val="center"/>
            </w:pPr>
            <w:r>
              <w:t>Met</w:t>
            </w:r>
          </w:p>
        </w:tc>
      </w:tr>
      <w:tr w:rsidR="00EB6564" w14:paraId="5637DDB9"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688E730" w14:textId="77777777" w:rsidR="00EB6564" w:rsidRDefault="00EB6564" w:rsidP="00134EA2">
            <w:pPr>
              <w:pStyle w:val="06cTABLETEXT"/>
              <w:spacing w:after="0" w:line="240" w:lineRule="auto"/>
            </w:pPr>
            <w:r>
              <w:t>Chullora</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D19BF5B"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FCED242"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C6523C3"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F19DE5B"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E744644" w14:textId="77777777" w:rsidR="00EB6564" w:rsidRDefault="00EB6564" w:rsidP="00134EA2">
            <w:pPr>
              <w:pStyle w:val="06cTABLETEXT"/>
              <w:spacing w:after="0" w:line="240" w:lineRule="auto"/>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DB86642" w14:textId="77777777" w:rsidR="00EB6564" w:rsidRDefault="00EB6564" w:rsidP="00134EA2">
            <w:pPr>
              <w:pStyle w:val="06cTABLETEXT"/>
              <w:spacing w:after="0" w:line="240" w:lineRule="auto"/>
              <w:jc w:val="center"/>
            </w:pPr>
            <w:r>
              <w:t>Met</w:t>
            </w:r>
          </w:p>
        </w:tc>
      </w:tr>
      <w:tr w:rsidR="00EB6564" w14:paraId="3A9D2E65"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41E3D7" w14:textId="77777777" w:rsidR="00EB6564" w:rsidRDefault="00EB6564" w:rsidP="00134EA2">
            <w:pPr>
              <w:pStyle w:val="06cTABLETEXT"/>
              <w:spacing w:after="0" w:line="240" w:lineRule="auto"/>
            </w:pPr>
            <w:r>
              <w:t>Liverpool</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2CE7C95"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68E32EC"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8447CED"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67946DE"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5A0AA62" w14:textId="77777777" w:rsidR="00EB6564" w:rsidRDefault="00EB6564" w:rsidP="00134EA2">
            <w:pPr>
              <w:pStyle w:val="06cTABLETEXT"/>
              <w:spacing w:after="0" w:line="240" w:lineRule="auto"/>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FB5557C" w14:textId="77777777" w:rsidR="00EB6564" w:rsidRDefault="00EB6564" w:rsidP="00134EA2">
            <w:pPr>
              <w:pStyle w:val="06cTABLETEXT"/>
              <w:spacing w:after="0" w:line="240" w:lineRule="auto"/>
              <w:jc w:val="center"/>
            </w:pPr>
            <w:r>
              <w:t>Met</w:t>
            </w:r>
          </w:p>
        </w:tc>
      </w:tr>
      <w:tr w:rsidR="00EB6564" w14:paraId="45B821ED"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B09A2F2" w14:textId="77777777" w:rsidR="00EB6564" w:rsidRDefault="00EB6564" w:rsidP="00134EA2">
            <w:pPr>
              <w:pStyle w:val="06cTABLETEXT"/>
              <w:spacing w:after="0" w:line="240" w:lineRule="auto"/>
            </w:pPr>
            <w:r>
              <w:t>Macquarie Park</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BBCF7F9"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B821866"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8EECE27"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C67AADA"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0122A44" w14:textId="77777777" w:rsidR="00EB6564" w:rsidRDefault="00EB6564" w:rsidP="00134EA2">
            <w:pPr>
              <w:pStyle w:val="06cTABLETEXT"/>
              <w:spacing w:after="0" w:line="240" w:lineRule="auto"/>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3EC279A" w14:textId="77777777" w:rsidR="00EB6564" w:rsidRDefault="00EB6564" w:rsidP="00134EA2">
            <w:pPr>
              <w:pStyle w:val="06cTABLETEXT"/>
              <w:spacing w:after="0" w:line="240" w:lineRule="auto"/>
              <w:jc w:val="center"/>
            </w:pPr>
            <w:r>
              <w:t>Met</w:t>
            </w:r>
          </w:p>
        </w:tc>
      </w:tr>
      <w:tr w:rsidR="00EB6564" w14:paraId="7E92FA75"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3FA58FD" w14:textId="77777777" w:rsidR="00EB6564" w:rsidRDefault="00EB6564" w:rsidP="00134EA2">
            <w:pPr>
              <w:pStyle w:val="06cTABLETEXT"/>
              <w:spacing w:after="0" w:line="240" w:lineRule="auto"/>
            </w:pPr>
            <w:r>
              <w:t>Parramatta North</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634BE38"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726227"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F2C5D18"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FC1CEB"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9EE0383" w14:textId="77777777" w:rsidR="00EB6564" w:rsidRDefault="00EB6564" w:rsidP="00134EA2">
            <w:pPr>
              <w:pStyle w:val="06cTABLETEXT"/>
              <w:spacing w:after="0" w:line="240" w:lineRule="auto"/>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B09B5DF" w14:textId="77777777" w:rsidR="00EB6564" w:rsidRDefault="00EB6564" w:rsidP="00134EA2">
            <w:pPr>
              <w:pStyle w:val="06cTABLETEXT"/>
              <w:spacing w:after="0" w:line="240" w:lineRule="auto"/>
              <w:jc w:val="center"/>
            </w:pPr>
            <w:r>
              <w:t>Met</w:t>
            </w:r>
          </w:p>
        </w:tc>
      </w:tr>
      <w:tr w:rsidR="00EB6564" w14:paraId="033C7192"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79F6186" w14:textId="77777777" w:rsidR="00EB6564" w:rsidRDefault="00EB6564" w:rsidP="00134EA2">
            <w:pPr>
              <w:pStyle w:val="06cTABLETEXT"/>
              <w:spacing w:after="0" w:line="240" w:lineRule="auto"/>
            </w:pPr>
            <w:r>
              <w:t>Prospect*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86D37CE"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102C9C7" w14:textId="77777777" w:rsidR="00EB6564" w:rsidRDefault="00EB6564" w:rsidP="00134EA2">
            <w:pPr>
              <w:pStyle w:val="06cTABLETEXT"/>
              <w:spacing w:after="0" w:line="240" w:lineRule="auto"/>
              <w:jc w:val="center"/>
            </w:pPr>
            <w:r>
              <w:t>ND</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303BF5F"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1D15E73" w14:textId="77777777" w:rsidR="00EB6564" w:rsidRDefault="00EB6564" w:rsidP="00134EA2">
            <w:pPr>
              <w:pStyle w:val="06cTABLETEXT"/>
              <w:spacing w:after="0" w:line="240" w:lineRule="auto"/>
              <w:jc w:val="center"/>
            </w:pPr>
            <w:r>
              <w:t>ND</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2151CC"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14BC7CA" w14:textId="77777777" w:rsidR="00EB6564" w:rsidRDefault="00EB6564" w:rsidP="00134EA2">
            <w:pPr>
              <w:pStyle w:val="06cTABLETEXT"/>
              <w:spacing w:after="0" w:line="240" w:lineRule="auto"/>
              <w:jc w:val="center"/>
            </w:pPr>
            <w:r>
              <w:t>ND</w:t>
            </w:r>
          </w:p>
        </w:tc>
      </w:tr>
      <w:tr w:rsidR="00EB6564" w14:paraId="36BC8BA9"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0DD91C8" w14:textId="77777777" w:rsidR="00EB6564" w:rsidRDefault="00EB6564" w:rsidP="00134EA2">
            <w:pPr>
              <w:pStyle w:val="06cTABLETEXT"/>
              <w:spacing w:after="0" w:line="240" w:lineRule="auto"/>
            </w:pPr>
            <w:r>
              <w:t>Randwick</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F2E71CA"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D00B7B"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F5530E5"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2419868"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980B81C" w14:textId="77777777" w:rsidR="00EB6564" w:rsidRDefault="00EB6564" w:rsidP="00134EA2">
            <w:pPr>
              <w:pStyle w:val="06cTABLETEXT"/>
              <w:spacing w:after="0" w:line="240" w:lineRule="auto"/>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A23B3FC" w14:textId="77777777" w:rsidR="00EB6564" w:rsidRDefault="00EB6564" w:rsidP="00134EA2">
            <w:pPr>
              <w:pStyle w:val="06cTABLETEXT"/>
              <w:spacing w:after="0" w:line="240" w:lineRule="auto"/>
              <w:jc w:val="center"/>
            </w:pPr>
            <w:r>
              <w:t>Met</w:t>
            </w:r>
          </w:p>
        </w:tc>
      </w:tr>
      <w:tr w:rsidR="00EB6564" w14:paraId="0972B863"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A46A650" w14:textId="77777777" w:rsidR="00EB6564" w:rsidRDefault="00EB6564" w:rsidP="00134EA2">
            <w:pPr>
              <w:pStyle w:val="06cTABLETEXT"/>
              <w:spacing w:after="0" w:line="240" w:lineRule="auto"/>
            </w:pPr>
            <w:r>
              <w:t>Richmond</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6735B1"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98366B3"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10798A0"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B77036D"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FCB2325" w14:textId="77777777" w:rsidR="00EB6564" w:rsidRDefault="00EB6564" w:rsidP="00134EA2">
            <w:pPr>
              <w:pStyle w:val="06cTABLETEXT"/>
              <w:spacing w:after="0" w:line="240" w:lineRule="auto"/>
              <w:jc w:val="center"/>
            </w:pPr>
            <w:r>
              <w:t>&lt; 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F102545" w14:textId="77777777" w:rsidR="00EB6564" w:rsidRDefault="00EB6564" w:rsidP="00134EA2">
            <w:pPr>
              <w:pStyle w:val="06cTABLETEXT"/>
              <w:spacing w:after="0" w:line="240" w:lineRule="auto"/>
              <w:jc w:val="center"/>
            </w:pPr>
            <w:r>
              <w:t>Met</w:t>
            </w:r>
          </w:p>
        </w:tc>
      </w:tr>
      <w:tr w:rsidR="00EB6564" w14:paraId="0643A2AF"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1186C29" w14:textId="77777777" w:rsidR="00EB6564" w:rsidRDefault="00EB6564" w:rsidP="00134EA2">
            <w:pPr>
              <w:pStyle w:val="06cTABLETEXT"/>
              <w:spacing w:after="0" w:line="240" w:lineRule="auto"/>
            </w:pPr>
            <w:r>
              <w:t>Rozelle**</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0FA0B3A"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38DA1F6" w14:textId="77777777" w:rsidR="00EB6564" w:rsidRDefault="00EB6564" w:rsidP="00134EA2">
            <w:pPr>
              <w:pStyle w:val="06cTABLETEXT"/>
              <w:spacing w:after="0" w:line="240" w:lineRule="auto"/>
              <w:jc w:val="center"/>
            </w:pPr>
            <w:r>
              <w:t>ND</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B8B37CE"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E8A0B9" w14:textId="77777777" w:rsidR="00EB6564" w:rsidRDefault="00EB6564" w:rsidP="00134EA2">
            <w:pPr>
              <w:pStyle w:val="06cTABLETEXT"/>
              <w:spacing w:after="0" w:line="240" w:lineRule="auto"/>
              <w:jc w:val="center"/>
            </w:pPr>
            <w:r>
              <w:t>ND</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56A863C"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2ACB25F" w14:textId="77777777" w:rsidR="00EB6564" w:rsidRDefault="00EB6564" w:rsidP="00134EA2">
            <w:pPr>
              <w:pStyle w:val="06cTABLETEXT"/>
              <w:spacing w:after="0" w:line="240" w:lineRule="auto"/>
              <w:jc w:val="center"/>
            </w:pPr>
            <w:r>
              <w:t>ND</w:t>
            </w:r>
          </w:p>
        </w:tc>
      </w:tr>
      <w:tr w:rsidR="00EB6564" w14:paraId="6D932F3B"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6BC4C194" w14:textId="77777777" w:rsidR="00EB6564" w:rsidRDefault="00EB6564" w:rsidP="00134EA2">
            <w:pPr>
              <w:pStyle w:val="06cTABLETEXT"/>
              <w:spacing w:after="0" w:line="240" w:lineRule="auto"/>
            </w:pPr>
            <w:r>
              <w:rPr>
                <w:rStyle w:val="BOLD"/>
              </w:rPr>
              <w:t>Central Coast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764338D5"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0BE83D24" w14:textId="77777777" w:rsidR="00EB6564" w:rsidRDefault="00EB6564" w:rsidP="00134EA2">
            <w:pPr>
              <w:pStyle w:val="NoParagraphStyle"/>
              <w:spacing w:line="240" w:lineRule="auto"/>
              <w:textAlignment w:val="auto"/>
              <w:rPr>
                <w:rFonts w:ascii="Calibri" w:hAnsi="Calibri" w:cs="Calibri"/>
                <w:color w:val="auto"/>
              </w:rPr>
            </w:pP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677E47FF"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729CEB22" w14:textId="77777777" w:rsidR="00EB6564" w:rsidRDefault="00EB6564" w:rsidP="00134EA2">
            <w:pPr>
              <w:pStyle w:val="NoParagraphStyle"/>
              <w:spacing w:line="240" w:lineRule="auto"/>
              <w:textAlignment w:val="auto"/>
              <w:rPr>
                <w:rFonts w:ascii="Calibri" w:hAnsi="Calibri" w:cs="Calibri"/>
                <w:color w:val="auto"/>
              </w:rPr>
            </w:pP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08F56DF7"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A8864E3" w14:textId="77777777" w:rsidR="00EB6564" w:rsidRDefault="00EB6564" w:rsidP="00134EA2">
            <w:pPr>
              <w:pStyle w:val="NoParagraphStyle"/>
              <w:spacing w:line="240" w:lineRule="auto"/>
              <w:textAlignment w:val="auto"/>
              <w:rPr>
                <w:rFonts w:ascii="Calibri" w:hAnsi="Calibri" w:cs="Calibri"/>
                <w:color w:val="auto"/>
              </w:rPr>
            </w:pPr>
          </w:p>
        </w:tc>
      </w:tr>
      <w:tr w:rsidR="00EB6564" w14:paraId="69EDFDB4"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287D14F" w14:textId="77777777" w:rsidR="00EB6564" w:rsidRDefault="00EB6564" w:rsidP="00134EA2">
            <w:pPr>
              <w:pStyle w:val="06cTABLETEXT"/>
              <w:spacing w:after="0" w:line="240" w:lineRule="auto"/>
            </w:pPr>
            <w:r>
              <w:t>Wyong</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F75ACAC"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06E2EAF"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E01AE23"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1826841"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2E6630D" w14:textId="77777777" w:rsidR="00EB6564" w:rsidRDefault="00EB6564" w:rsidP="00134EA2">
            <w:pPr>
              <w:pStyle w:val="06cTABLETEXT"/>
              <w:spacing w:after="0" w:line="240" w:lineRule="auto"/>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B72B09B" w14:textId="77777777" w:rsidR="00EB6564" w:rsidRDefault="00EB6564" w:rsidP="00134EA2">
            <w:pPr>
              <w:pStyle w:val="06cTABLETEXT"/>
              <w:spacing w:after="0" w:line="240" w:lineRule="auto"/>
              <w:jc w:val="center"/>
            </w:pPr>
            <w:r>
              <w:t>Met</w:t>
            </w:r>
          </w:p>
        </w:tc>
      </w:tr>
      <w:tr w:rsidR="00EB6564" w14:paraId="3F888DFD"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6A2AC299" w14:textId="77777777" w:rsidR="00EB6564" w:rsidRDefault="00EB6564" w:rsidP="00134EA2">
            <w:pPr>
              <w:pStyle w:val="06cTABLETEXT"/>
              <w:spacing w:after="0" w:line="240" w:lineRule="auto"/>
            </w:pPr>
            <w:r>
              <w:rPr>
                <w:rStyle w:val="BOLD"/>
              </w:rPr>
              <w:t>Illawarra</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05784A1E"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72C00EE7" w14:textId="77777777" w:rsidR="00EB6564" w:rsidRDefault="00EB6564" w:rsidP="00134EA2">
            <w:pPr>
              <w:pStyle w:val="NoParagraphStyle"/>
              <w:spacing w:line="240" w:lineRule="auto"/>
              <w:textAlignment w:val="auto"/>
              <w:rPr>
                <w:rFonts w:ascii="Calibri" w:hAnsi="Calibri" w:cs="Calibri"/>
                <w:color w:val="auto"/>
              </w:rPr>
            </w:pP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D08A1FD"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5F3B3A4E" w14:textId="77777777" w:rsidR="00EB6564" w:rsidRDefault="00EB6564" w:rsidP="00134EA2">
            <w:pPr>
              <w:pStyle w:val="NoParagraphStyle"/>
              <w:spacing w:line="240" w:lineRule="auto"/>
              <w:textAlignment w:val="auto"/>
              <w:rPr>
                <w:rFonts w:ascii="Calibri" w:hAnsi="Calibri" w:cs="Calibri"/>
                <w:color w:val="auto"/>
              </w:rPr>
            </w:pP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7E38A28A"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5DC09106" w14:textId="77777777" w:rsidR="00EB6564" w:rsidRDefault="00EB6564" w:rsidP="00134EA2">
            <w:pPr>
              <w:pStyle w:val="NoParagraphStyle"/>
              <w:spacing w:line="240" w:lineRule="auto"/>
              <w:textAlignment w:val="auto"/>
              <w:rPr>
                <w:rFonts w:ascii="Calibri" w:hAnsi="Calibri" w:cs="Calibri"/>
                <w:color w:val="auto"/>
              </w:rPr>
            </w:pPr>
          </w:p>
        </w:tc>
      </w:tr>
      <w:tr w:rsidR="00EB6564" w14:paraId="28A1C686"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4BBF195" w14:textId="77777777" w:rsidR="00EB6564" w:rsidRDefault="00EB6564" w:rsidP="00134EA2">
            <w:pPr>
              <w:pStyle w:val="06cTABLETEXT"/>
              <w:spacing w:after="0" w:line="240" w:lineRule="auto"/>
            </w:pPr>
            <w:r>
              <w:t>Albion Park South</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92FD6B0"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B4C1DFD"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2275D02"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B27F75C"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74951E5" w14:textId="77777777" w:rsidR="00EB6564" w:rsidRDefault="00EB6564" w:rsidP="00134EA2">
            <w:pPr>
              <w:pStyle w:val="06cTABLETEXT"/>
              <w:spacing w:after="0" w:line="240" w:lineRule="auto"/>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2D7B75B" w14:textId="77777777" w:rsidR="00EB6564" w:rsidRDefault="00EB6564" w:rsidP="00134EA2">
            <w:pPr>
              <w:pStyle w:val="06cTABLETEXT"/>
              <w:spacing w:after="0" w:line="240" w:lineRule="auto"/>
              <w:jc w:val="center"/>
            </w:pPr>
            <w:r>
              <w:t>Met</w:t>
            </w:r>
          </w:p>
        </w:tc>
      </w:tr>
      <w:tr w:rsidR="00EB6564" w14:paraId="10C69EBA"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149B974" w14:textId="77777777" w:rsidR="00EB6564" w:rsidRDefault="00EB6564" w:rsidP="00134EA2">
            <w:pPr>
              <w:pStyle w:val="06cTABLETEXT"/>
              <w:spacing w:after="0" w:line="240" w:lineRule="auto"/>
            </w:pPr>
            <w:r>
              <w:t>Wollongong</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45C7F84"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B94C5C4"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573CFBD"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6F54FD6"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C04BE33" w14:textId="77777777" w:rsidR="00EB6564" w:rsidRDefault="00EB6564" w:rsidP="00134EA2">
            <w:pPr>
              <w:pStyle w:val="06cTABLETEXT"/>
              <w:spacing w:after="0" w:line="240" w:lineRule="auto"/>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D01953B" w14:textId="77777777" w:rsidR="00EB6564" w:rsidRDefault="00EB6564" w:rsidP="00134EA2">
            <w:pPr>
              <w:pStyle w:val="06cTABLETEXT"/>
              <w:spacing w:after="0" w:line="240" w:lineRule="auto"/>
              <w:jc w:val="center"/>
            </w:pPr>
            <w:r>
              <w:t>Met</w:t>
            </w:r>
          </w:p>
        </w:tc>
      </w:tr>
      <w:tr w:rsidR="00EB6564" w14:paraId="33B95153"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2EC3F214" w14:textId="77777777" w:rsidR="00EB6564" w:rsidRDefault="00EB6564" w:rsidP="00134EA2">
            <w:pPr>
              <w:pStyle w:val="06cTABLETEXT"/>
              <w:spacing w:after="0" w:line="240" w:lineRule="auto"/>
            </w:pPr>
            <w:r>
              <w:rPr>
                <w:rStyle w:val="BOLD"/>
              </w:rPr>
              <w:t>Lower Hunter</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2E2ABF0F"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8F07B77" w14:textId="77777777" w:rsidR="00EB6564" w:rsidRDefault="00EB6564" w:rsidP="00134EA2">
            <w:pPr>
              <w:pStyle w:val="NoParagraphStyle"/>
              <w:spacing w:line="240" w:lineRule="auto"/>
              <w:textAlignment w:val="auto"/>
              <w:rPr>
                <w:rFonts w:ascii="Calibri" w:hAnsi="Calibri" w:cs="Calibri"/>
                <w:color w:val="auto"/>
              </w:rPr>
            </w:pP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7CBD55F9"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0698382F" w14:textId="77777777" w:rsidR="00EB6564" w:rsidRDefault="00EB6564" w:rsidP="00134EA2">
            <w:pPr>
              <w:pStyle w:val="NoParagraphStyle"/>
              <w:spacing w:line="240" w:lineRule="auto"/>
              <w:textAlignment w:val="auto"/>
              <w:rPr>
                <w:rFonts w:ascii="Calibri" w:hAnsi="Calibri" w:cs="Calibri"/>
                <w:color w:val="auto"/>
              </w:rPr>
            </w:pP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18B006F8" w14:textId="77777777" w:rsidR="00EB6564" w:rsidRDefault="00EB6564" w:rsidP="00134EA2">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4080BCC" w14:textId="77777777" w:rsidR="00EB6564" w:rsidRDefault="00EB6564" w:rsidP="00134EA2">
            <w:pPr>
              <w:pStyle w:val="NoParagraphStyle"/>
              <w:spacing w:line="240" w:lineRule="auto"/>
              <w:textAlignment w:val="auto"/>
              <w:rPr>
                <w:rFonts w:ascii="Calibri" w:hAnsi="Calibri" w:cs="Calibri"/>
                <w:color w:val="auto"/>
              </w:rPr>
            </w:pPr>
          </w:p>
        </w:tc>
      </w:tr>
      <w:tr w:rsidR="00EB6564" w14:paraId="77441063"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771AA2D" w14:textId="77777777" w:rsidR="00EB6564" w:rsidRDefault="00EB6564" w:rsidP="00134EA2">
            <w:pPr>
              <w:pStyle w:val="06cTABLETEXT"/>
              <w:spacing w:after="0" w:line="240" w:lineRule="auto"/>
            </w:pPr>
            <w:r>
              <w:t>Beresfield</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E9A7610"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6B00500"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9BCABE4"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1B09F8"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65A3527" w14:textId="77777777" w:rsidR="00EB6564" w:rsidRDefault="00EB6564" w:rsidP="00134EA2">
            <w:pPr>
              <w:pStyle w:val="06cTABLETEXT"/>
              <w:spacing w:after="0" w:line="240" w:lineRule="auto"/>
              <w:jc w:val="center"/>
            </w:pPr>
            <w:r>
              <w:t>0.002</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DB5ECA3" w14:textId="77777777" w:rsidR="00EB6564" w:rsidRDefault="00EB6564" w:rsidP="00134EA2">
            <w:pPr>
              <w:pStyle w:val="06cTABLETEXT"/>
              <w:spacing w:after="0" w:line="240" w:lineRule="auto"/>
              <w:jc w:val="center"/>
            </w:pPr>
            <w:r>
              <w:t>Met</w:t>
            </w:r>
          </w:p>
        </w:tc>
      </w:tr>
      <w:tr w:rsidR="00EB6564" w14:paraId="4AFEB552"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935AAD1" w14:textId="77777777" w:rsidR="00EB6564" w:rsidRDefault="00EB6564" w:rsidP="00134EA2">
            <w:pPr>
              <w:pStyle w:val="06cTABLETEXT"/>
              <w:spacing w:after="0" w:line="240" w:lineRule="auto"/>
            </w:pPr>
            <w:r>
              <w:t>Newcastle</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AE6C959"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2C748BA"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23DE8E8"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C1CBDE2"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5AD6A62" w14:textId="77777777" w:rsidR="00EB6564" w:rsidRDefault="00EB6564" w:rsidP="00134EA2">
            <w:pPr>
              <w:pStyle w:val="06cTABLETEXT"/>
              <w:spacing w:after="0" w:line="240" w:lineRule="auto"/>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8D6FEED" w14:textId="77777777" w:rsidR="00EB6564" w:rsidRDefault="00EB6564" w:rsidP="00134EA2">
            <w:pPr>
              <w:pStyle w:val="06cTABLETEXT"/>
              <w:spacing w:after="0" w:line="240" w:lineRule="auto"/>
              <w:jc w:val="center"/>
            </w:pPr>
            <w:r>
              <w:t>Met</w:t>
            </w:r>
          </w:p>
        </w:tc>
      </w:tr>
      <w:tr w:rsidR="00EB6564" w14:paraId="15229F76" w14:textId="77777777" w:rsidTr="00032D97">
        <w:trPr>
          <w:trHeight w:val="60"/>
        </w:trPr>
        <w:tc>
          <w:tcPr>
            <w:tcW w:w="118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87EE1DC" w14:textId="77777777" w:rsidR="00EB6564" w:rsidRDefault="00EB6564" w:rsidP="00134EA2">
            <w:pPr>
              <w:pStyle w:val="06cTABLETEXT"/>
              <w:spacing w:after="0" w:line="240" w:lineRule="auto"/>
            </w:pPr>
            <w:r>
              <w:t>Wallsend</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6AB6AF2"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9329E55"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5F0E33E" w14:textId="77777777" w:rsidR="00EB6564" w:rsidRDefault="00EB6564" w:rsidP="00134EA2">
            <w:pPr>
              <w:pStyle w:val="06cTABLETEXT"/>
              <w:spacing w:after="0"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54A9C7D" w14:textId="77777777" w:rsidR="00EB6564" w:rsidRDefault="00EB6564" w:rsidP="00134EA2">
            <w:pPr>
              <w:pStyle w:val="06cTABLETEXT"/>
              <w:spacing w:after="0"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A622E84" w14:textId="77777777" w:rsidR="00EB6564" w:rsidRDefault="00EB6564" w:rsidP="00134EA2">
            <w:pPr>
              <w:pStyle w:val="06cTABLETEXT"/>
              <w:spacing w:after="0" w:line="240" w:lineRule="auto"/>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9F6642" w14:textId="77777777" w:rsidR="00EB6564" w:rsidRDefault="00EB6564" w:rsidP="00134EA2">
            <w:pPr>
              <w:pStyle w:val="06cTABLETEXT"/>
              <w:spacing w:after="0" w:line="240" w:lineRule="auto"/>
              <w:jc w:val="center"/>
            </w:pPr>
            <w:r>
              <w:t>Met</w:t>
            </w:r>
          </w:p>
        </w:tc>
      </w:tr>
    </w:tbl>
    <w:p w14:paraId="41BA01B3" w14:textId="77777777" w:rsidR="00EB6564" w:rsidRDefault="00EB6564" w:rsidP="00397A8C">
      <w:pPr>
        <w:pStyle w:val="07FOOTNOTES"/>
        <w:spacing w:after="0"/>
      </w:pPr>
      <w:r>
        <w:t xml:space="preserve">* </w:t>
      </w:r>
      <w:r>
        <w:tab/>
        <w:t>ND (not determined) – Prospect station non-compliant with &gt; 75% data availability criteria for sulfur dioxide in quarter 2, 2018.</w:t>
      </w:r>
    </w:p>
    <w:p w14:paraId="17E006B9" w14:textId="77777777" w:rsidR="00EB6564" w:rsidRDefault="00EB6564" w:rsidP="00EB6564">
      <w:pPr>
        <w:pStyle w:val="07FOOTNOTES"/>
        <w:spacing w:after="170"/>
      </w:pPr>
      <w:r>
        <w:t>**</w:t>
      </w:r>
      <w:r>
        <w:tab/>
        <w:t>ND (not determined) – the Rozelle station non-compliant with 75% data availability criteria for sulfur dioxide due to recommissioning of the site in 2018</w:t>
      </w:r>
    </w:p>
    <w:p w14:paraId="086EA0C1" w14:textId="2B3FA98A" w:rsidR="00134EA2" w:rsidRDefault="00EB6564" w:rsidP="00EB6564">
      <w:pPr>
        <w:pStyle w:val="05BODYTEXT"/>
      </w:pPr>
      <w:r>
        <w:t xml:space="preserve">During 2018, compliance with the AAQ NEPM goals for </w:t>
      </w:r>
      <w:proofErr w:type="spellStart"/>
      <w:r>
        <w:t>sulfur</w:t>
      </w:r>
      <w:proofErr w:type="spellEnd"/>
      <w:r>
        <w:t xml:space="preserve"> dioxide was demonstrated at 15 of 17 sites in the Sydney, Illawarra, Central Coast and Lower Hunter regions. </w:t>
      </w:r>
    </w:p>
    <w:p w14:paraId="4457EEB2" w14:textId="77777777" w:rsidR="00134EA2" w:rsidRDefault="00134EA2">
      <w:pPr>
        <w:rPr>
          <w:rFonts w:ascii="Calibri" w:hAnsi="Calibri" w:cs="Calibri"/>
          <w:color w:val="000000"/>
          <w:sz w:val="16"/>
          <w:szCs w:val="16"/>
        </w:rPr>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1696"/>
        <w:gridCol w:w="5731"/>
      </w:tblGrid>
      <w:tr w:rsidR="00EB6564" w14:paraId="31212575" w14:textId="77777777" w:rsidTr="00134EA2">
        <w:trPr>
          <w:trHeight w:val="60"/>
          <w:tblHeader/>
        </w:trPr>
        <w:tc>
          <w:tcPr>
            <w:tcW w:w="1696" w:type="dxa"/>
            <w:vMerge w:val="restart"/>
            <w:tcMar>
              <w:top w:w="85" w:type="dxa"/>
              <w:left w:w="85" w:type="dxa"/>
              <w:bottom w:w="85" w:type="dxa"/>
              <w:right w:w="85" w:type="dxa"/>
            </w:tcMar>
          </w:tcPr>
          <w:p w14:paraId="54B7B46B" w14:textId="77777777" w:rsidR="00EB6564" w:rsidRDefault="00EB6564" w:rsidP="00134EA2">
            <w:pPr>
              <w:pStyle w:val="CHEMICALCHEMTABLES"/>
              <w:spacing w:after="0" w:line="240" w:lineRule="auto"/>
            </w:pPr>
            <w:r>
              <w:lastRenderedPageBreak/>
              <w:t>PM</w:t>
            </w:r>
            <w:r>
              <w:rPr>
                <w:vertAlign w:val="subscript"/>
              </w:rPr>
              <w:t>10</w:t>
            </w:r>
          </w:p>
        </w:tc>
        <w:tc>
          <w:tcPr>
            <w:tcW w:w="5731" w:type="dxa"/>
            <w:tcMar>
              <w:top w:w="85" w:type="dxa"/>
              <w:left w:w="85" w:type="dxa"/>
              <w:bottom w:w="85" w:type="dxa"/>
              <w:right w:w="85" w:type="dxa"/>
            </w:tcMar>
          </w:tcPr>
          <w:p w14:paraId="26915972" w14:textId="77777777" w:rsidR="00EB6564" w:rsidRDefault="00EB6564" w:rsidP="00134EA2">
            <w:pPr>
              <w:pStyle w:val="CHEMICALfullnameCHEMTABLES"/>
              <w:spacing w:after="0" w:line="240" w:lineRule="auto"/>
            </w:pPr>
            <w:r>
              <w:t>Particles as PM</w:t>
            </w:r>
            <w:r>
              <w:rPr>
                <w:vertAlign w:val="subscript"/>
              </w:rPr>
              <w:t>10</w:t>
            </w:r>
          </w:p>
        </w:tc>
      </w:tr>
      <w:tr w:rsidR="00EB6564" w14:paraId="4B349588" w14:textId="77777777" w:rsidTr="00134EA2">
        <w:trPr>
          <w:trHeight w:val="60"/>
          <w:tblHeader/>
        </w:trPr>
        <w:tc>
          <w:tcPr>
            <w:tcW w:w="1696" w:type="dxa"/>
            <w:vMerge/>
          </w:tcPr>
          <w:p w14:paraId="5FA6D870"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1ECA1FD9" w14:textId="77777777" w:rsidR="00EB6564" w:rsidRDefault="00EB6564" w:rsidP="00134EA2">
            <w:pPr>
              <w:pStyle w:val="NEPMstandardCHEMTABLES"/>
              <w:spacing w:after="0" w:line="240" w:lineRule="auto"/>
            </w:pPr>
            <w:r>
              <w:t>(NEPM standard 1 day = 50µg/m</w:t>
            </w:r>
            <w:r>
              <w:rPr>
                <w:vertAlign w:val="superscript"/>
              </w:rPr>
              <w:t>3</w:t>
            </w:r>
            <w:r>
              <w:t>, 1 year = 25µg/m</w:t>
            </w:r>
            <w:r>
              <w:rPr>
                <w:vertAlign w:val="superscript"/>
              </w:rPr>
              <w:t>3</w:t>
            </w:r>
            <w:r>
              <w:t>)</w:t>
            </w:r>
          </w:p>
        </w:tc>
      </w:tr>
      <w:tr w:rsidR="00EB6564" w14:paraId="26FC031D" w14:textId="77777777" w:rsidTr="00134EA2">
        <w:trPr>
          <w:trHeight w:hRule="exact" w:val="113"/>
        </w:trPr>
        <w:tc>
          <w:tcPr>
            <w:tcW w:w="1696" w:type="dxa"/>
            <w:tcMar>
              <w:top w:w="85" w:type="dxa"/>
              <w:left w:w="85" w:type="dxa"/>
              <w:bottom w:w="85" w:type="dxa"/>
              <w:right w:w="85" w:type="dxa"/>
            </w:tcMar>
          </w:tcPr>
          <w:p w14:paraId="3B596A1C"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704876A1" w14:textId="77777777" w:rsidR="00EB6564" w:rsidRDefault="00EB6564" w:rsidP="00134EA2">
            <w:pPr>
              <w:pStyle w:val="NoParagraphStyle"/>
              <w:spacing w:line="240" w:lineRule="auto"/>
              <w:textAlignment w:val="auto"/>
              <w:rPr>
                <w:rFonts w:ascii="Calibri" w:hAnsi="Calibri" w:cs="Calibri"/>
                <w:color w:val="auto"/>
              </w:rPr>
            </w:pPr>
          </w:p>
        </w:tc>
      </w:tr>
    </w:tbl>
    <w:p w14:paraId="2D10367E"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1236"/>
        <w:gridCol w:w="1236"/>
        <w:gridCol w:w="1236"/>
        <w:gridCol w:w="1237"/>
        <w:gridCol w:w="1236"/>
        <w:gridCol w:w="1236"/>
      </w:tblGrid>
      <w:tr w:rsidR="00EB6564" w14:paraId="4DD1D516" w14:textId="77777777">
        <w:trPr>
          <w:trHeight w:val="60"/>
          <w:tblHeader/>
        </w:trPr>
        <w:tc>
          <w:tcPr>
            <w:tcW w:w="1236"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2075A23" w14:textId="77777777" w:rsidR="00EB6564" w:rsidRDefault="00EB6564" w:rsidP="00134EA2">
            <w:pPr>
              <w:pStyle w:val="06bTABLEHEADERROW"/>
              <w:spacing w:after="0" w:line="240" w:lineRule="auto"/>
            </w:pPr>
            <w:r>
              <w:t>Station</w:t>
            </w:r>
          </w:p>
        </w:tc>
        <w:tc>
          <w:tcPr>
            <w:tcW w:w="3709" w:type="dxa"/>
            <w:gridSpan w:val="3"/>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F19CCCD" w14:textId="77777777" w:rsidR="00EB6564" w:rsidRDefault="00EB6564" w:rsidP="00134EA2">
            <w:pPr>
              <w:pStyle w:val="06bTABLEHEADERROW"/>
              <w:spacing w:after="0" w:line="240" w:lineRule="auto"/>
              <w:jc w:val="center"/>
            </w:pPr>
            <w:r>
              <w:t>1 day</w:t>
            </w:r>
          </w:p>
        </w:tc>
        <w:tc>
          <w:tcPr>
            <w:tcW w:w="2472"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BD2B761" w14:textId="77777777" w:rsidR="00EB6564" w:rsidRDefault="00EB6564" w:rsidP="00134EA2">
            <w:pPr>
              <w:pStyle w:val="06bTABLEHEADERROW"/>
              <w:spacing w:after="0" w:line="240" w:lineRule="auto"/>
              <w:jc w:val="center"/>
            </w:pPr>
            <w:r>
              <w:t>1 year</w:t>
            </w:r>
          </w:p>
        </w:tc>
      </w:tr>
      <w:tr w:rsidR="00EB6564" w14:paraId="0E568247" w14:textId="77777777" w:rsidTr="008B4D97">
        <w:trPr>
          <w:trHeight w:val="60"/>
          <w:tblHeader/>
        </w:trPr>
        <w:tc>
          <w:tcPr>
            <w:tcW w:w="1236" w:type="dxa"/>
            <w:vMerge/>
            <w:tcBorders>
              <w:top w:val="single" w:sz="8" w:space="0" w:color="FFFFFF"/>
              <w:left w:val="single" w:sz="4" w:space="0" w:color="FFFFFF"/>
              <w:bottom w:val="single" w:sz="4" w:space="0" w:color="FFFFFF"/>
              <w:right w:val="single" w:sz="4" w:space="0" w:color="FFFFFF"/>
            </w:tcBorders>
          </w:tcPr>
          <w:p w14:paraId="05E88676" w14:textId="77777777" w:rsidR="00EB6564" w:rsidRDefault="00EB6564" w:rsidP="00134EA2">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47B0BB3" w14:textId="77777777" w:rsidR="00EB6564" w:rsidRDefault="00EB6564" w:rsidP="00134EA2">
            <w:pPr>
              <w:pStyle w:val="06bTABLEHEADERROW"/>
              <w:spacing w:after="0" w:line="240" w:lineRule="auto"/>
              <w:jc w:val="center"/>
            </w:pPr>
            <w:r>
              <w:t>Non-exceptional exceedances</w:t>
            </w:r>
          </w:p>
        </w:tc>
        <w:tc>
          <w:tcPr>
            <w:tcW w:w="1236"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F7C99A9" w14:textId="77777777" w:rsidR="00EB6564" w:rsidRDefault="00EB6564" w:rsidP="00134EA2">
            <w:pPr>
              <w:pStyle w:val="06bTABLEHEADERROW"/>
              <w:spacing w:after="0" w:line="240" w:lineRule="auto"/>
              <w:jc w:val="center"/>
            </w:pPr>
            <w:r>
              <w:t>Exceptional exceedances</w:t>
            </w:r>
          </w:p>
        </w:tc>
        <w:tc>
          <w:tcPr>
            <w:tcW w:w="1237"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A1FB4C0" w14:textId="77777777" w:rsidR="00EB6564" w:rsidRDefault="00EB6564" w:rsidP="00134EA2">
            <w:pPr>
              <w:pStyle w:val="06bTABLEHEADERROW"/>
              <w:spacing w:after="0" w:line="240" w:lineRule="auto"/>
              <w:jc w:val="center"/>
            </w:pPr>
            <w:r>
              <w:t>NEPM goal compliance</w:t>
            </w:r>
          </w:p>
        </w:tc>
        <w:tc>
          <w:tcPr>
            <w:tcW w:w="1236"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1D65E0C0" w14:textId="77777777" w:rsidR="00EB6564" w:rsidRDefault="00EB6564" w:rsidP="00134EA2">
            <w:pPr>
              <w:pStyle w:val="06bTABLEHEADERROW"/>
              <w:spacing w:after="0" w:line="240" w:lineRule="auto"/>
              <w:jc w:val="center"/>
            </w:pPr>
            <w:r>
              <w:t>Annual average (25 µg/m</w:t>
            </w:r>
            <w:r>
              <w:rPr>
                <w:vertAlign w:val="superscript"/>
              </w:rPr>
              <w:t>3</w:t>
            </w:r>
            <w:r>
              <w:t>)</w:t>
            </w:r>
          </w:p>
        </w:tc>
        <w:tc>
          <w:tcPr>
            <w:tcW w:w="1236"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86BE5A9" w14:textId="77777777" w:rsidR="00EB6564" w:rsidRDefault="00EB6564" w:rsidP="00134EA2">
            <w:pPr>
              <w:pStyle w:val="06bTABLEHEADERROW"/>
              <w:spacing w:after="0" w:line="240" w:lineRule="auto"/>
              <w:jc w:val="center"/>
            </w:pPr>
            <w:r>
              <w:t>NEPM goal compliance</w:t>
            </w:r>
          </w:p>
        </w:tc>
      </w:tr>
      <w:tr w:rsidR="00EB6564" w14:paraId="0847CB65" w14:textId="77777777" w:rsidTr="008B4D97">
        <w:trPr>
          <w:trHeight w:val="60"/>
        </w:trPr>
        <w:tc>
          <w:tcPr>
            <w:tcW w:w="7417" w:type="dxa"/>
            <w:gridSpan w:val="6"/>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27D09744" w14:textId="77777777" w:rsidR="00EB6564" w:rsidRDefault="00EB6564" w:rsidP="00134EA2">
            <w:pPr>
              <w:pStyle w:val="06cTABLETEXT"/>
              <w:spacing w:after="0" w:line="240" w:lineRule="auto"/>
            </w:pPr>
            <w:r>
              <w:rPr>
                <w:rStyle w:val="BOLD"/>
              </w:rPr>
              <w:t>Sydney</w:t>
            </w:r>
          </w:p>
        </w:tc>
      </w:tr>
      <w:tr w:rsidR="00EB6564" w14:paraId="6BCD28A5"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552A44D" w14:textId="77777777" w:rsidR="00EB6564" w:rsidRDefault="00EB6564" w:rsidP="00134EA2">
            <w:pPr>
              <w:pStyle w:val="06cTABLETEXT"/>
              <w:spacing w:after="0" w:line="240" w:lineRule="auto"/>
            </w:pPr>
            <w:r>
              <w:t>Bargo</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E760A2C"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170F88C" w14:textId="77777777" w:rsidR="00EB6564" w:rsidRDefault="00EB6564" w:rsidP="00134EA2">
            <w:pPr>
              <w:pStyle w:val="06cTABLETEXT"/>
              <w:spacing w:after="0" w:line="240" w:lineRule="auto"/>
              <w:jc w:val="center"/>
            </w:pPr>
            <w:r>
              <w:t>4</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5FC0666"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08E5456" w14:textId="77777777" w:rsidR="00EB6564" w:rsidRDefault="00EB6564" w:rsidP="00134EA2">
            <w:pPr>
              <w:pStyle w:val="06cTABLETEXT"/>
              <w:spacing w:after="0" w:line="240" w:lineRule="auto"/>
              <w:jc w:val="center"/>
            </w:pPr>
            <w:r>
              <w:t>16.9</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F466CEB" w14:textId="77777777" w:rsidR="00EB6564" w:rsidRDefault="00EB6564" w:rsidP="00134EA2">
            <w:pPr>
              <w:pStyle w:val="06cTABLETEXT"/>
              <w:spacing w:after="0" w:line="240" w:lineRule="auto"/>
              <w:jc w:val="center"/>
            </w:pPr>
            <w:r>
              <w:t>Met</w:t>
            </w:r>
          </w:p>
        </w:tc>
      </w:tr>
      <w:tr w:rsidR="00EB6564" w14:paraId="4F1EB094"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9D2167" w14:textId="77777777" w:rsidR="00EB6564" w:rsidRDefault="00EB6564" w:rsidP="00134EA2">
            <w:pPr>
              <w:pStyle w:val="06cTABLETEXT"/>
              <w:spacing w:after="0" w:line="240" w:lineRule="auto"/>
            </w:pPr>
            <w:r>
              <w:t>Bringelly</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F172FC6"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790CA72" w14:textId="77777777" w:rsidR="00EB6564" w:rsidRDefault="00EB6564" w:rsidP="00134EA2">
            <w:pPr>
              <w:pStyle w:val="06cTABLETEXT"/>
              <w:spacing w:after="0" w:line="240" w:lineRule="auto"/>
              <w:jc w:val="center"/>
            </w:pPr>
            <w:r>
              <w:t>8</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8B359A5"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382EDCD" w14:textId="77777777" w:rsidR="00EB6564" w:rsidRDefault="00EB6564" w:rsidP="00134EA2">
            <w:pPr>
              <w:pStyle w:val="06cTABLETEXT"/>
              <w:spacing w:after="0" w:line="240" w:lineRule="auto"/>
              <w:jc w:val="center"/>
            </w:pPr>
            <w:r>
              <w:t>21.3</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0E9A9A9" w14:textId="77777777" w:rsidR="00EB6564" w:rsidRDefault="00EB6564" w:rsidP="00134EA2">
            <w:pPr>
              <w:pStyle w:val="06cTABLETEXT"/>
              <w:spacing w:after="0" w:line="240" w:lineRule="auto"/>
              <w:jc w:val="center"/>
            </w:pPr>
            <w:r>
              <w:t>Met</w:t>
            </w:r>
          </w:p>
        </w:tc>
      </w:tr>
      <w:tr w:rsidR="00EB6564" w14:paraId="405F422F"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7690517" w14:textId="77777777" w:rsidR="00EB6564" w:rsidRDefault="00EB6564" w:rsidP="00134EA2">
            <w:pPr>
              <w:pStyle w:val="06cTABLETEXT"/>
              <w:spacing w:after="0" w:line="240" w:lineRule="auto"/>
            </w:pPr>
            <w:r>
              <w:t>Camden</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2F52FB4"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333D8E4" w14:textId="77777777" w:rsidR="00EB6564" w:rsidRDefault="00EB6564" w:rsidP="00134EA2">
            <w:pPr>
              <w:pStyle w:val="06cTABLETEXT"/>
              <w:spacing w:after="0" w:line="240" w:lineRule="auto"/>
              <w:jc w:val="center"/>
            </w:pPr>
            <w:r>
              <w:t>6</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7148E21"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A9D3FA9" w14:textId="77777777" w:rsidR="00EB6564" w:rsidRDefault="00EB6564" w:rsidP="00134EA2">
            <w:pPr>
              <w:pStyle w:val="06cTABLETEXT"/>
              <w:spacing w:after="0" w:line="240" w:lineRule="auto"/>
              <w:jc w:val="center"/>
            </w:pPr>
            <w:r>
              <w:t>17.5</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DA00EA9" w14:textId="77777777" w:rsidR="00EB6564" w:rsidRDefault="00EB6564" w:rsidP="00134EA2">
            <w:pPr>
              <w:pStyle w:val="06cTABLETEXT"/>
              <w:spacing w:after="0" w:line="240" w:lineRule="auto"/>
              <w:jc w:val="center"/>
            </w:pPr>
            <w:r>
              <w:t>Met</w:t>
            </w:r>
          </w:p>
        </w:tc>
      </w:tr>
      <w:tr w:rsidR="00EB6564" w14:paraId="6515BCD6"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17AE848" w14:textId="77777777" w:rsidR="00EB6564" w:rsidRDefault="00EB6564" w:rsidP="00134EA2">
            <w:pPr>
              <w:pStyle w:val="06cTABLETEXT"/>
              <w:spacing w:after="0" w:line="240" w:lineRule="auto"/>
            </w:pPr>
            <w:r>
              <w:t>Campbelltown West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2DD885"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0D808F0" w14:textId="77777777" w:rsidR="00EB6564" w:rsidRDefault="00EB6564" w:rsidP="00134EA2">
            <w:pPr>
              <w:pStyle w:val="06cTABLETEXT"/>
              <w:spacing w:after="0" w:line="240" w:lineRule="auto"/>
              <w:jc w:val="center"/>
            </w:pPr>
            <w:r>
              <w:t>3</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DB8F85"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41DB1DD" w14:textId="77777777" w:rsidR="00EB6564" w:rsidRDefault="00EB6564" w:rsidP="00134EA2">
            <w:pPr>
              <w:pStyle w:val="06cTABLETEXT"/>
              <w:spacing w:after="0" w:line="240" w:lineRule="auto"/>
              <w:jc w:val="center"/>
            </w:pPr>
            <w:r>
              <w:t>17.9</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23D4F3D" w14:textId="77777777" w:rsidR="00EB6564" w:rsidRDefault="00EB6564" w:rsidP="00134EA2">
            <w:pPr>
              <w:pStyle w:val="06cTABLETEXT"/>
              <w:spacing w:after="0" w:line="240" w:lineRule="auto"/>
              <w:jc w:val="center"/>
            </w:pPr>
            <w:r>
              <w:t>Met</w:t>
            </w:r>
          </w:p>
        </w:tc>
      </w:tr>
      <w:tr w:rsidR="00EB6564" w14:paraId="2A036C42"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DFA4A3E" w14:textId="77777777" w:rsidR="00EB6564" w:rsidRDefault="00EB6564" w:rsidP="00134EA2">
            <w:pPr>
              <w:pStyle w:val="06cTABLETEXT"/>
              <w:spacing w:after="0" w:line="240" w:lineRule="auto"/>
            </w:pPr>
            <w:r>
              <w:t>Chullora</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5FEE099"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DFB30A3" w14:textId="77777777" w:rsidR="00EB6564" w:rsidRDefault="00EB6564" w:rsidP="00134EA2">
            <w:pPr>
              <w:pStyle w:val="06cTABLETEXT"/>
              <w:spacing w:after="0" w:line="240" w:lineRule="auto"/>
              <w:jc w:val="center"/>
            </w:pPr>
            <w:r>
              <w:t>7</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885BC00"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D8A1D39" w14:textId="77777777" w:rsidR="00EB6564" w:rsidRDefault="00EB6564" w:rsidP="00134EA2">
            <w:pPr>
              <w:pStyle w:val="06cTABLETEXT"/>
              <w:spacing w:after="0" w:line="240" w:lineRule="auto"/>
              <w:jc w:val="center"/>
            </w:pPr>
            <w:r>
              <w:t>21.9</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8FE9A7" w14:textId="77777777" w:rsidR="00EB6564" w:rsidRDefault="00EB6564" w:rsidP="00134EA2">
            <w:pPr>
              <w:pStyle w:val="06cTABLETEXT"/>
              <w:spacing w:after="0" w:line="240" w:lineRule="auto"/>
              <w:jc w:val="center"/>
            </w:pPr>
            <w:r>
              <w:t>Met</w:t>
            </w:r>
          </w:p>
        </w:tc>
      </w:tr>
      <w:tr w:rsidR="00EB6564" w14:paraId="25CA9BFC"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5CE97B" w14:textId="77777777" w:rsidR="00EB6564" w:rsidRDefault="00EB6564" w:rsidP="00134EA2">
            <w:pPr>
              <w:pStyle w:val="06cTABLETEXT"/>
              <w:spacing w:after="0" w:line="240" w:lineRule="auto"/>
            </w:pPr>
            <w:r>
              <w:t xml:space="preserve">Earlwood </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775F4CA"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33CD2CF" w14:textId="77777777" w:rsidR="00EB6564" w:rsidRDefault="00EB6564" w:rsidP="00134EA2">
            <w:pPr>
              <w:pStyle w:val="06cTABLETEXT"/>
              <w:spacing w:after="0" w:line="240" w:lineRule="auto"/>
              <w:jc w:val="center"/>
            </w:pPr>
            <w:r>
              <w:t>5</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F70187B"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67F2E3" w14:textId="77777777" w:rsidR="00EB6564" w:rsidRDefault="00EB6564" w:rsidP="00134EA2">
            <w:pPr>
              <w:pStyle w:val="06cTABLETEXT"/>
              <w:spacing w:after="0" w:line="240" w:lineRule="auto"/>
              <w:jc w:val="center"/>
            </w:pPr>
            <w:r>
              <w:t>19.8</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0DDBDE4" w14:textId="77777777" w:rsidR="00EB6564" w:rsidRDefault="00EB6564" w:rsidP="00134EA2">
            <w:pPr>
              <w:pStyle w:val="06cTABLETEXT"/>
              <w:spacing w:after="0" w:line="240" w:lineRule="auto"/>
              <w:jc w:val="center"/>
            </w:pPr>
            <w:r>
              <w:t>Met</w:t>
            </w:r>
          </w:p>
        </w:tc>
      </w:tr>
      <w:tr w:rsidR="00EB6564" w14:paraId="053A8753"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8CEE950" w14:textId="77777777" w:rsidR="00EB6564" w:rsidRDefault="00EB6564" w:rsidP="00134EA2">
            <w:pPr>
              <w:pStyle w:val="06cTABLETEXT"/>
              <w:spacing w:after="0" w:line="240" w:lineRule="auto"/>
            </w:pPr>
            <w:r>
              <w:t>Liverpool</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4D988F0"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8674817" w14:textId="77777777" w:rsidR="00EB6564" w:rsidRDefault="00EB6564" w:rsidP="00134EA2">
            <w:pPr>
              <w:pStyle w:val="06cTABLETEXT"/>
              <w:spacing w:after="0" w:line="240" w:lineRule="auto"/>
              <w:jc w:val="center"/>
            </w:pPr>
            <w:r>
              <w:t>13</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D455938"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87CA264" w14:textId="77777777" w:rsidR="00EB6564" w:rsidRDefault="00EB6564" w:rsidP="00134EA2">
            <w:pPr>
              <w:pStyle w:val="06cTABLETEXT"/>
              <w:spacing w:after="0" w:line="240" w:lineRule="auto"/>
              <w:jc w:val="center"/>
            </w:pPr>
            <w:r>
              <w:t>24.2</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06EC9A5" w14:textId="77777777" w:rsidR="00EB6564" w:rsidRDefault="00EB6564" w:rsidP="00134EA2">
            <w:pPr>
              <w:pStyle w:val="06cTABLETEXT"/>
              <w:spacing w:after="0" w:line="240" w:lineRule="auto"/>
              <w:jc w:val="center"/>
            </w:pPr>
            <w:r>
              <w:t>Met</w:t>
            </w:r>
          </w:p>
        </w:tc>
      </w:tr>
      <w:tr w:rsidR="00EB6564" w14:paraId="77A00ABA"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1664076" w14:textId="77777777" w:rsidR="00EB6564" w:rsidRDefault="00EB6564" w:rsidP="00134EA2">
            <w:pPr>
              <w:pStyle w:val="06cTABLETEXT"/>
              <w:spacing w:after="0" w:line="240" w:lineRule="auto"/>
            </w:pPr>
            <w:r>
              <w:t>Macquarie Park</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AC3C962"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4117844" w14:textId="77777777" w:rsidR="00EB6564" w:rsidRDefault="00EB6564" w:rsidP="00134EA2">
            <w:pPr>
              <w:pStyle w:val="06cTABLETEXT"/>
              <w:spacing w:after="0" w:line="240" w:lineRule="auto"/>
              <w:jc w:val="center"/>
            </w:pPr>
            <w:r>
              <w:t>4</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D3F7D01"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7AB60F5" w14:textId="77777777" w:rsidR="00EB6564" w:rsidRDefault="00EB6564" w:rsidP="00134EA2">
            <w:pPr>
              <w:pStyle w:val="06cTABLETEXT"/>
              <w:spacing w:after="0" w:line="240" w:lineRule="auto"/>
              <w:jc w:val="center"/>
            </w:pPr>
            <w:r>
              <w:t>17.2</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4B38FCB" w14:textId="77777777" w:rsidR="00EB6564" w:rsidRDefault="00EB6564" w:rsidP="00134EA2">
            <w:pPr>
              <w:pStyle w:val="06cTABLETEXT"/>
              <w:spacing w:after="0" w:line="240" w:lineRule="auto"/>
              <w:jc w:val="center"/>
            </w:pPr>
            <w:r>
              <w:t>Met</w:t>
            </w:r>
          </w:p>
        </w:tc>
      </w:tr>
      <w:tr w:rsidR="00EB6564" w14:paraId="0BDE3C96"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1C87350" w14:textId="77777777" w:rsidR="00EB6564" w:rsidRDefault="00EB6564" w:rsidP="00134EA2">
            <w:pPr>
              <w:pStyle w:val="06cTABLETEXT"/>
              <w:spacing w:after="0" w:line="240" w:lineRule="auto"/>
            </w:pPr>
            <w:r>
              <w:t>Oakdale</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1FC93B7"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1BB8A2E" w14:textId="77777777" w:rsidR="00EB6564" w:rsidRDefault="00EB6564" w:rsidP="00134EA2">
            <w:pPr>
              <w:pStyle w:val="06cTABLETEXT"/>
              <w:spacing w:after="0" w:line="240" w:lineRule="auto"/>
              <w:jc w:val="center"/>
            </w:pPr>
            <w:r>
              <w:t>5</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2B0D11E"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4532D89" w14:textId="77777777" w:rsidR="00EB6564" w:rsidRDefault="00EB6564" w:rsidP="00134EA2">
            <w:pPr>
              <w:pStyle w:val="06cTABLETEXT"/>
              <w:spacing w:after="0" w:line="240" w:lineRule="auto"/>
              <w:jc w:val="center"/>
            </w:pPr>
            <w:r>
              <w:t>15.4</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606BF1B" w14:textId="77777777" w:rsidR="00EB6564" w:rsidRDefault="00EB6564" w:rsidP="00134EA2">
            <w:pPr>
              <w:pStyle w:val="06cTABLETEXT"/>
              <w:spacing w:after="0" w:line="240" w:lineRule="auto"/>
              <w:jc w:val="center"/>
            </w:pPr>
            <w:r>
              <w:t>Met</w:t>
            </w:r>
          </w:p>
        </w:tc>
      </w:tr>
      <w:tr w:rsidR="00EB6564" w14:paraId="1FBB9C68"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7C70ECC" w14:textId="77777777" w:rsidR="00EB6564" w:rsidRDefault="00EB6564" w:rsidP="00134EA2">
            <w:pPr>
              <w:pStyle w:val="06cTABLETEXT"/>
              <w:spacing w:after="0" w:line="240" w:lineRule="auto"/>
            </w:pPr>
            <w:r>
              <w:t>Parramatta North</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A8F8CD0"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019E632" w14:textId="77777777" w:rsidR="00EB6564" w:rsidRDefault="00EB6564" w:rsidP="00134EA2">
            <w:pPr>
              <w:pStyle w:val="06cTABLETEXT"/>
              <w:spacing w:after="0" w:line="240" w:lineRule="auto"/>
              <w:jc w:val="center"/>
            </w:pPr>
            <w:r>
              <w:t>8</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CA0F5D1"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030AC0" w14:textId="77777777" w:rsidR="00EB6564" w:rsidRDefault="00EB6564" w:rsidP="00134EA2">
            <w:pPr>
              <w:pStyle w:val="06cTABLETEXT"/>
              <w:spacing w:after="0" w:line="240" w:lineRule="auto"/>
              <w:jc w:val="center"/>
            </w:pPr>
            <w:r>
              <w:t>21.6</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DC02798" w14:textId="77777777" w:rsidR="00EB6564" w:rsidRDefault="00EB6564" w:rsidP="00134EA2">
            <w:pPr>
              <w:pStyle w:val="06cTABLETEXT"/>
              <w:spacing w:after="0" w:line="240" w:lineRule="auto"/>
              <w:jc w:val="center"/>
            </w:pPr>
            <w:r>
              <w:t>Met</w:t>
            </w:r>
          </w:p>
        </w:tc>
      </w:tr>
      <w:tr w:rsidR="00EB6564" w14:paraId="65CC181D"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B6BFF5E" w14:textId="77777777" w:rsidR="00EB6564" w:rsidRDefault="00EB6564" w:rsidP="00134EA2">
            <w:pPr>
              <w:pStyle w:val="06cTABLETEXT"/>
              <w:spacing w:after="0" w:line="240" w:lineRule="auto"/>
            </w:pPr>
            <w:r>
              <w:t>Prospect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930C530"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F09AF02" w14:textId="77777777" w:rsidR="00EB6564" w:rsidRDefault="00EB6564" w:rsidP="00134EA2">
            <w:pPr>
              <w:pStyle w:val="06cTABLETEXT"/>
              <w:spacing w:after="0" w:line="240" w:lineRule="auto"/>
              <w:jc w:val="center"/>
            </w:pPr>
            <w:r>
              <w:t>8</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18BC136"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97FF428" w14:textId="77777777" w:rsidR="00EB6564" w:rsidRDefault="00EB6564" w:rsidP="00134EA2">
            <w:pPr>
              <w:pStyle w:val="06cTABLETEXT"/>
              <w:spacing w:after="0" w:line="240" w:lineRule="auto"/>
              <w:jc w:val="center"/>
            </w:pPr>
            <w:r>
              <w:t>21.9</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CC67D91" w14:textId="77777777" w:rsidR="00EB6564" w:rsidRDefault="00EB6564" w:rsidP="00134EA2">
            <w:pPr>
              <w:pStyle w:val="06cTABLETEXT"/>
              <w:spacing w:after="0" w:line="240" w:lineRule="auto"/>
              <w:jc w:val="center"/>
            </w:pPr>
            <w:r>
              <w:t>Met</w:t>
            </w:r>
          </w:p>
        </w:tc>
      </w:tr>
      <w:tr w:rsidR="00EB6564" w14:paraId="583EFDAD"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1C5F4DD" w14:textId="77777777" w:rsidR="00EB6564" w:rsidRDefault="00EB6564" w:rsidP="00134EA2">
            <w:pPr>
              <w:pStyle w:val="06cTABLETEXT"/>
              <w:spacing w:after="0" w:line="240" w:lineRule="auto"/>
            </w:pPr>
            <w:r>
              <w:t>Randwick</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24FA472"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4645AF1" w14:textId="77777777" w:rsidR="00EB6564" w:rsidRDefault="00EB6564" w:rsidP="00134EA2">
            <w:pPr>
              <w:pStyle w:val="06cTABLETEXT"/>
              <w:spacing w:after="0" w:line="240" w:lineRule="auto"/>
              <w:jc w:val="center"/>
            </w:pPr>
            <w:r>
              <w:t>5</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901ABDD"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02B25BD" w14:textId="77777777" w:rsidR="00EB6564" w:rsidRDefault="00EB6564" w:rsidP="00134EA2">
            <w:pPr>
              <w:pStyle w:val="06cTABLETEXT"/>
              <w:spacing w:after="0" w:line="240" w:lineRule="auto"/>
              <w:jc w:val="center"/>
            </w:pPr>
            <w:r>
              <w:t>21.2</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2537F15" w14:textId="77777777" w:rsidR="00EB6564" w:rsidRDefault="00EB6564" w:rsidP="00134EA2">
            <w:pPr>
              <w:pStyle w:val="06cTABLETEXT"/>
              <w:spacing w:after="0" w:line="240" w:lineRule="auto"/>
              <w:jc w:val="center"/>
            </w:pPr>
            <w:r>
              <w:t>Met</w:t>
            </w:r>
          </w:p>
        </w:tc>
      </w:tr>
      <w:tr w:rsidR="00EB6564" w14:paraId="62529C5B"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96C6C5" w14:textId="77777777" w:rsidR="00EB6564" w:rsidRDefault="00EB6564" w:rsidP="00134EA2">
            <w:pPr>
              <w:pStyle w:val="06cTABLETEXT"/>
              <w:spacing w:after="0" w:line="240" w:lineRule="auto"/>
            </w:pPr>
            <w:r>
              <w:t>Richmond</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5433C8"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B534CAF" w14:textId="77777777" w:rsidR="00EB6564" w:rsidRDefault="00EB6564" w:rsidP="00134EA2">
            <w:pPr>
              <w:pStyle w:val="06cTABLETEXT"/>
              <w:spacing w:after="0" w:line="240" w:lineRule="auto"/>
              <w:jc w:val="center"/>
            </w:pPr>
            <w:r>
              <w:t>8</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5B1A4EC"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B10D948" w14:textId="77777777" w:rsidR="00EB6564" w:rsidRDefault="00EB6564" w:rsidP="00134EA2">
            <w:pPr>
              <w:pStyle w:val="06cTABLETEXT"/>
              <w:spacing w:after="0" w:line="240" w:lineRule="auto"/>
              <w:jc w:val="center"/>
            </w:pPr>
            <w:r>
              <w:t>18.7</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06CA069" w14:textId="77777777" w:rsidR="00EB6564" w:rsidRDefault="00EB6564" w:rsidP="00134EA2">
            <w:pPr>
              <w:pStyle w:val="06cTABLETEXT"/>
              <w:spacing w:after="0" w:line="240" w:lineRule="auto"/>
              <w:jc w:val="center"/>
            </w:pPr>
            <w:r>
              <w:t>Met</w:t>
            </w:r>
          </w:p>
        </w:tc>
      </w:tr>
      <w:tr w:rsidR="00EB6564" w14:paraId="4C5B2844"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454274" w14:textId="77777777" w:rsidR="00EB6564" w:rsidRDefault="00EB6564" w:rsidP="00134EA2">
            <w:pPr>
              <w:pStyle w:val="06cTABLETEXT"/>
              <w:spacing w:after="0" w:line="240" w:lineRule="auto"/>
            </w:pPr>
            <w:r>
              <w:t>Rozelle*</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A131096" w14:textId="77777777" w:rsidR="00EB6564" w:rsidRDefault="00EB6564" w:rsidP="00134EA2">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8705064" w14:textId="77777777" w:rsidR="00EB6564" w:rsidRDefault="00EB6564" w:rsidP="00134EA2">
            <w:pPr>
              <w:pStyle w:val="NoParagraphStyle"/>
              <w:spacing w:line="240" w:lineRule="auto"/>
              <w:textAlignment w:val="auto"/>
              <w:rPr>
                <w:rFonts w:ascii="Calibri" w:hAnsi="Calibri" w:cs="Calibri"/>
                <w:color w:val="auto"/>
              </w:rPr>
            </w:pP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7C8D696" w14:textId="77777777" w:rsidR="00EB6564" w:rsidRDefault="00EB6564" w:rsidP="00134EA2">
            <w:pPr>
              <w:pStyle w:val="06cTABLETEXT"/>
              <w:spacing w:after="0" w:line="240" w:lineRule="auto"/>
              <w:jc w:val="center"/>
            </w:pPr>
            <w:r>
              <w:t>ND</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EDCEC32" w14:textId="77777777" w:rsidR="00EB6564" w:rsidRDefault="00EB6564" w:rsidP="00134EA2">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C5DFA61" w14:textId="77777777" w:rsidR="00EB6564" w:rsidRDefault="00EB6564" w:rsidP="00134EA2">
            <w:pPr>
              <w:pStyle w:val="06cTABLETEXT"/>
              <w:spacing w:after="0" w:line="240" w:lineRule="auto"/>
              <w:jc w:val="center"/>
            </w:pPr>
            <w:r>
              <w:t>ND</w:t>
            </w:r>
          </w:p>
        </w:tc>
      </w:tr>
      <w:tr w:rsidR="00EB6564" w14:paraId="60A08266"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24880D" w14:textId="77777777" w:rsidR="00EB6564" w:rsidRDefault="00EB6564" w:rsidP="00134EA2">
            <w:pPr>
              <w:pStyle w:val="06cTABLETEXT"/>
              <w:spacing w:after="0" w:line="240" w:lineRule="auto"/>
            </w:pPr>
            <w:r>
              <w:t>St Marys**</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4844245" w14:textId="77777777" w:rsidR="00EB6564" w:rsidRDefault="00EB6564" w:rsidP="00134EA2">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0EF5252" w14:textId="77777777" w:rsidR="00EB6564" w:rsidRDefault="00EB6564" w:rsidP="00134EA2">
            <w:pPr>
              <w:pStyle w:val="NoParagraphStyle"/>
              <w:spacing w:line="240" w:lineRule="auto"/>
              <w:textAlignment w:val="auto"/>
              <w:rPr>
                <w:rFonts w:ascii="Calibri" w:hAnsi="Calibri" w:cs="Calibri"/>
                <w:color w:val="auto"/>
              </w:rPr>
            </w:pP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835D401" w14:textId="77777777" w:rsidR="00EB6564" w:rsidRDefault="00EB6564" w:rsidP="00134EA2">
            <w:pPr>
              <w:pStyle w:val="06cTABLETEXT"/>
              <w:spacing w:after="0" w:line="240" w:lineRule="auto"/>
              <w:jc w:val="center"/>
            </w:pPr>
            <w:r>
              <w:t>ND</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412F763" w14:textId="77777777" w:rsidR="00EB6564" w:rsidRDefault="00EB6564" w:rsidP="00134EA2">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6A986AD" w14:textId="77777777" w:rsidR="00EB6564" w:rsidRDefault="00EB6564" w:rsidP="00134EA2">
            <w:pPr>
              <w:pStyle w:val="06cTABLETEXT"/>
              <w:spacing w:after="0" w:line="240" w:lineRule="auto"/>
              <w:jc w:val="center"/>
            </w:pPr>
            <w:r>
              <w:t>ND</w:t>
            </w:r>
          </w:p>
        </w:tc>
      </w:tr>
      <w:tr w:rsidR="00EB6564" w14:paraId="7DA18CCA" w14:textId="77777777" w:rsidTr="008B4D97">
        <w:trPr>
          <w:trHeight w:val="60"/>
        </w:trPr>
        <w:tc>
          <w:tcPr>
            <w:tcW w:w="7417" w:type="dxa"/>
            <w:gridSpan w:val="6"/>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08B75E19" w14:textId="77777777" w:rsidR="00EB6564" w:rsidRDefault="00EB6564" w:rsidP="00134EA2">
            <w:pPr>
              <w:pStyle w:val="06cTABLETEXT"/>
              <w:spacing w:after="0" w:line="240" w:lineRule="auto"/>
            </w:pPr>
            <w:r>
              <w:rPr>
                <w:rStyle w:val="BOLD"/>
              </w:rPr>
              <w:t>Central Coast</w:t>
            </w:r>
          </w:p>
        </w:tc>
      </w:tr>
      <w:tr w:rsidR="00EB6564" w14:paraId="62D57227"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9A32BED" w14:textId="77777777" w:rsidR="00EB6564" w:rsidRDefault="00EB6564" w:rsidP="00134EA2">
            <w:pPr>
              <w:pStyle w:val="06cTABLETEXT"/>
              <w:spacing w:after="0" w:line="240" w:lineRule="auto"/>
            </w:pPr>
            <w:r>
              <w:t>Wyong</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3D8F764"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5979E6D" w14:textId="77777777" w:rsidR="00EB6564" w:rsidRDefault="00EB6564" w:rsidP="00134EA2">
            <w:pPr>
              <w:pStyle w:val="06cTABLETEXT"/>
              <w:spacing w:after="0" w:line="240" w:lineRule="auto"/>
              <w:jc w:val="center"/>
            </w:pPr>
            <w:r>
              <w:t>6</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4A5B967" w14:textId="77777777" w:rsidR="00EB6564" w:rsidRDefault="00EB6564" w:rsidP="00134EA2">
            <w:pPr>
              <w:pStyle w:val="06cTABLETEXT"/>
              <w:spacing w:after="0" w:line="240" w:lineRule="auto"/>
              <w:jc w:val="center"/>
            </w:pPr>
            <w:r>
              <w:t xml:space="preserve">Met </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4C67D5B" w14:textId="77777777" w:rsidR="00EB6564" w:rsidRDefault="00EB6564" w:rsidP="00134EA2">
            <w:pPr>
              <w:pStyle w:val="06cTABLETEXT"/>
              <w:spacing w:after="0" w:line="240" w:lineRule="auto"/>
              <w:jc w:val="center"/>
            </w:pPr>
            <w:r>
              <w:t>18.0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DC3FD32" w14:textId="77777777" w:rsidR="00EB6564" w:rsidRDefault="00EB6564" w:rsidP="00134EA2">
            <w:pPr>
              <w:pStyle w:val="06cTABLETEXT"/>
              <w:spacing w:after="0" w:line="240" w:lineRule="auto"/>
              <w:jc w:val="center"/>
            </w:pPr>
            <w:r>
              <w:t xml:space="preserve">Met </w:t>
            </w:r>
          </w:p>
        </w:tc>
      </w:tr>
      <w:tr w:rsidR="00EB6564" w14:paraId="79738BCD" w14:textId="77777777" w:rsidTr="008B4D97">
        <w:trPr>
          <w:trHeight w:val="60"/>
        </w:trPr>
        <w:tc>
          <w:tcPr>
            <w:tcW w:w="7417" w:type="dxa"/>
            <w:gridSpan w:val="6"/>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1894046" w14:textId="77777777" w:rsidR="00EB6564" w:rsidRDefault="00EB6564" w:rsidP="00134EA2">
            <w:pPr>
              <w:pStyle w:val="04bHEADING5"/>
              <w:spacing w:after="0" w:line="240" w:lineRule="auto"/>
            </w:pPr>
            <w:r>
              <w:rPr>
                <w:rStyle w:val="BOLD"/>
                <w:b/>
                <w:bCs/>
                <w:i w:val="0"/>
                <w:iCs w:val="0"/>
              </w:rPr>
              <w:t>Illawarra</w:t>
            </w:r>
          </w:p>
        </w:tc>
      </w:tr>
      <w:tr w:rsidR="00EB6564" w14:paraId="05E834A2"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C73786" w14:textId="77777777" w:rsidR="00EB6564" w:rsidRDefault="00EB6564" w:rsidP="00134EA2">
            <w:pPr>
              <w:pStyle w:val="06cTABLETEXT"/>
              <w:spacing w:after="0" w:line="240" w:lineRule="auto"/>
            </w:pPr>
            <w:r>
              <w:t>Albion Park South</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5A9F9DA"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4E308CB" w14:textId="77777777" w:rsidR="00EB6564" w:rsidRDefault="00EB6564" w:rsidP="00134EA2">
            <w:pPr>
              <w:pStyle w:val="06cTABLETEXT"/>
              <w:spacing w:after="0" w:line="240" w:lineRule="auto"/>
              <w:jc w:val="center"/>
            </w:pPr>
            <w:r>
              <w:t>2</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4D54377"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489FF7A" w14:textId="77777777" w:rsidR="00EB6564" w:rsidRDefault="00EB6564" w:rsidP="00134EA2">
            <w:pPr>
              <w:pStyle w:val="06cTABLETEXT"/>
              <w:spacing w:after="0" w:line="240" w:lineRule="auto"/>
              <w:jc w:val="center"/>
            </w:pPr>
            <w:r>
              <w:t>17.8</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D1ABD97" w14:textId="77777777" w:rsidR="00EB6564" w:rsidRDefault="00EB6564" w:rsidP="00134EA2">
            <w:pPr>
              <w:pStyle w:val="06cTABLETEXT"/>
              <w:spacing w:after="0" w:line="240" w:lineRule="auto"/>
              <w:jc w:val="center"/>
            </w:pPr>
            <w:r>
              <w:t>Met</w:t>
            </w:r>
          </w:p>
        </w:tc>
      </w:tr>
      <w:tr w:rsidR="00EB6564" w14:paraId="6F774590"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37D82F" w14:textId="77777777" w:rsidR="00EB6564" w:rsidRDefault="00EB6564" w:rsidP="00134EA2">
            <w:pPr>
              <w:pStyle w:val="06cTABLETEXT"/>
              <w:spacing w:after="0" w:line="240" w:lineRule="auto"/>
            </w:pPr>
            <w:r>
              <w:t>Kembla Grange</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16D58CB" w14:textId="77777777" w:rsidR="00EB6564" w:rsidRDefault="00EB6564" w:rsidP="00134EA2">
            <w:pPr>
              <w:pStyle w:val="06cTABLETEXT"/>
              <w:spacing w:after="0" w:line="240" w:lineRule="auto"/>
              <w:jc w:val="center"/>
            </w:pPr>
            <w:r>
              <w:t>1</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AF435CA" w14:textId="77777777" w:rsidR="00EB6564" w:rsidRDefault="00EB6564" w:rsidP="00134EA2">
            <w:pPr>
              <w:pStyle w:val="06cTABLETEXT"/>
              <w:spacing w:after="0" w:line="240" w:lineRule="auto"/>
              <w:jc w:val="center"/>
            </w:pPr>
            <w:r>
              <w:t>9</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5C0829D" w14:textId="77777777" w:rsidR="00EB6564" w:rsidRDefault="00EB6564" w:rsidP="00134EA2">
            <w:pPr>
              <w:pStyle w:val="06cTABLETEXT"/>
              <w:spacing w:after="0" w:line="240" w:lineRule="auto"/>
              <w:jc w:val="center"/>
            </w:pPr>
            <w:r>
              <w:t>Not 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55FA12B" w14:textId="77777777" w:rsidR="00EB6564" w:rsidRDefault="00EB6564" w:rsidP="00134EA2">
            <w:pPr>
              <w:pStyle w:val="06cTABLETEXT"/>
              <w:spacing w:after="0" w:line="240" w:lineRule="auto"/>
              <w:jc w:val="center"/>
            </w:pPr>
            <w:r>
              <w:t>22.7</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0B6CA2F" w14:textId="77777777" w:rsidR="00EB6564" w:rsidRDefault="00EB6564" w:rsidP="00134EA2">
            <w:pPr>
              <w:pStyle w:val="06cTABLETEXT"/>
              <w:spacing w:after="0" w:line="240" w:lineRule="auto"/>
              <w:jc w:val="center"/>
            </w:pPr>
            <w:r>
              <w:t>Met</w:t>
            </w:r>
          </w:p>
        </w:tc>
      </w:tr>
      <w:tr w:rsidR="00EB6564" w14:paraId="75810BFB"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DB49302" w14:textId="77777777" w:rsidR="00EB6564" w:rsidRDefault="00EB6564" w:rsidP="00134EA2">
            <w:pPr>
              <w:pStyle w:val="06cTABLETEXT"/>
              <w:spacing w:after="0" w:line="240" w:lineRule="auto"/>
            </w:pPr>
            <w:r>
              <w:t>Wollongong</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3788A92"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268CA85" w14:textId="77777777" w:rsidR="00EB6564" w:rsidRDefault="00EB6564" w:rsidP="00134EA2">
            <w:pPr>
              <w:pStyle w:val="06cTABLETEXT"/>
              <w:spacing w:after="0" w:line="240" w:lineRule="auto"/>
              <w:jc w:val="center"/>
            </w:pPr>
            <w:r>
              <w:t>5</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92E3518"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CB7BF53" w14:textId="77777777" w:rsidR="00EB6564" w:rsidRDefault="00EB6564" w:rsidP="00134EA2">
            <w:pPr>
              <w:pStyle w:val="06cTABLETEXT"/>
              <w:spacing w:after="0" w:line="240" w:lineRule="auto"/>
              <w:jc w:val="center"/>
            </w:pPr>
            <w:r>
              <w:t>19.8</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0339252" w14:textId="77777777" w:rsidR="00EB6564" w:rsidRDefault="00EB6564" w:rsidP="00134EA2">
            <w:pPr>
              <w:pStyle w:val="06cTABLETEXT"/>
              <w:spacing w:after="0" w:line="240" w:lineRule="auto"/>
              <w:jc w:val="center"/>
            </w:pPr>
            <w:r>
              <w:t>Met</w:t>
            </w:r>
          </w:p>
        </w:tc>
      </w:tr>
      <w:tr w:rsidR="00EB6564" w14:paraId="1CA94A4A"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72B5A53A" w14:textId="77777777" w:rsidR="00EB6564" w:rsidRDefault="00EB6564" w:rsidP="00134EA2">
            <w:pPr>
              <w:pStyle w:val="06cTABLETEXT"/>
              <w:spacing w:after="0" w:line="240" w:lineRule="auto"/>
            </w:pPr>
            <w:r>
              <w:rPr>
                <w:rStyle w:val="BOLD"/>
              </w:rPr>
              <w:t>Lower Hunter</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D908474" w14:textId="77777777" w:rsidR="00EB6564" w:rsidRDefault="00EB6564" w:rsidP="00134EA2">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6C361CA5" w14:textId="77777777" w:rsidR="00EB6564" w:rsidRDefault="00EB6564" w:rsidP="00134EA2">
            <w:pPr>
              <w:pStyle w:val="NoParagraphStyle"/>
              <w:spacing w:line="240" w:lineRule="auto"/>
              <w:textAlignment w:val="auto"/>
              <w:rPr>
                <w:rFonts w:ascii="Calibri" w:hAnsi="Calibri" w:cs="Calibri"/>
                <w:color w:val="auto"/>
              </w:rPr>
            </w:pP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72F5E338" w14:textId="77777777" w:rsidR="00EB6564" w:rsidRDefault="00EB6564" w:rsidP="00134EA2">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5E1AD028" w14:textId="77777777" w:rsidR="00EB6564" w:rsidRDefault="00EB6564" w:rsidP="00134EA2">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5B06F43" w14:textId="77777777" w:rsidR="00EB6564" w:rsidRDefault="00EB6564" w:rsidP="00134EA2">
            <w:pPr>
              <w:pStyle w:val="NoParagraphStyle"/>
              <w:spacing w:line="240" w:lineRule="auto"/>
              <w:textAlignment w:val="auto"/>
              <w:rPr>
                <w:rFonts w:ascii="Calibri" w:hAnsi="Calibri" w:cs="Calibri"/>
                <w:color w:val="auto"/>
              </w:rPr>
            </w:pPr>
          </w:p>
        </w:tc>
      </w:tr>
      <w:tr w:rsidR="00EB6564" w14:paraId="25763CA7"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593B068" w14:textId="77777777" w:rsidR="00EB6564" w:rsidRDefault="00EB6564" w:rsidP="00134EA2">
            <w:pPr>
              <w:pStyle w:val="06cTABLETEXT"/>
              <w:spacing w:after="0" w:line="240" w:lineRule="auto"/>
            </w:pPr>
            <w:r>
              <w:t>Beresfield</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DE3501D"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4852335" w14:textId="77777777" w:rsidR="00EB6564" w:rsidRDefault="00EB6564" w:rsidP="00134EA2">
            <w:pPr>
              <w:pStyle w:val="06cTABLETEXT"/>
              <w:spacing w:after="0" w:line="240" w:lineRule="auto"/>
              <w:jc w:val="center"/>
            </w:pPr>
            <w:r>
              <w:t>8</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2A4645A"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7AA77BB" w14:textId="77777777" w:rsidR="00EB6564" w:rsidRDefault="00EB6564" w:rsidP="00134EA2">
            <w:pPr>
              <w:pStyle w:val="06cTABLETEXT"/>
              <w:spacing w:after="0" w:line="240" w:lineRule="auto"/>
              <w:jc w:val="center"/>
            </w:pPr>
            <w:r>
              <w:t>21.6</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1C03320" w14:textId="77777777" w:rsidR="00EB6564" w:rsidRDefault="00EB6564" w:rsidP="00134EA2">
            <w:pPr>
              <w:pStyle w:val="06cTABLETEXT"/>
              <w:spacing w:after="0" w:line="240" w:lineRule="auto"/>
              <w:jc w:val="center"/>
            </w:pPr>
            <w:r>
              <w:t>Met</w:t>
            </w:r>
          </w:p>
        </w:tc>
      </w:tr>
      <w:tr w:rsidR="00EB6564" w14:paraId="04147390"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40186F8" w14:textId="77777777" w:rsidR="00EB6564" w:rsidRDefault="00EB6564" w:rsidP="00134EA2">
            <w:pPr>
              <w:pStyle w:val="06cTABLETEXT"/>
              <w:spacing w:after="0" w:line="240" w:lineRule="auto"/>
            </w:pPr>
            <w:r>
              <w:t>Newcastle</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9A3A9B2"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6B1BDB8" w14:textId="77777777" w:rsidR="00EB6564" w:rsidRDefault="00EB6564" w:rsidP="00134EA2">
            <w:pPr>
              <w:pStyle w:val="06cTABLETEXT"/>
              <w:spacing w:after="0" w:line="240" w:lineRule="auto"/>
              <w:jc w:val="center"/>
            </w:pPr>
            <w:r>
              <w:t>8</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BC8348E"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A94F6F6" w14:textId="77777777" w:rsidR="00EB6564" w:rsidRDefault="00EB6564" w:rsidP="00134EA2">
            <w:pPr>
              <w:pStyle w:val="06cTABLETEXT"/>
              <w:spacing w:after="0" w:line="240" w:lineRule="auto"/>
              <w:jc w:val="center"/>
            </w:pPr>
            <w:r>
              <w:t>24.5</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FD3313B" w14:textId="77777777" w:rsidR="00EB6564" w:rsidRDefault="00EB6564" w:rsidP="00134EA2">
            <w:pPr>
              <w:pStyle w:val="06cTABLETEXT"/>
              <w:spacing w:after="0" w:line="240" w:lineRule="auto"/>
              <w:jc w:val="center"/>
            </w:pPr>
            <w:r>
              <w:t>Met</w:t>
            </w:r>
          </w:p>
        </w:tc>
      </w:tr>
      <w:tr w:rsidR="00EB6564" w14:paraId="6DD76B03"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FA20799" w14:textId="77777777" w:rsidR="00EB6564" w:rsidRDefault="00EB6564" w:rsidP="00134EA2">
            <w:pPr>
              <w:pStyle w:val="06cTABLETEXT"/>
              <w:spacing w:after="0" w:line="240" w:lineRule="auto"/>
            </w:pPr>
            <w:r>
              <w:t>Wallsend</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60A3979"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14B95F8" w14:textId="77777777" w:rsidR="00EB6564" w:rsidRDefault="00EB6564" w:rsidP="00134EA2">
            <w:pPr>
              <w:pStyle w:val="06cTABLETEXT"/>
              <w:spacing w:after="0" w:line="240" w:lineRule="auto"/>
              <w:jc w:val="center"/>
            </w:pPr>
            <w:r>
              <w:t>5</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BC54214"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984E430" w14:textId="77777777" w:rsidR="00EB6564" w:rsidRDefault="00EB6564" w:rsidP="00134EA2">
            <w:pPr>
              <w:pStyle w:val="06cTABLETEXT"/>
              <w:spacing w:after="0" w:line="240" w:lineRule="auto"/>
              <w:jc w:val="center"/>
            </w:pPr>
            <w:r>
              <w:t>19.4</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A32E711" w14:textId="77777777" w:rsidR="00EB6564" w:rsidRDefault="00EB6564" w:rsidP="00134EA2">
            <w:pPr>
              <w:pStyle w:val="06cTABLETEXT"/>
              <w:spacing w:after="0" w:line="240" w:lineRule="auto"/>
              <w:jc w:val="center"/>
            </w:pPr>
            <w:r>
              <w:t>Met</w:t>
            </w:r>
          </w:p>
        </w:tc>
      </w:tr>
      <w:tr w:rsidR="00EB6564" w14:paraId="0A20A527" w14:textId="77777777" w:rsidTr="008B4D97">
        <w:trPr>
          <w:trHeight w:val="60"/>
        </w:trPr>
        <w:tc>
          <w:tcPr>
            <w:tcW w:w="7417" w:type="dxa"/>
            <w:gridSpan w:val="6"/>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7C314B3F" w14:textId="77777777" w:rsidR="00EB6564" w:rsidRDefault="00EB6564" w:rsidP="00134EA2">
            <w:pPr>
              <w:pStyle w:val="06cTABLETEXT"/>
              <w:spacing w:after="0" w:line="240" w:lineRule="auto"/>
            </w:pPr>
            <w:r>
              <w:rPr>
                <w:rStyle w:val="BOLD"/>
              </w:rPr>
              <w:t>Regional New South Wales</w:t>
            </w:r>
          </w:p>
        </w:tc>
      </w:tr>
      <w:tr w:rsidR="00EB6564" w14:paraId="2B9CB98C"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16C86FC" w14:textId="77777777" w:rsidR="00EB6564" w:rsidRDefault="00EB6564" w:rsidP="00134EA2">
            <w:pPr>
              <w:pStyle w:val="06cTABLETEXT"/>
              <w:spacing w:after="0" w:line="240" w:lineRule="auto"/>
            </w:pPr>
            <w:r>
              <w:t>Albury</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B8345C4" w14:textId="77777777" w:rsidR="00EB6564" w:rsidRDefault="00EB6564" w:rsidP="00134EA2">
            <w:pPr>
              <w:pStyle w:val="06cTABLETEXT"/>
              <w:spacing w:after="0" w:line="240" w:lineRule="auto"/>
              <w:jc w:val="center"/>
            </w:pPr>
            <w:r>
              <w:t>4</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6185056" w14:textId="77777777" w:rsidR="00EB6564" w:rsidRDefault="00EB6564" w:rsidP="00134EA2">
            <w:pPr>
              <w:pStyle w:val="06cTABLETEXT"/>
              <w:spacing w:after="0" w:line="240" w:lineRule="auto"/>
              <w:jc w:val="center"/>
            </w:pPr>
            <w:r>
              <w:t>3</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DCECECD" w14:textId="77777777" w:rsidR="00EB6564" w:rsidRDefault="00EB6564" w:rsidP="00134EA2">
            <w:pPr>
              <w:pStyle w:val="06cTABLETEXT"/>
              <w:spacing w:after="0" w:line="240" w:lineRule="auto"/>
              <w:jc w:val="center"/>
            </w:pPr>
            <w:r>
              <w:t>Not 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1E08D55" w14:textId="77777777" w:rsidR="00EB6564" w:rsidRDefault="00EB6564" w:rsidP="00134EA2">
            <w:pPr>
              <w:pStyle w:val="06cTABLETEXT"/>
              <w:spacing w:after="0" w:line="240" w:lineRule="auto"/>
              <w:jc w:val="center"/>
            </w:pPr>
            <w:r>
              <w:t>19.8</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E9A96ED" w14:textId="77777777" w:rsidR="00EB6564" w:rsidRDefault="00EB6564" w:rsidP="00134EA2">
            <w:pPr>
              <w:pStyle w:val="06cTABLETEXT"/>
              <w:spacing w:after="0" w:line="240" w:lineRule="auto"/>
              <w:jc w:val="center"/>
            </w:pPr>
            <w:r>
              <w:t>Met</w:t>
            </w:r>
          </w:p>
        </w:tc>
      </w:tr>
      <w:tr w:rsidR="00EB6564" w14:paraId="4274ABE2"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6870A39" w14:textId="77777777" w:rsidR="00EB6564" w:rsidRDefault="00EB6564" w:rsidP="00134EA2">
            <w:pPr>
              <w:pStyle w:val="06cTABLETEXT"/>
              <w:spacing w:after="0" w:line="240" w:lineRule="auto"/>
            </w:pPr>
            <w:r>
              <w:lastRenderedPageBreak/>
              <w:t>Bathurst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5A008CA"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77E36A7" w14:textId="77777777" w:rsidR="00EB6564" w:rsidRDefault="00EB6564" w:rsidP="00134EA2">
            <w:pPr>
              <w:pStyle w:val="06cTABLETEXT"/>
              <w:spacing w:after="0" w:line="240" w:lineRule="auto"/>
              <w:jc w:val="center"/>
            </w:pPr>
            <w:r>
              <w:t>8</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037584"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FC0226A" w14:textId="77777777" w:rsidR="00EB6564" w:rsidRDefault="00EB6564" w:rsidP="00134EA2">
            <w:pPr>
              <w:pStyle w:val="06cTABLETEXT"/>
              <w:spacing w:after="0" w:line="240" w:lineRule="auto"/>
              <w:jc w:val="center"/>
            </w:pPr>
            <w:r>
              <w:t>18.8</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8F53811" w14:textId="77777777" w:rsidR="00EB6564" w:rsidRDefault="00EB6564" w:rsidP="00134EA2">
            <w:pPr>
              <w:pStyle w:val="06cTABLETEXT"/>
              <w:spacing w:after="0" w:line="240" w:lineRule="auto"/>
              <w:jc w:val="center"/>
            </w:pPr>
            <w:r>
              <w:t>Met</w:t>
            </w:r>
          </w:p>
        </w:tc>
      </w:tr>
      <w:tr w:rsidR="00EB6564" w14:paraId="05558859"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0F2D06D" w14:textId="77777777" w:rsidR="00EB6564" w:rsidRDefault="00EB6564" w:rsidP="00134EA2">
            <w:pPr>
              <w:pStyle w:val="06cTABLETEXT"/>
              <w:spacing w:after="0" w:line="240" w:lineRule="auto"/>
            </w:pPr>
            <w:r>
              <w:t>Gunnedah</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E329879"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610409D" w14:textId="77777777" w:rsidR="00EB6564" w:rsidRDefault="00EB6564" w:rsidP="00134EA2">
            <w:pPr>
              <w:pStyle w:val="06cTABLETEXT"/>
              <w:spacing w:after="0" w:line="240" w:lineRule="auto"/>
              <w:jc w:val="center"/>
            </w:pPr>
            <w:r>
              <w:t>10</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8B74AB"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9078F59" w14:textId="77777777" w:rsidR="00EB6564" w:rsidRDefault="00EB6564" w:rsidP="00134EA2">
            <w:pPr>
              <w:pStyle w:val="06cTABLETEXT"/>
              <w:spacing w:after="0" w:line="240" w:lineRule="auto"/>
              <w:jc w:val="center"/>
            </w:pPr>
            <w:r>
              <w:t>18.9</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2133143" w14:textId="77777777" w:rsidR="00EB6564" w:rsidRDefault="00EB6564" w:rsidP="00134EA2">
            <w:pPr>
              <w:pStyle w:val="06cTABLETEXT"/>
              <w:spacing w:after="0" w:line="240" w:lineRule="auto"/>
              <w:jc w:val="center"/>
            </w:pPr>
            <w:r>
              <w:t>Met</w:t>
            </w:r>
          </w:p>
        </w:tc>
      </w:tr>
      <w:tr w:rsidR="00EB6564" w14:paraId="6445C516"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D5C69DE" w14:textId="77777777" w:rsidR="00EB6564" w:rsidRDefault="00EB6564" w:rsidP="00134EA2">
            <w:pPr>
              <w:pStyle w:val="06cTABLETEXT"/>
              <w:spacing w:after="0" w:line="240" w:lineRule="auto"/>
            </w:pPr>
            <w:r>
              <w:t>Narrabri</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D563195"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EB8E2FF" w14:textId="77777777" w:rsidR="00EB6564" w:rsidRDefault="00EB6564" w:rsidP="00134EA2">
            <w:pPr>
              <w:pStyle w:val="06cTABLETEXT"/>
              <w:spacing w:after="0" w:line="240" w:lineRule="auto"/>
              <w:jc w:val="center"/>
            </w:pPr>
            <w:r>
              <w:t>10</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5E8F726"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55E5495" w14:textId="77777777" w:rsidR="00EB6564" w:rsidRDefault="00EB6564" w:rsidP="00134EA2">
            <w:pPr>
              <w:pStyle w:val="06cTABLETEXT"/>
              <w:spacing w:after="0" w:line="240" w:lineRule="auto"/>
              <w:jc w:val="center"/>
            </w:pPr>
            <w:r>
              <w:t>14.3</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EDFA18E" w14:textId="77777777" w:rsidR="00EB6564" w:rsidRDefault="00EB6564" w:rsidP="00134EA2">
            <w:pPr>
              <w:pStyle w:val="06cTABLETEXT"/>
              <w:spacing w:after="0" w:line="240" w:lineRule="auto"/>
              <w:jc w:val="center"/>
            </w:pPr>
            <w:r>
              <w:t>Met</w:t>
            </w:r>
          </w:p>
        </w:tc>
      </w:tr>
      <w:tr w:rsidR="00EB6564" w14:paraId="01B71BD4"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3A6CA9C" w14:textId="77777777" w:rsidR="00EB6564" w:rsidRDefault="00EB6564" w:rsidP="00134EA2">
            <w:pPr>
              <w:pStyle w:val="06cTABLETEXT"/>
              <w:spacing w:after="0" w:line="240" w:lineRule="auto"/>
            </w:pPr>
            <w:r>
              <w:t>Tamworth</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0B7B8E9" w14:textId="77777777" w:rsidR="00EB6564" w:rsidRDefault="00EB6564" w:rsidP="00134EA2">
            <w:pPr>
              <w:pStyle w:val="06cTABLETEXT"/>
              <w:spacing w:after="0" w:line="240" w:lineRule="auto"/>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33D8E3F" w14:textId="77777777" w:rsidR="00EB6564" w:rsidRDefault="00EB6564" w:rsidP="00134EA2">
            <w:pPr>
              <w:pStyle w:val="06cTABLETEXT"/>
              <w:spacing w:after="0" w:line="240" w:lineRule="auto"/>
              <w:jc w:val="center"/>
            </w:pPr>
            <w:r>
              <w:t>9</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B86EB4B" w14:textId="77777777" w:rsidR="00EB6564" w:rsidRDefault="00EB6564" w:rsidP="00134EA2">
            <w:pPr>
              <w:pStyle w:val="06cTABLETEXT"/>
              <w:spacing w:after="0" w:line="240" w:lineRule="auto"/>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1FD5F02" w14:textId="77777777" w:rsidR="00EB6564" w:rsidRDefault="00EB6564" w:rsidP="00134EA2">
            <w:pPr>
              <w:pStyle w:val="06cTABLETEXT"/>
              <w:spacing w:after="0" w:line="240" w:lineRule="auto"/>
              <w:jc w:val="center"/>
            </w:pPr>
            <w:r>
              <w:t>20.1</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032A380" w14:textId="77777777" w:rsidR="00EB6564" w:rsidRDefault="00EB6564" w:rsidP="00134EA2">
            <w:pPr>
              <w:pStyle w:val="06cTABLETEXT"/>
              <w:spacing w:after="0" w:line="240" w:lineRule="auto"/>
              <w:jc w:val="center"/>
            </w:pPr>
            <w:r>
              <w:t>Met</w:t>
            </w:r>
          </w:p>
        </w:tc>
      </w:tr>
      <w:tr w:rsidR="00EB6564" w14:paraId="1CE05147"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8B33B93" w14:textId="77777777" w:rsidR="00EB6564" w:rsidRDefault="00EB6564" w:rsidP="00134EA2">
            <w:pPr>
              <w:pStyle w:val="06cTABLETEXT"/>
              <w:spacing w:after="0" w:line="240" w:lineRule="auto"/>
            </w:pPr>
            <w:r>
              <w:t>Wagga Wagga North</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F017303" w14:textId="77777777" w:rsidR="00EB6564" w:rsidRDefault="00EB6564" w:rsidP="00134EA2">
            <w:pPr>
              <w:pStyle w:val="06cTABLETEXT"/>
              <w:spacing w:after="0" w:line="240" w:lineRule="auto"/>
              <w:jc w:val="center"/>
            </w:pPr>
            <w:r>
              <w:t>27</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5A60731" w14:textId="77777777" w:rsidR="00EB6564" w:rsidRDefault="00EB6564" w:rsidP="00134EA2">
            <w:pPr>
              <w:pStyle w:val="06cTABLETEXT"/>
              <w:spacing w:after="0" w:line="240" w:lineRule="auto"/>
              <w:jc w:val="center"/>
            </w:pPr>
            <w:r>
              <w:t>7</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D6EB91E" w14:textId="77777777" w:rsidR="00EB6564" w:rsidRDefault="00EB6564" w:rsidP="00134EA2">
            <w:pPr>
              <w:pStyle w:val="06cTABLETEXT"/>
              <w:spacing w:after="0" w:line="240" w:lineRule="auto"/>
              <w:jc w:val="center"/>
            </w:pPr>
            <w:r>
              <w:t>Not 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BC09754" w14:textId="77777777" w:rsidR="00EB6564" w:rsidRDefault="00EB6564" w:rsidP="00134EA2">
            <w:pPr>
              <w:pStyle w:val="06cTABLETEXT"/>
              <w:spacing w:after="0" w:line="240" w:lineRule="auto"/>
              <w:jc w:val="center"/>
            </w:pPr>
            <w:r>
              <w:t>27.4</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67A4CC8" w14:textId="77777777" w:rsidR="00EB6564" w:rsidRDefault="00EB6564" w:rsidP="00134EA2">
            <w:pPr>
              <w:pStyle w:val="06cTABLETEXT"/>
              <w:spacing w:after="0" w:line="240" w:lineRule="auto"/>
              <w:jc w:val="center"/>
            </w:pPr>
            <w:r>
              <w:t>Not Met</w:t>
            </w:r>
          </w:p>
        </w:tc>
      </w:tr>
    </w:tbl>
    <w:p w14:paraId="201AC03B" w14:textId="77777777" w:rsidR="00EB6564" w:rsidRDefault="00EB6564" w:rsidP="00397A8C">
      <w:pPr>
        <w:pStyle w:val="07FOOTNOTES"/>
        <w:spacing w:after="0"/>
      </w:pPr>
      <w:r>
        <w:t xml:space="preserve">* </w:t>
      </w:r>
      <w:r>
        <w:tab/>
        <w:t>ND (not determined) – the Rozelle station non-compliant with 75% data availability criteria for PM</w:t>
      </w:r>
      <w:r>
        <w:rPr>
          <w:vertAlign w:val="subscript"/>
        </w:rPr>
        <w:t>10</w:t>
      </w:r>
      <w:r>
        <w:t xml:space="preserve"> due to recommissioning of the site in 2018.</w:t>
      </w:r>
    </w:p>
    <w:p w14:paraId="3D4D6D01" w14:textId="2909A990" w:rsidR="00EB6564" w:rsidRDefault="00EB6564" w:rsidP="00EB6564">
      <w:pPr>
        <w:pStyle w:val="07FOOTNOTES"/>
        <w:spacing w:after="170"/>
      </w:pPr>
      <w:r>
        <w:t xml:space="preserve">** ND (not determined) – the St </w:t>
      </w:r>
      <w:proofErr w:type="spellStart"/>
      <w:r>
        <w:t>Marys</w:t>
      </w:r>
      <w:proofErr w:type="spellEnd"/>
      <w:r>
        <w:t xml:space="preserve"> station non-compliant with &gt; 75% data availability criteria for PM</w:t>
      </w:r>
      <w:r>
        <w:rPr>
          <w:vertAlign w:val="subscript"/>
        </w:rPr>
        <w:t>10</w:t>
      </w:r>
      <w:r>
        <w:t xml:space="preserve"> in 2018.</w:t>
      </w:r>
    </w:p>
    <w:p w14:paraId="5E5B8379" w14:textId="77777777" w:rsidR="00EB6564" w:rsidRDefault="00EB6564" w:rsidP="00EB6564">
      <w:pPr>
        <w:pStyle w:val="05BODYTEXT"/>
      </w:pPr>
      <w:r>
        <w:t>During 2018, compliance with the AAQ NEPM goals for particles as PM10 was demonstrated at 23 of 28 sites for the 24-hour goal and 25 of 28 sites for the annual goal.</w:t>
      </w:r>
    </w:p>
    <w:tbl>
      <w:tblPr>
        <w:tblW w:w="0" w:type="auto"/>
        <w:tblInd w:w="-8" w:type="dxa"/>
        <w:tblLayout w:type="fixed"/>
        <w:tblCellMar>
          <w:left w:w="0" w:type="dxa"/>
          <w:right w:w="0" w:type="dxa"/>
        </w:tblCellMar>
        <w:tblLook w:val="0000" w:firstRow="0" w:lastRow="0" w:firstColumn="0" w:lastColumn="0" w:noHBand="0" w:noVBand="0"/>
      </w:tblPr>
      <w:tblGrid>
        <w:gridCol w:w="1696"/>
        <w:gridCol w:w="5731"/>
      </w:tblGrid>
      <w:tr w:rsidR="00EB6564" w14:paraId="220F3517" w14:textId="77777777" w:rsidTr="00134EA2">
        <w:trPr>
          <w:trHeight w:val="60"/>
          <w:tblHeader/>
        </w:trPr>
        <w:tc>
          <w:tcPr>
            <w:tcW w:w="1696" w:type="dxa"/>
            <w:vMerge w:val="restart"/>
            <w:tcMar>
              <w:top w:w="85" w:type="dxa"/>
              <w:left w:w="85" w:type="dxa"/>
              <w:bottom w:w="85" w:type="dxa"/>
              <w:right w:w="85" w:type="dxa"/>
            </w:tcMar>
          </w:tcPr>
          <w:p w14:paraId="71E34668" w14:textId="77777777" w:rsidR="00EB6564" w:rsidRDefault="00EB6564" w:rsidP="00134EA2">
            <w:pPr>
              <w:pStyle w:val="CHEMICALCHEMTABLES"/>
              <w:spacing w:after="0" w:line="240" w:lineRule="auto"/>
            </w:pPr>
            <w:r>
              <w:t>PM</w:t>
            </w:r>
            <w:r>
              <w:rPr>
                <w:vertAlign w:val="subscript"/>
              </w:rPr>
              <w:t>2.5</w:t>
            </w:r>
          </w:p>
        </w:tc>
        <w:tc>
          <w:tcPr>
            <w:tcW w:w="5731" w:type="dxa"/>
            <w:tcMar>
              <w:top w:w="85" w:type="dxa"/>
              <w:left w:w="85" w:type="dxa"/>
              <w:bottom w:w="85" w:type="dxa"/>
              <w:right w:w="85" w:type="dxa"/>
            </w:tcMar>
          </w:tcPr>
          <w:p w14:paraId="3710FEE4" w14:textId="77777777" w:rsidR="00EB6564" w:rsidRDefault="00EB6564" w:rsidP="00134EA2">
            <w:pPr>
              <w:pStyle w:val="CHEMICALfullnameCHEMTABLES"/>
              <w:spacing w:after="0" w:line="240" w:lineRule="auto"/>
            </w:pPr>
            <w:r>
              <w:t>Particles as PM</w:t>
            </w:r>
            <w:r>
              <w:rPr>
                <w:vertAlign w:val="subscript"/>
              </w:rPr>
              <w:t>2.5</w:t>
            </w:r>
          </w:p>
        </w:tc>
      </w:tr>
      <w:tr w:rsidR="00EB6564" w14:paraId="4BE60E8B" w14:textId="77777777" w:rsidTr="00134EA2">
        <w:trPr>
          <w:trHeight w:val="60"/>
          <w:tblHeader/>
        </w:trPr>
        <w:tc>
          <w:tcPr>
            <w:tcW w:w="1696" w:type="dxa"/>
            <w:vMerge/>
          </w:tcPr>
          <w:p w14:paraId="3C74790A"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5B544BA0" w14:textId="77777777" w:rsidR="00EB6564" w:rsidRDefault="00EB6564" w:rsidP="00134EA2">
            <w:pPr>
              <w:pStyle w:val="NEPMstandardCHEMTABLES"/>
              <w:spacing w:after="0" w:line="240" w:lineRule="auto"/>
            </w:pPr>
            <w:r>
              <w:t>(NEPM standard 1 day = 25µg/m</w:t>
            </w:r>
            <w:r>
              <w:rPr>
                <w:vertAlign w:val="superscript"/>
              </w:rPr>
              <w:t>3</w:t>
            </w:r>
            <w:r>
              <w:t>, 1 year = 8µg/m</w:t>
            </w:r>
            <w:r>
              <w:rPr>
                <w:vertAlign w:val="superscript"/>
              </w:rPr>
              <w:t>3</w:t>
            </w:r>
            <w:r>
              <w:t>)</w:t>
            </w:r>
          </w:p>
        </w:tc>
      </w:tr>
      <w:tr w:rsidR="00EB6564" w14:paraId="037B1677" w14:textId="77777777" w:rsidTr="00134EA2">
        <w:trPr>
          <w:trHeight w:hRule="exact" w:val="113"/>
        </w:trPr>
        <w:tc>
          <w:tcPr>
            <w:tcW w:w="1696" w:type="dxa"/>
            <w:tcMar>
              <w:top w:w="85" w:type="dxa"/>
              <w:left w:w="85" w:type="dxa"/>
              <w:bottom w:w="85" w:type="dxa"/>
              <w:right w:w="85" w:type="dxa"/>
            </w:tcMar>
          </w:tcPr>
          <w:p w14:paraId="53C8C708"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58886442" w14:textId="77777777" w:rsidR="00EB6564" w:rsidRDefault="00EB6564" w:rsidP="00134EA2">
            <w:pPr>
              <w:pStyle w:val="NoParagraphStyle"/>
              <w:spacing w:line="240" w:lineRule="auto"/>
              <w:textAlignment w:val="auto"/>
              <w:rPr>
                <w:rFonts w:ascii="Calibri" w:hAnsi="Calibri" w:cs="Calibri"/>
                <w:color w:val="auto"/>
              </w:rPr>
            </w:pPr>
          </w:p>
        </w:tc>
      </w:tr>
    </w:tbl>
    <w:p w14:paraId="24198895"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1236"/>
        <w:gridCol w:w="1236"/>
        <w:gridCol w:w="1236"/>
        <w:gridCol w:w="1237"/>
        <w:gridCol w:w="1236"/>
        <w:gridCol w:w="1236"/>
      </w:tblGrid>
      <w:tr w:rsidR="00EB6564" w14:paraId="2D333AB2" w14:textId="77777777">
        <w:trPr>
          <w:trHeight w:val="60"/>
          <w:tblHeader/>
        </w:trPr>
        <w:tc>
          <w:tcPr>
            <w:tcW w:w="1236"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2997C32" w14:textId="77777777" w:rsidR="00EB6564" w:rsidRDefault="00EB6564">
            <w:pPr>
              <w:pStyle w:val="06bTABLEHEADERROW"/>
            </w:pPr>
            <w:r>
              <w:t>Station</w:t>
            </w:r>
          </w:p>
        </w:tc>
        <w:tc>
          <w:tcPr>
            <w:tcW w:w="3709" w:type="dxa"/>
            <w:gridSpan w:val="3"/>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53E4941" w14:textId="77777777" w:rsidR="00EB6564" w:rsidRDefault="00EB6564">
            <w:pPr>
              <w:pStyle w:val="06bTABLEHEADERROW"/>
              <w:jc w:val="center"/>
            </w:pPr>
            <w:r>
              <w:t>1 day</w:t>
            </w:r>
          </w:p>
        </w:tc>
        <w:tc>
          <w:tcPr>
            <w:tcW w:w="2472"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18D1A35" w14:textId="77777777" w:rsidR="00EB6564" w:rsidRDefault="00EB6564">
            <w:pPr>
              <w:pStyle w:val="06bTABLEHEADERROW"/>
              <w:jc w:val="center"/>
            </w:pPr>
            <w:r>
              <w:t>1 year</w:t>
            </w:r>
          </w:p>
        </w:tc>
      </w:tr>
      <w:tr w:rsidR="00EB6564" w14:paraId="6108FAD5" w14:textId="77777777" w:rsidTr="008B4D97">
        <w:trPr>
          <w:trHeight w:val="60"/>
          <w:tblHeader/>
        </w:trPr>
        <w:tc>
          <w:tcPr>
            <w:tcW w:w="1236"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15F9788" w14:textId="77777777" w:rsidR="00EB6564" w:rsidRDefault="00EB6564">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B450037" w14:textId="77777777" w:rsidR="00EB6564" w:rsidRDefault="00EB6564">
            <w:pPr>
              <w:pStyle w:val="06bTABLEHEADERROW"/>
              <w:jc w:val="center"/>
            </w:pPr>
            <w:r>
              <w:t>Non-exceptional exceedances</w:t>
            </w:r>
          </w:p>
        </w:tc>
        <w:tc>
          <w:tcPr>
            <w:tcW w:w="1236"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1262694" w14:textId="77777777" w:rsidR="00EB6564" w:rsidRDefault="00EB6564">
            <w:pPr>
              <w:pStyle w:val="06bTABLEHEADERROW"/>
              <w:jc w:val="center"/>
            </w:pPr>
            <w:r>
              <w:t>Exceptional exceedances</w:t>
            </w:r>
          </w:p>
        </w:tc>
        <w:tc>
          <w:tcPr>
            <w:tcW w:w="1237"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FA2EB7C" w14:textId="77777777" w:rsidR="00EB6564" w:rsidRDefault="00EB6564">
            <w:pPr>
              <w:pStyle w:val="06bTABLEHEADERROW"/>
              <w:jc w:val="center"/>
            </w:pPr>
            <w:r>
              <w:t>NEPM goal compliance</w:t>
            </w:r>
          </w:p>
        </w:tc>
        <w:tc>
          <w:tcPr>
            <w:tcW w:w="1236"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830C737" w14:textId="77777777" w:rsidR="00EB6564" w:rsidRDefault="00EB6564">
            <w:pPr>
              <w:pStyle w:val="06bTABLEHEADERROW"/>
              <w:jc w:val="center"/>
            </w:pPr>
            <w:r>
              <w:t>Annual average</w:t>
            </w:r>
            <w:proofErr w:type="gramStart"/>
            <w:r>
              <w:t xml:space="preserve">   (</w:t>
            </w:r>
            <w:proofErr w:type="gramEnd"/>
            <w:r>
              <w:t>8 µg/m</w:t>
            </w:r>
            <w:r>
              <w:rPr>
                <w:vertAlign w:val="superscript"/>
              </w:rPr>
              <w:t>3</w:t>
            </w:r>
            <w:r>
              <w:t>)</w:t>
            </w:r>
          </w:p>
        </w:tc>
        <w:tc>
          <w:tcPr>
            <w:tcW w:w="1236"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2577AA6" w14:textId="77777777" w:rsidR="00EB6564" w:rsidRDefault="00EB6564">
            <w:pPr>
              <w:pStyle w:val="06bTABLEHEADERROW"/>
              <w:jc w:val="center"/>
            </w:pPr>
            <w:r>
              <w:t>NEPM goal compliance</w:t>
            </w:r>
          </w:p>
        </w:tc>
      </w:tr>
      <w:tr w:rsidR="00EB6564" w14:paraId="7AF7DA2E" w14:textId="77777777" w:rsidTr="008B4D97">
        <w:trPr>
          <w:trHeight w:val="60"/>
        </w:trPr>
        <w:tc>
          <w:tcPr>
            <w:tcW w:w="7417" w:type="dxa"/>
            <w:gridSpan w:val="6"/>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08BB6FD" w14:textId="77777777" w:rsidR="00EB6564" w:rsidRDefault="00EB6564">
            <w:pPr>
              <w:pStyle w:val="06cTABLETEXT"/>
            </w:pPr>
            <w:r>
              <w:rPr>
                <w:rStyle w:val="BOLD"/>
              </w:rPr>
              <w:t>Sydney</w:t>
            </w:r>
          </w:p>
        </w:tc>
      </w:tr>
      <w:tr w:rsidR="00EB6564" w14:paraId="3A26FBD4"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17A017D" w14:textId="77777777" w:rsidR="00EB6564" w:rsidRDefault="00EB6564">
            <w:pPr>
              <w:pStyle w:val="06cTABLETEXT"/>
            </w:pPr>
            <w:r>
              <w:t>Bargo</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097C5BF"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989DFBE" w14:textId="77777777" w:rsidR="00EB6564" w:rsidRDefault="00EB6564">
            <w:pPr>
              <w:pStyle w:val="06cTABLETEXT"/>
              <w:jc w:val="center"/>
            </w:pPr>
            <w:r>
              <w:t>2</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9594E12"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214DE68" w14:textId="77777777" w:rsidR="00EB6564" w:rsidRDefault="00EB6564">
            <w:pPr>
              <w:pStyle w:val="06cTABLETEXT"/>
              <w:jc w:val="center"/>
            </w:pPr>
            <w:r>
              <w:t>6.8</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5A51BC3" w14:textId="77777777" w:rsidR="00EB6564" w:rsidRDefault="00EB6564">
            <w:pPr>
              <w:pStyle w:val="06cTABLETEXT"/>
              <w:jc w:val="center"/>
            </w:pPr>
            <w:r>
              <w:t>Met</w:t>
            </w:r>
          </w:p>
        </w:tc>
      </w:tr>
      <w:tr w:rsidR="00EB6564" w14:paraId="2B969924"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497D4C1" w14:textId="77777777" w:rsidR="00EB6564" w:rsidRDefault="00EB6564">
            <w:pPr>
              <w:pStyle w:val="06cTABLETEXT"/>
            </w:pPr>
            <w:r>
              <w:t>Bringelly</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FC99055"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2B2EAC5" w14:textId="77777777" w:rsidR="00EB6564" w:rsidRDefault="00EB6564">
            <w:pPr>
              <w:pStyle w:val="06cTABLETEXT"/>
              <w:jc w:val="center"/>
            </w:pPr>
            <w:r>
              <w:t>4</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4E52B89"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6C3E172" w14:textId="77777777" w:rsidR="00EB6564" w:rsidRDefault="00EB6564">
            <w:pPr>
              <w:pStyle w:val="06cTABLETEXT"/>
              <w:jc w:val="center"/>
            </w:pPr>
            <w:r>
              <w:t>8.0**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3AC7F26" w14:textId="77777777" w:rsidR="00EB6564" w:rsidRDefault="00EB6564">
            <w:pPr>
              <w:pStyle w:val="06cTABLETEXT"/>
              <w:jc w:val="center"/>
            </w:pPr>
            <w:r>
              <w:t>Met</w:t>
            </w:r>
          </w:p>
        </w:tc>
      </w:tr>
      <w:tr w:rsidR="00EB6564" w14:paraId="061E8F04"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B7DC6BB" w14:textId="77777777" w:rsidR="00EB6564" w:rsidRDefault="00EB6564">
            <w:pPr>
              <w:pStyle w:val="06cTABLETEXT"/>
            </w:pPr>
            <w:r>
              <w:t>Camden</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33DC6CE"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400A2A1" w14:textId="77777777" w:rsidR="00EB6564" w:rsidRDefault="00EB6564">
            <w:pPr>
              <w:pStyle w:val="06cTABLETEXT"/>
              <w:jc w:val="center"/>
            </w:pPr>
            <w:r>
              <w:t>2</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76BD382"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E9DCD9C" w14:textId="77777777" w:rsidR="00EB6564" w:rsidRDefault="00EB6564">
            <w:pPr>
              <w:pStyle w:val="06cTABLETEXT"/>
              <w:jc w:val="center"/>
            </w:pPr>
            <w:r>
              <w:t>7.2</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E5BA08" w14:textId="77777777" w:rsidR="00EB6564" w:rsidRDefault="00EB6564">
            <w:pPr>
              <w:pStyle w:val="06cTABLETEXT"/>
              <w:jc w:val="center"/>
            </w:pPr>
            <w:r>
              <w:t>Met</w:t>
            </w:r>
          </w:p>
        </w:tc>
      </w:tr>
      <w:tr w:rsidR="00EB6564" w14:paraId="25F35485"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D613237" w14:textId="77777777" w:rsidR="00EB6564" w:rsidRDefault="00EB6564">
            <w:pPr>
              <w:pStyle w:val="06cTABLETEXT"/>
            </w:pPr>
            <w:r>
              <w:t>Campbelltown West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4D056CC"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79EC2BF" w14:textId="77777777" w:rsidR="00EB6564" w:rsidRDefault="00EB6564">
            <w:pPr>
              <w:pStyle w:val="06cTABLETEXT"/>
              <w:jc w:val="center"/>
            </w:pPr>
            <w:r>
              <w:t>2</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0A2164B"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53E0D4C" w14:textId="77777777" w:rsidR="00EB6564" w:rsidRDefault="00EB6564">
            <w:pPr>
              <w:pStyle w:val="06cTABLETEXT"/>
              <w:jc w:val="center"/>
            </w:pPr>
            <w:r>
              <w:t>8.4</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90CC1D" w14:textId="77777777" w:rsidR="00EB6564" w:rsidRDefault="00EB6564">
            <w:pPr>
              <w:pStyle w:val="06cTABLETEXT"/>
              <w:jc w:val="center"/>
            </w:pPr>
            <w:r>
              <w:t>Not Met</w:t>
            </w:r>
          </w:p>
        </w:tc>
      </w:tr>
      <w:tr w:rsidR="00EB6564" w14:paraId="1EEB1D6E"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2FE3FF2" w14:textId="77777777" w:rsidR="00EB6564" w:rsidRDefault="00EB6564">
            <w:pPr>
              <w:pStyle w:val="06cTABLETEXT"/>
            </w:pPr>
            <w:r>
              <w:t>Chullora</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EE7E148" w14:textId="77777777" w:rsidR="00EB6564" w:rsidRDefault="00EB6564">
            <w:pPr>
              <w:pStyle w:val="06cTABLETEXT"/>
              <w:jc w:val="center"/>
            </w:pPr>
            <w:r>
              <w:t>1</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0BA741B" w14:textId="77777777" w:rsidR="00EB6564" w:rsidRDefault="00EB6564">
            <w:pPr>
              <w:pStyle w:val="06cTABLETEXT"/>
              <w:jc w:val="center"/>
            </w:pPr>
            <w:r>
              <w:t>2</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C04FE69" w14:textId="77777777" w:rsidR="00EB6564" w:rsidRDefault="00EB6564">
            <w:pPr>
              <w:pStyle w:val="06cTABLETEXT"/>
              <w:jc w:val="center"/>
            </w:pPr>
            <w:r>
              <w:t>Not 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6A0CA61" w14:textId="77777777" w:rsidR="00EB6564" w:rsidRDefault="00EB6564">
            <w:pPr>
              <w:pStyle w:val="06cTABLETEXT"/>
              <w:jc w:val="center"/>
            </w:pPr>
            <w:r>
              <w:t>8.6</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180A29C" w14:textId="77777777" w:rsidR="00EB6564" w:rsidRDefault="00EB6564">
            <w:pPr>
              <w:pStyle w:val="06cTABLETEXT"/>
              <w:jc w:val="center"/>
            </w:pPr>
            <w:r>
              <w:t>Not Met</w:t>
            </w:r>
          </w:p>
        </w:tc>
      </w:tr>
      <w:tr w:rsidR="00EB6564" w14:paraId="0F56AB01"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CD4C7DF" w14:textId="77777777" w:rsidR="00EB6564" w:rsidRDefault="00EB6564">
            <w:pPr>
              <w:pStyle w:val="06cTABLETEXT"/>
            </w:pPr>
            <w:r>
              <w:t xml:space="preserve">Earlwood </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0497B8"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D3D424A" w14:textId="77777777" w:rsidR="00EB6564" w:rsidRDefault="00EB6564">
            <w:pPr>
              <w:pStyle w:val="06cTABLETEXT"/>
              <w:jc w:val="center"/>
            </w:pPr>
            <w:r>
              <w:t>1</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224DF8F"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BA14025" w14:textId="77777777" w:rsidR="00EB6564" w:rsidRDefault="00EB6564">
            <w:pPr>
              <w:pStyle w:val="06cTABLETEXT"/>
              <w:jc w:val="center"/>
            </w:pPr>
            <w:r>
              <w:t>7.8</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426CB6B" w14:textId="77777777" w:rsidR="00EB6564" w:rsidRDefault="00EB6564">
            <w:pPr>
              <w:pStyle w:val="06cTABLETEXT"/>
              <w:jc w:val="center"/>
            </w:pPr>
            <w:r>
              <w:t>Met</w:t>
            </w:r>
          </w:p>
        </w:tc>
      </w:tr>
      <w:tr w:rsidR="00EB6564" w14:paraId="32EB6E29"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AEB04D5" w14:textId="77777777" w:rsidR="00EB6564" w:rsidRDefault="00EB6564">
            <w:pPr>
              <w:pStyle w:val="06cTABLETEXT"/>
            </w:pPr>
            <w:r>
              <w:t>Liverpool</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5250D15"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973D731" w14:textId="77777777" w:rsidR="00EB6564" w:rsidRDefault="00EB6564">
            <w:pPr>
              <w:pStyle w:val="06cTABLETEXT"/>
              <w:jc w:val="center"/>
            </w:pPr>
            <w:r>
              <w:t>8</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C133051"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7317222" w14:textId="77777777" w:rsidR="00EB6564" w:rsidRDefault="00EB6564">
            <w:pPr>
              <w:pStyle w:val="06cTABLETEXT"/>
              <w:jc w:val="center"/>
            </w:pPr>
            <w:r>
              <w:t>10.1</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EF472F7" w14:textId="77777777" w:rsidR="00EB6564" w:rsidRDefault="00EB6564">
            <w:pPr>
              <w:pStyle w:val="06cTABLETEXT"/>
              <w:jc w:val="center"/>
            </w:pPr>
            <w:r>
              <w:t>Not Met</w:t>
            </w:r>
          </w:p>
        </w:tc>
      </w:tr>
      <w:tr w:rsidR="00EB6564" w14:paraId="44057A17"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CEDDB43" w14:textId="77777777" w:rsidR="00EB6564" w:rsidRDefault="00EB6564">
            <w:pPr>
              <w:pStyle w:val="06cTABLETEXT"/>
            </w:pPr>
            <w:r>
              <w:t>Macquarie Park</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C014DF1"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917DDA8" w14:textId="77777777" w:rsidR="00EB6564" w:rsidRDefault="00EB6564">
            <w:pPr>
              <w:pStyle w:val="06cTABLETEXT"/>
              <w:jc w:val="center"/>
            </w:pPr>
            <w:r>
              <w:t>3</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39F5E55"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3F2B6BA" w14:textId="77777777" w:rsidR="00EB6564" w:rsidRDefault="00EB6564">
            <w:pPr>
              <w:pStyle w:val="06cTABLETEXT"/>
              <w:jc w:val="center"/>
            </w:pPr>
            <w:r>
              <w:t>7.0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158BADE" w14:textId="77777777" w:rsidR="00EB6564" w:rsidRDefault="00EB6564">
            <w:pPr>
              <w:pStyle w:val="06cTABLETEXT"/>
              <w:jc w:val="center"/>
            </w:pPr>
            <w:r>
              <w:t>Met</w:t>
            </w:r>
          </w:p>
        </w:tc>
      </w:tr>
      <w:tr w:rsidR="00EB6564" w14:paraId="5A07D12C"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1299AFA" w14:textId="77777777" w:rsidR="00EB6564" w:rsidRDefault="00EB6564">
            <w:pPr>
              <w:pStyle w:val="06cTABLETEXT"/>
            </w:pPr>
            <w:r>
              <w:t>Oakdale</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42B26DC"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7EAF0D" w14:textId="77777777" w:rsidR="00EB6564" w:rsidRDefault="00EB6564">
            <w:pPr>
              <w:pStyle w:val="06cTABLETEXT"/>
              <w:jc w:val="center"/>
            </w:pPr>
            <w:r>
              <w:t>2</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50E3322"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CCC55AC" w14:textId="77777777" w:rsidR="00EB6564" w:rsidRDefault="00EB6564">
            <w:pPr>
              <w:pStyle w:val="06cTABLETEXT"/>
              <w:jc w:val="center"/>
            </w:pPr>
            <w:r>
              <w:t>6.9</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5FF9BC6" w14:textId="77777777" w:rsidR="00EB6564" w:rsidRDefault="00EB6564">
            <w:pPr>
              <w:pStyle w:val="06cTABLETEXT"/>
              <w:jc w:val="center"/>
            </w:pPr>
            <w:r>
              <w:t>Met</w:t>
            </w:r>
          </w:p>
        </w:tc>
      </w:tr>
      <w:tr w:rsidR="00EB6564" w14:paraId="0A70B793"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8F06171" w14:textId="77777777" w:rsidR="00EB6564" w:rsidRDefault="00EB6564">
            <w:pPr>
              <w:pStyle w:val="06cTABLETEXT"/>
            </w:pPr>
            <w:r>
              <w:t>Parramatta North</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D731CC"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29E41CB" w14:textId="77777777" w:rsidR="00EB6564" w:rsidRDefault="00EB6564">
            <w:pPr>
              <w:pStyle w:val="06cTABLETEXT"/>
              <w:jc w:val="center"/>
            </w:pPr>
            <w:r>
              <w:t>4</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C4EC4AF"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4DC79C3" w14:textId="77777777" w:rsidR="00EB6564" w:rsidRDefault="00EB6564">
            <w:pPr>
              <w:pStyle w:val="06cTABLETEXT"/>
              <w:jc w:val="center"/>
            </w:pPr>
            <w:r>
              <w:t>9.2</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9382859" w14:textId="77777777" w:rsidR="00EB6564" w:rsidRDefault="00EB6564">
            <w:pPr>
              <w:pStyle w:val="06cTABLETEXT"/>
              <w:jc w:val="center"/>
            </w:pPr>
            <w:r>
              <w:t>Not Met</w:t>
            </w:r>
          </w:p>
        </w:tc>
      </w:tr>
      <w:tr w:rsidR="00EB6564" w14:paraId="478775A1"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13F42B1" w14:textId="77777777" w:rsidR="00EB6564" w:rsidRDefault="00EB6564">
            <w:pPr>
              <w:pStyle w:val="06cTABLETEXT"/>
            </w:pPr>
            <w:r>
              <w:t>Prospect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2EE544C"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C24B2D6" w14:textId="77777777" w:rsidR="00EB6564" w:rsidRDefault="00EB6564">
            <w:pPr>
              <w:pStyle w:val="06cTABLETEXT"/>
              <w:jc w:val="center"/>
            </w:pPr>
            <w:r>
              <w:t>4</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6EDA3AC"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5ACAE7C" w14:textId="77777777" w:rsidR="00EB6564" w:rsidRDefault="00EB6564">
            <w:pPr>
              <w:pStyle w:val="06cTABLETEXT"/>
              <w:jc w:val="center"/>
            </w:pPr>
            <w:r>
              <w:t>8.5</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CAEC34F" w14:textId="77777777" w:rsidR="00EB6564" w:rsidRDefault="00EB6564">
            <w:pPr>
              <w:pStyle w:val="06cTABLETEXT"/>
              <w:jc w:val="center"/>
            </w:pPr>
            <w:r>
              <w:t>Not Met</w:t>
            </w:r>
          </w:p>
        </w:tc>
      </w:tr>
      <w:tr w:rsidR="00EB6564" w14:paraId="598BC14E"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2B889B7" w14:textId="77777777" w:rsidR="00EB6564" w:rsidRDefault="00EB6564">
            <w:pPr>
              <w:pStyle w:val="06cTABLETEXT"/>
            </w:pPr>
            <w:r>
              <w:t>Randwick</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C87FE5B"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35D0D6" w14:textId="77777777" w:rsidR="00EB6564" w:rsidRDefault="00EB6564">
            <w:pPr>
              <w:pStyle w:val="06cTABLETEXT"/>
              <w:jc w:val="center"/>
            </w:pPr>
            <w:r>
              <w:t>1</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996B40"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FB430FF" w14:textId="77777777" w:rsidR="00EB6564" w:rsidRDefault="00EB6564">
            <w:pPr>
              <w:pStyle w:val="06cTABLETEXT"/>
              <w:jc w:val="center"/>
            </w:pPr>
            <w:r>
              <w:t>7.6</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EC869B3" w14:textId="77777777" w:rsidR="00EB6564" w:rsidRDefault="00EB6564">
            <w:pPr>
              <w:pStyle w:val="06cTABLETEXT"/>
              <w:jc w:val="center"/>
            </w:pPr>
            <w:r>
              <w:t>Met</w:t>
            </w:r>
          </w:p>
        </w:tc>
      </w:tr>
      <w:tr w:rsidR="00EB6564" w14:paraId="08A39E9D"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183BFE6" w14:textId="77777777" w:rsidR="00EB6564" w:rsidRDefault="00EB6564">
            <w:pPr>
              <w:pStyle w:val="06cTABLETEXT"/>
            </w:pPr>
            <w:r>
              <w:lastRenderedPageBreak/>
              <w:t>Richmond</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65D058"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AF68820" w14:textId="77777777" w:rsidR="00EB6564" w:rsidRDefault="00EB6564">
            <w:pPr>
              <w:pStyle w:val="06cTABLETEXT"/>
              <w:jc w:val="center"/>
            </w:pPr>
            <w:r>
              <w:t>4</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ED10A64"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4888534" w14:textId="77777777" w:rsidR="00EB6564" w:rsidRDefault="00EB6564">
            <w:pPr>
              <w:pStyle w:val="06cTABLETEXT"/>
              <w:jc w:val="center"/>
            </w:pPr>
            <w:r>
              <w:t>8.1</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46B04CB" w14:textId="77777777" w:rsidR="00EB6564" w:rsidRDefault="00EB6564">
            <w:pPr>
              <w:pStyle w:val="06cTABLETEXT"/>
              <w:jc w:val="center"/>
            </w:pPr>
            <w:r>
              <w:t>Not Met</w:t>
            </w:r>
          </w:p>
        </w:tc>
      </w:tr>
      <w:tr w:rsidR="00EB6564" w14:paraId="58988464"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808AFBA" w14:textId="77777777" w:rsidR="00EB6564" w:rsidRDefault="00EB6564">
            <w:pPr>
              <w:pStyle w:val="06cTABLETEXT"/>
            </w:pPr>
            <w:r>
              <w:t>Rozelle*</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04A1902" w14:textId="77777777" w:rsidR="00EB6564" w:rsidRDefault="00EB6564">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5AE4289" w14:textId="77777777" w:rsidR="00EB6564" w:rsidRDefault="00EB6564">
            <w:pPr>
              <w:pStyle w:val="NoParagraphStyle"/>
              <w:spacing w:line="240" w:lineRule="auto"/>
              <w:textAlignment w:val="auto"/>
              <w:rPr>
                <w:rFonts w:ascii="Calibri" w:hAnsi="Calibri" w:cs="Calibri"/>
                <w:color w:val="auto"/>
              </w:rPr>
            </w:pP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93B4F52" w14:textId="77777777" w:rsidR="00EB6564" w:rsidRDefault="00EB6564">
            <w:pPr>
              <w:pStyle w:val="06cTABLETEXT"/>
              <w:jc w:val="center"/>
            </w:pPr>
            <w:r>
              <w:t>ND</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5ED68F" w14:textId="77777777" w:rsidR="00EB6564" w:rsidRDefault="00EB6564">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859D04A" w14:textId="77777777" w:rsidR="00EB6564" w:rsidRDefault="00EB6564">
            <w:pPr>
              <w:pStyle w:val="06cTABLETEXT"/>
              <w:jc w:val="center"/>
            </w:pPr>
            <w:r>
              <w:t>ND</w:t>
            </w:r>
          </w:p>
        </w:tc>
      </w:tr>
      <w:tr w:rsidR="00EB6564" w14:paraId="16ED9B8E"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E1BE48A" w14:textId="77777777" w:rsidR="00EB6564" w:rsidRDefault="00EB6564">
            <w:pPr>
              <w:pStyle w:val="06cTABLETEXT"/>
            </w:pPr>
            <w:r>
              <w:t>St Marys</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F1B77C5"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BCEA14D" w14:textId="77777777" w:rsidR="00EB6564" w:rsidRDefault="00EB6564">
            <w:pPr>
              <w:pStyle w:val="06cTABLETEXT"/>
              <w:jc w:val="center"/>
            </w:pPr>
            <w:r>
              <w:t>3</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10ECD8E"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FF09E79" w14:textId="77777777" w:rsidR="00EB6564" w:rsidRDefault="00EB6564">
            <w:pPr>
              <w:pStyle w:val="06cTABLETEXT"/>
              <w:jc w:val="center"/>
            </w:pPr>
            <w:r>
              <w:t>7.8</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CFC524A" w14:textId="77777777" w:rsidR="00EB6564" w:rsidRDefault="00EB6564">
            <w:pPr>
              <w:pStyle w:val="06cTABLETEXT"/>
              <w:jc w:val="center"/>
            </w:pPr>
            <w:r>
              <w:t>Met</w:t>
            </w:r>
          </w:p>
        </w:tc>
      </w:tr>
      <w:tr w:rsidR="00EB6564" w14:paraId="1C169593"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47552AE" w14:textId="77777777" w:rsidR="00EB6564" w:rsidRDefault="00EB6564">
            <w:pPr>
              <w:pStyle w:val="06cTABLETEXT"/>
            </w:pPr>
            <w:r>
              <w:rPr>
                <w:rStyle w:val="BOLD"/>
              </w:rPr>
              <w:t>Central Coast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13F1AA9D" w14:textId="77777777" w:rsidR="00EB6564" w:rsidRDefault="00EB6564">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92B14DD" w14:textId="77777777" w:rsidR="00EB6564" w:rsidRDefault="00EB6564">
            <w:pPr>
              <w:pStyle w:val="NoParagraphStyle"/>
              <w:spacing w:line="240" w:lineRule="auto"/>
              <w:textAlignment w:val="auto"/>
              <w:rPr>
                <w:rFonts w:ascii="Calibri" w:hAnsi="Calibri" w:cs="Calibri"/>
                <w:color w:val="auto"/>
              </w:rPr>
            </w:pP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4CC353B" w14:textId="77777777" w:rsidR="00EB6564" w:rsidRDefault="00EB6564">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6922F531" w14:textId="77777777" w:rsidR="00EB6564" w:rsidRDefault="00EB6564">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7D25540E" w14:textId="77777777" w:rsidR="00EB6564" w:rsidRDefault="00EB6564">
            <w:pPr>
              <w:pStyle w:val="NoParagraphStyle"/>
              <w:spacing w:line="240" w:lineRule="auto"/>
              <w:textAlignment w:val="auto"/>
              <w:rPr>
                <w:rFonts w:ascii="Calibri" w:hAnsi="Calibri" w:cs="Calibri"/>
                <w:color w:val="auto"/>
              </w:rPr>
            </w:pPr>
          </w:p>
        </w:tc>
      </w:tr>
      <w:tr w:rsidR="00EB6564" w14:paraId="6E065765"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974DEE0" w14:textId="77777777" w:rsidR="00EB6564" w:rsidRDefault="00EB6564">
            <w:pPr>
              <w:pStyle w:val="06cTABLETEXT"/>
            </w:pPr>
            <w:r>
              <w:t>Wyong</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97133E"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5C9D929" w14:textId="77777777" w:rsidR="00EB6564" w:rsidRDefault="00EB6564">
            <w:pPr>
              <w:pStyle w:val="06cTABLETEXT"/>
              <w:jc w:val="center"/>
            </w:pPr>
            <w:r>
              <w:t>0</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B9CD71B"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AF4FF27" w14:textId="77777777" w:rsidR="00EB6564" w:rsidRDefault="00EB6564">
            <w:pPr>
              <w:pStyle w:val="06cTABLETEXT"/>
              <w:jc w:val="center"/>
            </w:pPr>
            <w:r>
              <w:t>6.8</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3ED348F" w14:textId="77777777" w:rsidR="00EB6564" w:rsidRDefault="00EB6564">
            <w:pPr>
              <w:pStyle w:val="06cTABLETEXT"/>
              <w:jc w:val="center"/>
            </w:pPr>
            <w:r>
              <w:t xml:space="preserve">Met </w:t>
            </w:r>
          </w:p>
        </w:tc>
      </w:tr>
      <w:tr w:rsidR="00EB6564" w14:paraId="18CEACCA" w14:textId="77777777" w:rsidTr="008B4D97">
        <w:trPr>
          <w:trHeight w:val="60"/>
        </w:trPr>
        <w:tc>
          <w:tcPr>
            <w:tcW w:w="7417" w:type="dxa"/>
            <w:gridSpan w:val="6"/>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0453AADE" w14:textId="77777777" w:rsidR="00EB6564" w:rsidRDefault="00EB6564">
            <w:pPr>
              <w:pStyle w:val="06cTABLETEXT"/>
            </w:pPr>
            <w:r>
              <w:rPr>
                <w:rStyle w:val="BOLD"/>
              </w:rPr>
              <w:t>Illawarra</w:t>
            </w:r>
          </w:p>
        </w:tc>
      </w:tr>
      <w:tr w:rsidR="00EB6564" w14:paraId="1BB57F9D"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BC78651" w14:textId="77777777" w:rsidR="00EB6564" w:rsidRDefault="00EB6564">
            <w:pPr>
              <w:pStyle w:val="06cTABLETEXT"/>
            </w:pPr>
            <w:r>
              <w:t>Albion Park South</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078AF76"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0F01A21" w14:textId="77777777" w:rsidR="00EB6564" w:rsidRDefault="00EB6564">
            <w:pPr>
              <w:pStyle w:val="06cTABLETEXT"/>
              <w:jc w:val="center"/>
            </w:pPr>
            <w:r>
              <w:t>1</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6276324"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0133F5B" w14:textId="77777777" w:rsidR="00EB6564" w:rsidRDefault="00EB6564">
            <w:pPr>
              <w:pStyle w:val="06cTABLETEXT"/>
              <w:jc w:val="center"/>
            </w:pPr>
            <w:r>
              <w:t>6.8</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D7279C0" w14:textId="77777777" w:rsidR="00EB6564" w:rsidRDefault="00EB6564">
            <w:pPr>
              <w:pStyle w:val="06cTABLETEXT"/>
              <w:jc w:val="center"/>
            </w:pPr>
            <w:r>
              <w:t>Met</w:t>
            </w:r>
          </w:p>
        </w:tc>
      </w:tr>
      <w:tr w:rsidR="00EB6564" w14:paraId="0A0AD454"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CED5ABE" w14:textId="77777777" w:rsidR="00EB6564" w:rsidRDefault="00EB6564">
            <w:pPr>
              <w:pStyle w:val="06cTABLETEXT"/>
            </w:pPr>
            <w:r>
              <w:t>Kembla Grange</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8BEE10C"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DCC61C7" w14:textId="77777777" w:rsidR="00EB6564" w:rsidRDefault="00EB6564">
            <w:pPr>
              <w:pStyle w:val="06cTABLETEXT"/>
              <w:jc w:val="center"/>
            </w:pPr>
            <w:r>
              <w:t>0</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4CFCFA9"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5E3B00" w14:textId="77777777" w:rsidR="00EB6564" w:rsidRDefault="00EB6564">
            <w:pPr>
              <w:pStyle w:val="06cTABLETEXT"/>
              <w:jc w:val="center"/>
            </w:pPr>
            <w:r>
              <w:t>7.0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10A0FBE" w14:textId="77777777" w:rsidR="00EB6564" w:rsidRDefault="00EB6564">
            <w:pPr>
              <w:pStyle w:val="06cTABLETEXT"/>
              <w:jc w:val="center"/>
            </w:pPr>
            <w:r>
              <w:t>Met</w:t>
            </w:r>
          </w:p>
        </w:tc>
      </w:tr>
      <w:tr w:rsidR="00EB6564" w14:paraId="6A32F9B1"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C8047FF" w14:textId="77777777" w:rsidR="00EB6564" w:rsidRDefault="00EB6564">
            <w:pPr>
              <w:pStyle w:val="06cTABLETEXT"/>
            </w:pPr>
            <w:r>
              <w:t>Wollongong</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056E54B"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A7380C" w14:textId="77777777" w:rsidR="00EB6564" w:rsidRDefault="00EB6564">
            <w:pPr>
              <w:pStyle w:val="06cTABLETEXT"/>
              <w:jc w:val="center"/>
            </w:pPr>
            <w:r>
              <w:t>3</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A1E2158"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0F1DF8C" w14:textId="77777777" w:rsidR="00EB6564" w:rsidRDefault="00EB6564">
            <w:pPr>
              <w:pStyle w:val="06cTABLETEXT"/>
              <w:jc w:val="center"/>
            </w:pPr>
            <w:r>
              <w:t>7.3</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A19C8A4" w14:textId="77777777" w:rsidR="00EB6564" w:rsidRDefault="00EB6564">
            <w:pPr>
              <w:pStyle w:val="06cTABLETEXT"/>
              <w:jc w:val="center"/>
            </w:pPr>
            <w:r>
              <w:t>Met</w:t>
            </w:r>
          </w:p>
        </w:tc>
      </w:tr>
      <w:tr w:rsidR="00EB6564" w14:paraId="2F9506A3"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0A1EB65" w14:textId="77777777" w:rsidR="00EB6564" w:rsidRDefault="00EB6564">
            <w:pPr>
              <w:pStyle w:val="06cTABLETEXT"/>
            </w:pPr>
            <w:r>
              <w:rPr>
                <w:rStyle w:val="BOLD"/>
              </w:rPr>
              <w:t>Lower Hunter</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1ED05158" w14:textId="77777777" w:rsidR="00EB6564" w:rsidRDefault="00EB6564">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8CD53AB" w14:textId="77777777" w:rsidR="00EB6564" w:rsidRDefault="00EB6564">
            <w:pPr>
              <w:pStyle w:val="NoParagraphStyle"/>
              <w:spacing w:line="240" w:lineRule="auto"/>
              <w:textAlignment w:val="auto"/>
              <w:rPr>
                <w:rFonts w:ascii="Calibri" w:hAnsi="Calibri" w:cs="Calibri"/>
                <w:color w:val="auto"/>
              </w:rPr>
            </w:pP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80F9187" w14:textId="77777777" w:rsidR="00EB6564" w:rsidRDefault="00EB6564">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84EA9AE" w14:textId="77777777" w:rsidR="00EB6564" w:rsidRDefault="00EB6564">
            <w:pPr>
              <w:pStyle w:val="NoParagraphStyle"/>
              <w:spacing w:line="240" w:lineRule="auto"/>
              <w:textAlignment w:val="auto"/>
              <w:rPr>
                <w:rFonts w:ascii="Calibri" w:hAnsi="Calibri" w:cs="Calibri"/>
                <w:color w:val="auto"/>
              </w:rPr>
            </w:pP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0CD0568D" w14:textId="77777777" w:rsidR="00EB6564" w:rsidRDefault="00EB6564">
            <w:pPr>
              <w:pStyle w:val="NoParagraphStyle"/>
              <w:spacing w:line="240" w:lineRule="auto"/>
              <w:textAlignment w:val="auto"/>
              <w:rPr>
                <w:rFonts w:ascii="Calibri" w:hAnsi="Calibri" w:cs="Calibri"/>
                <w:color w:val="auto"/>
              </w:rPr>
            </w:pPr>
          </w:p>
        </w:tc>
      </w:tr>
      <w:tr w:rsidR="00EB6564" w14:paraId="745ECA9B"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2C6386" w14:textId="77777777" w:rsidR="00EB6564" w:rsidRDefault="00EB6564">
            <w:pPr>
              <w:pStyle w:val="06cTABLETEXT"/>
            </w:pPr>
            <w:r>
              <w:t>Beresfield</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8F2CA05"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53D0073" w14:textId="77777777" w:rsidR="00EB6564" w:rsidRDefault="00EB6564">
            <w:pPr>
              <w:pStyle w:val="06cTABLETEXT"/>
              <w:jc w:val="center"/>
            </w:pPr>
            <w:r>
              <w:t>0</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0473C6E"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7E61D28" w14:textId="77777777" w:rsidR="00EB6564" w:rsidRDefault="00EB6564">
            <w:pPr>
              <w:pStyle w:val="06cTABLETEXT"/>
              <w:jc w:val="center"/>
            </w:pPr>
            <w:r>
              <w:t>8.7</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1F94F2A" w14:textId="77777777" w:rsidR="00EB6564" w:rsidRDefault="00EB6564">
            <w:pPr>
              <w:pStyle w:val="06cTABLETEXT"/>
              <w:jc w:val="center"/>
            </w:pPr>
            <w:r>
              <w:t>Not Met</w:t>
            </w:r>
          </w:p>
        </w:tc>
      </w:tr>
      <w:tr w:rsidR="00EB6564" w14:paraId="084F657C"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38FA008" w14:textId="77777777" w:rsidR="00EB6564" w:rsidRDefault="00EB6564">
            <w:pPr>
              <w:pStyle w:val="06cTABLETEXT"/>
            </w:pPr>
            <w:r>
              <w:t>Newcastle</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7FB3955"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BD35769" w14:textId="77777777" w:rsidR="00EB6564" w:rsidRDefault="00EB6564">
            <w:pPr>
              <w:pStyle w:val="06cTABLETEXT"/>
              <w:jc w:val="center"/>
            </w:pPr>
            <w:r>
              <w:t>0</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5CD0F57"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6D25F4A" w14:textId="77777777" w:rsidR="00EB6564" w:rsidRDefault="00EB6564">
            <w:pPr>
              <w:pStyle w:val="06cTABLETEXT"/>
              <w:jc w:val="center"/>
            </w:pPr>
            <w:r>
              <w:t>7.8</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F9E55D3" w14:textId="77777777" w:rsidR="00EB6564" w:rsidRDefault="00EB6564">
            <w:pPr>
              <w:pStyle w:val="06cTABLETEXT"/>
              <w:jc w:val="center"/>
            </w:pPr>
            <w:r>
              <w:t>Met</w:t>
            </w:r>
          </w:p>
        </w:tc>
      </w:tr>
      <w:tr w:rsidR="00EB6564" w14:paraId="5BDC7A70"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8F4F3C0" w14:textId="77777777" w:rsidR="00EB6564" w:rsidRDefault="00EB6564">
            <w:pPr>
              <w:pStyle w:val="06cTABLETEXT"/>
            </w:pPr>
            <w:r>
              <w:t>Wallsend</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8380550"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308B81" w14:textId="77777777" w:rsidR="00EB6564" w:rsidRDefault="00EB6564">
            <w:pPr>
              <w:pStyle w:val="06cTABLETEXT"/>
              <w:jc w:val="center"/>
            </w:pPr>
            <w:r>
              <w:t>0</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964AB9B"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61827AE" w14:textId="77777777" w:rsidR="00EB6564" w:rsidRDefault="00EB6564">
            <w:pPr>
              <w:pStyle w:val="06cTABLETEXT"/>
              <w:jc w:val="center"/>
            </w:pPr>
            <w:r>
              <w:t>7.5</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7B73E43" w14:textId="77777777" w:rsidR="00EB6564" w:rsidRDefault="00EB6564">
            <w:pPr>
              <w:pStyle w:val="06cTABLETEXT"/>
              <w:jc w:val="center"/>
            </w:pPr>
            <w:r>
              <w:t>Met</w:t>
            </w:r>
          </w:p>
        </w:tc>
      </w:tr>
      <w:tr w:rsidR="00EB6564" w14:paraId="4849A344" w14:textId="77777777" w:rsidTr="008B4D97">
        <w:trPr>
          <w:trHeight w:val="60"/>
        </w:trPr>
        <w:tc>
          <w:tcPr>
            <w:tcW w:w="7417" w:type="dxa"/>
            <w:gridSpan w:val="6"/>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451FC52" w14:textId="77777777" w:rsidR="00EB6564" w:rsidRDefault="00EB6564">
            <w:pPr>
              <w:pStyle w:val="06cTABLETEXT"/>
            </w:pPr>
            <w:r>
              <w:rPr>
                <w:rStyle w:val="BOLD"/>
              </w:rPr>
              <w:t>Regional New South Wales</w:t>
            </w:r>
          </w:p>
        </w:tc>
      </w:tr>
      <w:tr w:rsidR="00EB6564" w14:paraId="1A20A43C"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C093A80" w14:textId="77777777" w:rsidR="00EB6564" w:rsidRDefault="00EB6564">
            <w:pPr>
              <w:pStyle w:val="06cTABLETEXT"/>
            </w:pPr>
            <w:r>
              <w:t>Albury</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9160F54" w14:textId="77777777" w:rsidR="00EB6564" w:rsidRDefault="00EB6564">
            <w:pPr>
              <w:pStyle w:val="06cTABLETEXT"/>
              <w:jc w:val="center"/>
            </w:pPr>
            <w:r>
              <w:t>2</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E56C049" w14:textId="77777777" w:rsidR="00EB6564" w:rsidRDefault="00EB6564">
            <w:pPr>
              <w:pStyle w:val="06cTABLETEXT"/>
              <w:jc w:val="center"/>
            </w:pPr>
            <w:r>
              <w:t>0</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11BA841" w14:textId="77777777" w:rsidR="00EB6564" w:rsidRDefault="00EB6564">
            <w:pPr>
              <w:pStyle w:val="06cTABLETEXT"/>
              <w:jc w:val="center"/>
            </w:pPr>
            <w:r>
              <w:t>Not 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D12A9A4" w14:textId="77777777" w:rsidR="00EB6564" w:rsidRDefault="00EB6564">
            <w:pPr>
              <w:pStyle w:val="06cTABLETEXT"/>
              <w:jc w:val="center"/>
            </w:pPr>
            <w:r>
              <w:t>7.3</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002E539" w14:textId="77777777" w:rsidR="00EB6564" w:rsidRDefault="00EB6564">
            <w:pPr>
              <w:pStyle w:val="06cTABLETEXT"/>
              <w:jc w:val="center"/>
            </w:pPr>
            <w:r>
              <w:t>Met</w:t>
            </w:r>
          </w:p>
        </w:tc>
      </w:tr>
      <w:tr w:rsidR="00EB6564" w14:paraId="3D63E230"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149542E" w14:textId="77777777" w:rsidR="00EB6564" w:rsidRDefault="00EB6564">
            <w:pPr>
              <w:pStyle w:val="06cTABLETEXT"/>
            </w:pPr>
            <w:r>
              <w:t>Bathurst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52F665E"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676EF27" w14:textId="77777777" w:rsidR="00EB6564" w:rsidRDefault="00EB6564">
            <w:pPr>
              <w:pStyle w:val="06cTABLETEXT"/>
              <w:jc w:val="center"/>
            </w:pPr>
            <w:r>
              <w:t>2</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BC17E30"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912DB2C" w14:textId="77777777" w:rsidR="00EB6564" w:rsidRDefault="00EB6564">
            <w:pPr>
              <w:pStyle w:val="06cTABLETEXT"/>
              <w:jc w:val="center"/>
            </w:pPr>
            <w:r>
              <w:t>7.0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36ED165" w14:textId="77777777" w:rsidR="00EB6564" w:rsidRDefault="00EB6564">
            <w:pPr>
              <w:pStyle w:val="06cTABLETEXT"/>
              <w:jc w:val="center"/>
            </w:pPr>
            <w:r>
              <w:t>Met</w:t>
            </w:r>
          </w:p>
        </w:tc>
      </w:tr>
      <w:tr w:rsidR="00EB6564" w14:paraId="0ECBBB82"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BE924C1" w14:textId="77777777" w:rsidR="00EB6564" w:rsidRDefault="00EB6564">
            <w:pPr>
              <w:pStyle w:val="06cTABLETEXT"/>
            </w:pPr>
            <w:r>
              <w:t>Gunnedah</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A33C75E" w14:textId="77777777" w:rsidR="00EB6564" w:rsidRDefault="00EB6564">
            <w:pPr>
              <w:pStyle w:val="06cTABLETEXT"/>
              <w:jc w:val="center"/>
            </w:pPr>
            <w:r>
              <w:t>4</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F745763" w14:textId="77777777" w:rsidR="00EB6564" w:rsidRDefault="00EB6564">
            <w:pPr>
              <w:pStyle w:val="06cTABLETEXT"/>
              <w:jc w:val="center"/>
            </w:pPr>
            <w:r>
              <w:t>1</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D493CB8" w14:textId="77777777" w:rsidR="00EB6564" w:rsidRDefault="00EB6564">
            <w:pPr>
              <w:pStyle w:val="06cTABLETEXT"/>
              <w:jc w:val="center"/>
            </w:pPr>
            <w:r>
              <w:t>Not 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DAB2AD3" w14:textId="77777777" w:rsidR="00EB6564" w:rsidRDefault="00EB6564">
            <w:pPr>
              <w:pStyle w:val="06cTABLETEXT"/>
              <w:jc w:val="center"/>
            </w:pPr>
            <w:r>
              <w:t>9.0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969B2C" w14:textId="77777777" w:rsidR="00EB6564" w:rsidRDefault="00EB6564">
            <w:pPr>
              <w:pStyle w:val="06cTABLETEXT"/>
              <w:jc w:val="center"/>
            </w:pPr>
            <w:r>
              <w:t>Not Met</w:t>
            </w:r>
          </w:p>
        </w:tc>
      </w:tr>
      <w:tr w:rsidR="00EB6564" w14:paraId="544F262C"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E51982" w14:textId="77777777" w:rsidR="00EB6564" w:rsidRDefault="00EB6564">
            <w:pPr>
              <w:pStyle w:val="06cTABLETEXT"/>
            </w:pPr>
            <w:r>
              <w:t>Narrabri</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8105B4E"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68B9953" w14:textId="77777777" w:rsidR="00EB6564" w:rsidRDefault="00EB6564">
            <w:pPr>
              <w:pStyle w:val="06cTABLETEXT"/>
              <w:jc w:val="center"/>
            </w:pPr>
            <w:r>
              <w:t>1</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485E4C3"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FA5DDFD" w14:textId="77777777" w:rsidR="00EB6564" w:rsidRDefault="00EB6564">
            <w:pPr>
              <w:pStyle w:val="06cTABLETEXT"/>
              <w:jc w:val="center"/>
            </w:pPr>
            <w:r>
              <w:t>4.9</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94201E2" w14:textId="77777777" w:rsidR="00EB6564" w:rsidRDefault="00EB6564">
            <w:pPr>
              <w:pStyle w:val="06cTABLETEXT"/>
              <w:jc w:val="center"/>
            </w:pPr>
            <w:r>
              <w:t>Met</w:t>
            </w:r>
          </w:p>
        </w:tc>
      </w:tr>
      <w:tr w:rsidR="00EB6564" w14:paraId="341977DC"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B785579" w14:textId="77777777" w:rsidR="00EB6564" w:rsidRDefault="00EB6564">
            <w:pPr>
              <w:pStyle w:val="06cTABLETEXT"/>
            </w:pPr>
            <w:r>
              <w:t>Tamworth</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2740DF3"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947FB05" w14:textId="77777777" w:rsidR="00EB6564" w:rsidRDefault="00EB6564">
            <w:pPr>
              <w:pStyle w:val="06cTABLETEXT"/>
              <w:jc w:val="center"/>
            </w:pPr>
            <w:r>
              <w:t>0</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975BD30"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4E7DA7D" w14:textId="77777777" w:rsidR="00EB6564" w:rsidRDefault="00EB6564">
            <w:pPr>
              <w:pStyle w:val="06cTABLETEXT"/>
              <w:jc w:val="center"/>
            </w:pPr>
            <w:r>
              <w:t>8.3</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DB5D783" w14:textId="77777777" w:rsidR="00EB6564" w:rsidRDefault="00EB6564">
            <w:pPr>
              <w:pStyle w:val="06cTABLETEXT"/>
              <w:jc w:val="center"/>
            </w:pPr>
            <w:r>
              <w:t>Not Met</w:t>
            </w:r>
          </w:p>
        </w:tc>
      </w:tr>
      <w:tr w:rsidR="00EB6564" w14:paraId="3979DDCE" w14:textId="77777777" w:rsidTr="008B4D97">
        <w:trPr>
          <w:trHeight w:val="60"/>
        </w:trPr>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0180066" w14:textId="77777777" w:rsidR="00EB6564" w:rsidRDefault="00EB6564">
            <w:pPr>
              <w:pStyle w:val="06cTABLETEXT"/>
            </w:pPr>
            <w:r>
              <w:t>Wagga Wagga North</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3D41BDA" w14:textId="77777777" w:rsidR="00EB6564" w:rsidRDefault="00EB6564">
            <w:pPr>
              <w:pStyle w:val="06cTABLETEXT"/>
              <w:jc w:val="center"/>
            </w:pPr>
            <w:r>
              <w:t>0</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B3D4905" w14:textId="77777777" w:rsidR="00EB6564" w:rsidRDefault="00EB6564">
            <w:pPr>
              <w:pStyle w:val="06cTABLETEXT"/>
              <w:jc w:val="center"/>
            </w:pPr>
            <w:r>
              <w:t>0</w:t>
            </w:r>
          </w:p>
        </w:tc>
        <w:tc>
          <w:tcPr>
            <w:tcW w:w="123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92721F4" w14:textId="77777777" w:rsidR="00EB6564" w:rsidRDefault="00EB6564">
            <w:pPr>
              <w:pStyle w:val="06cTABLETEXT"/>
              <w:jc w:val="center"/>
            </w:pPr>
            <w:r>
              <w:t>Met</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D4E5F04" w14:textId="77777777" w:rsidR="00EB6564" w:rsidRDefault="00EB6564">
            <w:pPr>
              <w:pStyle w:val="06cTABLETEXT"/>
              <w:jc w:val="center"/>
            </w:pPr>
            <w:r>
              <w:t>8.4</w:t>
            </w:r>
          </w:p>
        </w:tc>
        <w:tc>
          <w:tcPr>
            <w:tcW w:w="123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29FD9F8" w14:textId="77777777" w:rsidR="00EB6564" w:rsidRDefault="00EB6564">
            <w:pPr>
              <w:pStyle w:val="06cTABLETEXT"/>
              <w:jc w:val="center"/>
            </w:pPr>
            <w:r>
              <w:t>Not Met</w:t>
            </w:r>
          </w:p>
        </w:tc>
      </w:tr>
    </w:tbl>
    <w:p w14:paraId="70DA366B" w14:textId="77777777" w:rsidR="00EB6564" w:rsidRDefault="00EB6564" w:rsidP="00397A8C">
      <w:pPr>
        <w:pStyle w:val="07FOOTNOTES"/>
        <w:spacing w:after="0"/>
      </w:pPr>
      <w:r>
        <w:t xml:space="preserve">* </w:t>
      </w:r>
      <w:r>
        <w:tab/>
        <w:t>ND (not determined) – the Rozelle station non-compliant with 75% data availability criteria for PM</w:t>
      </w:r>
      <w:r>
        <w:rPr>
          <w:vertAlign w:val="subscript"/>
        </w:rPr>
        <w:t>2.5</w:t>
      </w:r>
      <w:r>
        <w:t xml:space="preserve"> due to recommissioning of the site in 2018.</w:t>
      </w:r>
    </w:p>
    <w:p w14:paraId="7E668D72" w14:textId="77777777" w:rsidR="00EB6564" w:rsidRDefault="00EB6564" w:rsidP="00EB6564">
      <w:pPr>
        <w:pStyle w:val="07FOOTNOTES"/>
        <w:spacing w:after="170"/>
      </w:pPr>
      <w:r>
        <w:t>**</w:t>
      </w:r>
      <w:r>
        <w:tab/>
        <w:t>Annual exceedances of the standard must be greater than 8.0 µg/m</w:t>
      </w:r>
      <w:r>
        <w:rPr>
          <w:vertAlign w:val="superscript"/>
        </w:rPr>
        <w:t>3</w:t>
      </w:r>
    </w:p>
    <w:p w14:paraId="3F4D41E1" w14:textId="6694E7DA" w:rsidR="00134EA2" w:rsidRDefault="00EB6564" w:rsidP="00EB6564">
      <w:pPr>
        <w:pStyle w:val="05BODYTEXT"/>
      </w:pPr>
      <w:r>
        <w:t>During 2018, compliance with the NEPM goals for particles as PM</w:t>
      </w:r>
      <w:r>
        <w:rPr>
          <w:vertAlign w:val="subscript"/>
        </w:rPr>
        <w:t>2.5</w:t>
      </w:r>
      <w:r>
        <w:t xml:space="preserve"> was demonstrated at 24 of 28 sites for the 24-hour goal, and 17 of 28 sites for the annual goal.</w:t>
      </w:r>
    </w:p>
    <w:p w14:paraId="798F89BB" w14:textId="77777777" w:rsidR="00134EA2" w:rsidRDefault="00134EA2">
      <w:pPr>
        <w:rPr>
          <w:rFonts w:ascii="Calibri" w:hAnsi="Calibri" w:cs="Calibri"/>
          <w:color w:val="000000"/>
          <w:sz w:val="16"/>
          <w:szCs w:val="16"/>
        </w:rPr>
      </w:pPr>
      <w:r>
        <w:br w:type="page"/>
      </w:r>
    </w:p>
    <w:p w14:paraId="1FB47B64" w14:textId="77777777" w:rsidR="00EB6564" w:rsidRPr="009408AB" w:rsidRDefault="00EB6564" w:rsidP="00CB0DA6">
      <w:pPr>
        <w:pStyle w:val="Heading2"/>
      </w:pPr>
      <w:bookmarkStart w:id="27" w:name="_Toc58254381"/>
      <w:r w:rsidRPr="009408AB">
        <w:lastRenderedPageBreak/>
        <w:t>Victoria</w:t>
      </w:r>
      <w:bookmarkEnd w:id="27"/>
    </w:p>
    <w:p w14:paraId="69EE5C1B" w14:textId="77777777" w:rsidR="00EB6564" w:rsidRDefault="00EB6564" w:rsidP="00EB6564">
      <w:pPr>
        <w:pStyle w:val="05BODYTEXT"/>
        <w:rPr>
          <w:rStyle w:val="ITALIC"/>
        </w:rPr>
      </w:pPr>
      <w:r>
        <w:rPr>
          <w:rStyle w:val="ITALIC"/>
        </w:rPr>
        <w:t xml:space="preserve">Report to the NEPC on the implementation of the National Environment Protection (Ambient Air Quality) Measure for Victoria by the Hon Lily </w:t>
      </w:r>
      <w:proofErr w:type="spellStart"/>
      <w:r>
        <w:rPr>
          <w:rStyle w:val="ITALIC"/>
        </w:rPr>
        <w:t>D’Ambrosio</w:t>
      </w:r>
      <w:proofErr w:type="spellEnd"/>
      <w:r>
        <w:rPr>
          <w:rStyle w:val="ITALIC"/>
        </w:rPr>
        <w:t xml:space="preserve"> Minister for Energy, Environment and Climate Change for the reporting year ended 30 June 2019.</w:t>
      </w:r>
    </w:p>
    <w:p w14:paraId="78505B29" w14:textId="77777777" w:rsidR="00EB6564" w:rsidRDefault="00EB6564" w:rsidP="00EB6564">
      <w:pPr>
        <w:pStyle w:val="02HEADING2"/>
      </w:pPr>
      <w:r>
        <w:t>Part 1—Implementation of the NEPM and any significant issues</w:t>
      </w:r>
    </w:p>
    <w:p w14:paraId="3DC62E8D" w14:textId="77777777" w:rsidR="00EB6564" w:rsidRDefault="00EB6564" w:rsidP="00EB6564">
      <w:pPr>
        <w:pStyle w:val="05bDOTPOINTS"/>
      </w:pPr>
      <w:r>
        <w:t>•</w:t>
      </w:r>
      <w:r>
        <w:tab/>
        <w:t>Monitoring was performed in accordance with a modified state monitoring plan, National Environment Protection (Ambient Air Quality) Measure (NEPM) technical papers and Environment Protection Authority Victoria’s National Association of Testing Authorities’ accreditation.</w:t>
      </w:r>
    </w:p>
    <w:p w14:paraId="76F4BE65" w14:textId="77777777" w:rsidR="00EB6564" w:rsidRDefault="00EB6564" w:rsidP="00EB6564">
      <w:pPr>
        <w:pStyle w:val="05bDOTPOINTS"/>
      </w:pPr>
      <w:r>
        <w:t>•</w:t>
      </w:r>
      <w:r>
        <w:tab/>
        <w:t>For particulate matter equal or less than 10µm (PM</w:t>
      </w:r>
      <w:r>
        <w:rPr>
          <w:vertAlign w:val="subscript"/>
        </w:rPr>
        <w:t>10</w:t>
      </w:r>
      <w:r>
        <w:t>), particulate matter equal or less than 2.5 µm (PM</w:t>
      </w:r>
      <w:r>
        <w:rPr>
          <w:vertAlign w:val="subscript"/>
        </w:rPr>
        <w:t>2.5</w:t>
      </w:r>
      <w:r>
        <w:t>) and nitrogen dioxide (NO</w:t>
      </w:r>
      <w:r>
        <w:rPr>
          <w:vertAlign w:val="subscript"/>
        </w:rPr>
        <w:t>2</w:t>
      </w:r>
      <w:r>
        <w:t xml:space="preserve">), data capture was high, with all stations above the data capture target of 75%. </w:t>
      </w:r>
    </w:p>
    <w:p w14:paraId="26392D77" w14:textId="77777777" w:rsidR="00EB6564" w:rsidRDefault="00EB6564" w:rsidP="00EB6564">
      <w:pPr>
        <w:pStyle w:val="05bDOTPOINTS"/>
      </w:pPr>
      <w:r>
        <w:t>•</w:t>
      </w:r>
      <w:r>
        <w:tab/>
        <w:t xml:space="preserve">For carbon monoxide (CO) data capture was below the target of 75% at Footscray in quarter 1 (Q1), this was due to instrumentation issues. </w:t>
      </w:r>
    </w:p>
    <w:p w14:paraId="7A9202F9" w14:textId="77777777" w:rsidR="00EB6564" w:rsidRDefault="00EB6564" w:rsidP="00EB6564">
      <w:pPr>
        <w:pStyle w:val="05bDOTPOINTS"/>
      </w:pPr>
      <w:r>
        <w:t>•</w:t>
      </w:r>
      <w:r>
        <w:tab/>
        <w:t>For ozone (O</w:t>
      </w:r>
      <w:r>
        <w:rPr>
          <w:vertAlign w:val="subscript"/>
        </w:rPr>
        <w:t>3</w:t>
      </w:r>
      <w:r>
        <w:t>) data capture was below the target of 75% at Footscray and Traralgon in quarters 2 (Q2), 3 (Q3) and 4 (Q4), this was due to these instruments only being operated during the summer periods where peak ozone formation occurs. Annual data capture at these stations were also below the target of 75%.</w:t>
      </w:r>
    </w:p>
    <w:p w14:paraId="4E88F501" w14:textId="77777777" w:rsidR="00EB6564" w:rsidRDefault="00EB6564" w:rsidP="00EB6564">
      <w:pPr>
        <w:pStyle w:val="05bDOTPOINTS"/>
      </w:pPr>
      <w:r>
        <w:t>•</w:t>
      </w:r>
      <w:r>
        <w:tab/>
        <w:t xml:space="preserve">For </w:t>
      </w:r>
      <w:proofErr w:type="spellStart"/>
      <w:r>
        <w:t>sulfur</w:t>
      </w:r>
      <w:proofErr w:type="spellEnd"/>
      <w:r>
        <w:t xml:space="preserve"> dioxide (SO</w:t>
      </w:r>
      <w:r>
        <w:rPr>
          <w:vertAlign w:val="subscript"/>
        </w:rPr>
        <w:t>2</w:t>
      </w:r>
      <w:r>
        <w:t>) data capture was below the target of 75% at Altona North in quarters 1 (Q1) and quarter 4 (Q4) and Traralgon in quarter 4 (Q4), this was due to instrumentation issues. Annual data capture at Altona North was above the target of 75%.</w:t>
      </w:r>
    </w:p>
    <w:p w14:paraId="772C0C97" w14:textId="77777777" w:rsidR="00EB6564" w:rsidRDefault="00EB6564" w:rsidP="00EB6564">
      <w:pPr>
        <w:pStyle w:val="05bDOTPOINTS"/>
      </w:pPr>
      <w:r>
        <w:t>•</w:t>
      </w:r>
      <w:r>
        <w:tab/>
        <w:t xml:space="preserve">There were no other significant implementation issues. </w:t>
      </w:r>
    </w:p>
    <w:p w14:paraId="6FEBE5E7" w14:textId="77777777" w:rsidR="00EB6564" w:rsidRDefault="00EB6564" w:rsidP="00EB6564">
      <w:pPr>
        <w:pStyle w:val="02HEADING2"/>
      </w:pPr>
      <w:r>
        <w:t>PART 2—Assessment of NEPM effectiveness</w:t>
      </w:r>
    </w:p>
    <w:p w14:paraId="47DFC23C" w14:textId="77777777" w:rsidR="00EB6564" w:rsidRDefault="00EB6564" w:rsidP="00EB6564">
      <w:pPr>
        <w:pStyle w:val="05bDOTPOINTS"/>
      </w:pPr>
      <w:r>
        <w:t>•</w:t>
      </w:r>
      <w:r>
        <w:tab/>
        <w:t>In general, Victoria’s air quality in 2018 was categorised as good due to levels of air pollution being below the air quality standards on most days. However, there were exceedances of air quality standards for PM</w:t>
      </w:r>
      <w:r>
        <w:rPr>
          <w:vertAlign w:val="subscript"/>
        </w:rPr>
        <w:t>2.5</w:t>
      </w:r>
      <w:r>
        <w:t>, PM</w:t>
      </w:r>
      <w:r>
        <w:rPr>
          <w:vertAlign w:val="subscript"/>
        </w:rPr>
        <w:t>10</w:t>
      </w:r>
      <w:r>
        <w:t xml:space="preserve"> and O</w:t>
      </w:r>
      <w:r>
        <w:rPr>
          <w:vertAlign w:val="subscript"/>
        </w:rPr>
        <w:t>3</w:t>
      </w:r>
      <w:r>
        <w:t xml:space="preserve">. Air quality trends over the last few years have remained consistent. </w:t>
      </w:r>
    </w:p>
    <w:p w14:paraId="6E2B4040" w14:textId="77777777" w:rsidR="00EB6564" w:rsidRDefault="00EB6564" w:rsidP="00EB6564">
      <w:pPr>
        <w:pStyle w:val="05bDOTPOINTS"/>
      </w:pPr>
      <w:r>
        <w:t>•</w:t>
      </w:r>
      <w:r>
        <w:tab/>
        <w:t>Urban sources, such as domestic wood heating, continue to be a significant contributor to the number of exceedances of the PM</w:t>
      </w:r>
      <w:r>
        <w:rPr>
          <w:vertAlign w:val="subscript"/>
        </w:rPr>
        <w:t>2.5</w:t>
      </w:r>
      <w:r>
        <w:t xml:space="preserve"> standard. These generally occurred on cold, still nights, which are usually associated with increased usage of heating and meteorological conditions that limit the dispersion of smoke.</w:t>
      </w:r>
    </w:p>
    <w:p w14:paraId="0C4CC9E5" w14:textId="77777777" w:rsidR="00EB6564" w:rsidRDefault="00EB6564" w:rsidP="00EB6564">
      <w:pPr>
        <w:pStyle w:val="05bDOTPOINTS"/>
      </w:pPr>
      <w:r>
        <w:t>•</w:t>
      </w:r>
      <w:r>
        <w:tab/>
        <w:t>Several days of PM</w:t>
      </w:r>
      <w:r>
        <w:rPr>
          <w:vertAlign w:val="subscript"/>
        </w:rPr>
        <w:t>2.5</w:t>
      </w:r>
      <w:r>
        <w:t xml:space="preserve"> exceedances were also associated with land burns. These burns are carried out to reduce fuel loads and the risk of major bushfires in summer as well as for the protection of water catchment areas.</w:t>
      </w:r>
    </w:p>
    <w:p w14:paraId="78EA065E" w14:textId="77777777" w:rsidR="00EB6564" w:rsidRDefault="00EB6564" w:rsidP="00EB6564">
      <w:pPr>
        <w:pStyle w:val="05bDOTPOINTS"/>
      </w:pPr>
      <w:r>
        <w:t>•</w:t>
      </w:r>
      <w:r>
        <w:tab/>
        <w:t>Wind-blown dust also contributed to exceedances of the PM</w:t>
      </w:r>
      <w:r>
        <w:rPr>
          <w:vertAlign w:val="subscript"/>
        </w:rPr>
        <w:t>10</w:t>
      </w:r>
      <w:r>
        <w:t xml:space="preserve"> standard on several days during summer and early autumn. Some of these exceedances were also potentially associated with planned hazard reduction burns in May.</w:t>
      </w:r>
    </w:p>
    <w:p w14:paraId="45033C7C" w14:textId="77777777" w:rsidR="00EB6564" w:rsidRDefault="00EB6564" w:rsidP="00EB6564">
      <w:pPr>
        <w:pStyle w:val="05bDOTPOINTS"/>
      </w:pPr>
      <w:r>
        <w:t>•</w:t>
      </w:r>
      <w:r>
        <w:tab/>
        <w:t>Compliance with the O</w:t>
      </w:r>
      <w:r>
        <w:rPr>
          <w:vertAlign w:val="subscript"/>
        </w:rPr>
        <w:t>3</w:t>
      </w:r>
      <w:r>
        <w:t xml:space="preserve"> goals were not demonstrated at Footscray and Traralgon where there was one day where the 4-hour O</w:t>
      </w:r>
      <w:r>
        <w:rPr>
          <w:vertAlign w:val="subscript"/>
        </w:rPr>
        <w:t>3</w:t>
      </w:r>
      <w:r>
        <w:t xml:space="preserve"> standard was not met; these exceedances were likely to be associated with urban pollution sources.</w:t>
      </w:r>
    </w:p>
    <w:p w14:paraId="28343019" w14:textId="0BB4901F" w:rsidR="00EB6564" w:rsidRDefault="00EB6564" w:rsidP="00EB6564">
      <w:pPr>
        <w:pStyle w:val="05bDOTPOINTS"/>
      </w:pPr>
      <w:r>
        <w:t>•</w:t>
      </w:r>
      <w:r>
        <w:tab/>
        <w:t xml:space="preserve">The results from issue-specific monitoring stations in Brooklyn and the Latrobe Valley are displayed on EPA’s website: </w:t>
      </w:r>
      <w:hyperlink r:id="rId41" w:history="1">
        <w:r w:rsidRPr="00276A45">
          <w:rPr>
            <w:rStyle w:val="Hyperlink"/>
            <w:color w:val="4472C4" w:themeColor="accent1"/>
            <w:u w:val="single"/>
          </w:rPr>
          <w:t>https://www.epa.vic.gov.au/EPAAirWatch</w:t>
        </w:r>
      </w:hyperlink>
      <w:r>
        <w:t xml:space="preserve"> </w:t>
      </w:r>
    </w:p>
    <w:p w14:paraId="7525FAC2" w14:textId="77777777" w:rsidR="00EB6564" w:rsidRDefault="00EB6564" w:rsidP="00EB6564">
      <w:pPr>
        <w:pStyle w:val="05BODYTEXT"/>
      </w:pPr>
      <w:r>
        <w:t>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the standard for a pollutant is exceeded on no more than a specified number of days in a calendar year (one day per year for all pollutants except PM</w:t>
      </w:r>
      <w:r>
        <w:rPr>
          <w:vertAlign w:val="subscript"/>
        </w:rPr>
        <w:t>10</w:t>
      </w:r>
      <w:r>
        <w:t xml:space="preserve">, which may be exceeded no more than five days per year) and at least 75% of data are captured in each quarter. </w:t>
      </w:r>
    </w:p>
    <w:p w14:paraId="4D11CFD9" w14:textId="715CBCB0" w:rsidR="00EB6564" w:rsidRDefault="00EB6564" w:rsidP="00EB6564">
      <w:pPr>
        <w:pStyle w:val="05BODYTEXT"/>
      </w:pPr>
      <w:r>
        <w:t xml:space="preserve">The data are presented in greater detail in </w:t>
      </w:r>
      <w:hyperlink r:id="rId42" w:history="1">
        <w:r w:rsidRPr="00276A45">
          <w:rPr>
            <w:rStyle w:val="Hyperlink"/>
            <w:color w:val="4472C4" w:themeColor="accent1"/>
            <w:u w:val="single"/>
          </w:rPr>
          <w:t>https://www.epa.vic.gov.au/about-epa/publications/1749</w:t>
        </w:r>
      </w:hyperlink>
      <w: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696"/>
        <w:gridCol w:w="5731"/>
      </w:tblGrid>
      <w:tr w:rsidR="00EB6564" w14:paraId="4EFFF485" w14:textId="77777777" w:rsidTr="00134EA2">
        <w:trPr>
          <w:trHeight w:val="60"/>
          <w:tblHeader/>
        </w:trPr>
        <w:tc>
          <w:tcPr>
            <w:tcW w:w="1696" w:type="dxa"/>
            <w:vMerge w:val="restart"/>
            <w:tcMar>
              <w:top w:w="85" w:type="dxa"/>
              <w:left w:w="85" w:type="dxa"/>
              <w:bottom w:w="85" w:type="dxa"/>
              <w:right w:w="85" w:type="dxa"/>
            </w:tcMar>
          </w:tcPr>
          <w:p w14:paraId="3F5F9CE9" w14:textId="77777777" w:rsidR="00EB6564" w:rsidRDefault="00EB6564" w:rsidP="00134EA2">
            <w:pPr>
              <w:pStyle w:val="CHEMICALCHEMTABLES"/>
              <w:keepNext/>
              <w:spacing w:after="0" w:line="240" w:lineRule="auto"/>
            </w:pPr>
            <w:r>
              <w:lastRenderedPageBreak/>
              <w:t>CO</w:t>
            </w:r>
          </w:p>
        </w:tc>
        <w:tc>
          <w:tcPr>
            <w:tcW w:w="5731" w:type="dxa"/>
            <w:tcMar>
              <w:top w:w="85" w:type="dxa"/>
              <w:left w:w="85" w:type="dxa"/>
              <w:bottom w:w="85" w:type="dxa"/>
              <w:right w:w="85" w:type="dxa"/>
            </w:tcMar>
          </w:tcPr>
          <w:p w14:paraId="521371C2" w14:textId="77777777" w:rsidR="00EB6564" w:rsidRDefault="00EB6564" w:rsidP="00134EA2">
            <w:pPr>
              <w:pStyle w:val="CHEMICALfullnameCHEMTABLES"/>
              <w:keepNext/>
              <w:spacing w:after="0" w:line="240" w:lineRule="auto"/>
            </w:pPr>
            <w:r>
              <w:t>Carbon monoxide</w:t>
            </w:r>
          </w:p>
        </w:tc>
      </w:tr>
      <w:tr w:rsidR="00EB6564" w14:paraId="52A35534" w14:textId="77777777" w:rsidTr="00134EA2">
        <w:trPr>
          <w:trHeight w:val="60"/>
          <w:tblHeader/>
        </w:trPr>
        <w:tc>
          <w:tcPr>
            <w:tcW w:w="1696" w:type="dxa"/>
            <w:vMerge/>
          </w:tcPr>
          <w:p w14:paraId="4C547260"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5EB4A178" w14:textId="77777777" w:rsidR="00EB6564" w:rsidRDefault="00EB6564" w:rsidP="00134EA2">
            <w:pPr>
              <w:pStyle w:val="NEPMstandardCHEMTABLES"/>
              <w:keepNext/>
              <w:spacing w:after="0" w:line="240" w:lineRule="auto"/>
            </w:pPr>
            <w:r>
              <w:t>(NEPM standard 8 hours = 9.0 ppm)</w:t>
            </w:r>
          </w:p>
        </w:tc>
      </w:tr>
      <w:tr w:rsidR="00EB6564" w14:paraId="2B492746" w14:textId="77777777" w:rsidTr="00134EA2">
        <w:trPr>
          <w:trHeight w:hRule="exact" w:val="113"/>
        </w:trPr>
        <w:tc>
          <w:tcPr>
            <w:tcW w:w="1696" w:type="dxa"/>
            <w:tcMar>
              <w:top w:w="85" w:type="dxa"/>
              <w:left w:w="85" w:type="dxa"/>
              <w:bottom w:w="85" w:type="dxa"/>
              <w:right w:w="85" w:type="dxa"/>
            </w:tcMar>
          </w:tcPr>
          <w:p w14:paraId="5F089936"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7EA86FB" w14:textId="77777777" w:rsidR="00EB6564" w:rsidRDefault="00EB6564" w:rsidP="00134EA2">
            <w:pPr>
              <w:pStyle w:val="NoParagraphStyle"/>
              <w:keepNext/>
              <w:spacing w:line="240" w:lineRule="auto"/>
              <w:textAlignment w:val="auto"/>
              <w:rPr>
                <w:rFonts w:ascii="Calibri" w:hAnsi="Calibri" w:cs="Calibri"/>
                <w:color w:val="auto"/>
              </w:rPr>
            </w:pPr>
          </w:p>
        </w:tc>
      </w:tr>
    </w:tbl>
    <w:p w14:paraId="307464F9" w14:textId="77777777" w:rsidR="00EB6564" w:rsidRDefault="00EB6564" w:rsidP="00397A8C">
      <w:pPr>
        <w:pStyle w:val="05BODYTEXT"/>
        <w:keepN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2469"/>
        <w:gridCol w:w="2469"/>
        <w:gridCol w:w="2469"/>
      </w:tblGrid>
      <w:tr w:rsidR="00EB6564" w14:paraId="53593A7F" w14:textId="77777777">
        <w:trPr>
          <w:trHeight w:val="60"/>
          <w:tblHeader/>
        </w:trPr>
        <w:tc>
          <w:tcPr>
            <w:tcW w:w="246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C52754D" w14:textId="77777777" w:rsidR="00EB6564" w:rsidRDefault="00EB6564" w:rsidP="00397A8C">
            <w:pPr>
              <w:pStyle w:val="06bTABLEHEADERROW"/>
              <w:spacing w:line="240" w:lineRule="auto"/>
            </w:pPr>
            <w:r>
              <w:t>Station</w:t>
            </w:r>
          </w:p>
        </w:tc>
        <w:tc>
          <w:tcPr>
            <w:tcW w:w="246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26B0ACE" w14:textId="77777777" w:rsidR="00EB6564" w:rsidRDefault="00EB6564" w:rsidP="00397A8C">
            <w:pPr>
              <w:pStyle w:val="06bTABLEHEADERROW"/>
              <w:spacing w:line="240" w:lineRule="auto"/>
              <w:jc w:val="center"/>
            </w:pPr>
            <w:r>
              <w:t>Number of exceedances</w:t>
            </w:r>
          </w:p>
        </w:tc>
        <w:tc>
          <w:tcPr>
            <w:tcW w:w="246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F8A2FD0" w14:textId="77777777" w:rsidR="00EB6564" w:rsidRDefault="00EB6564" w:rsidP="00397A8C">
            <w:pPr>
              <w:pStyle w:val="06bTABLEHEADERROW"/>
              <w:spacing w:line="240" w:lineRule="auto"/>
              <w:jc w:val="center"/>
            </w:pPr>
            <w:r>
              <w:t>NEPM goal compliance</w:t>
            </w:r>
          </w:p>
        </w:tc>
      </w:tr>
      <w:tr w:rsidR="00EB6564" w14:paraId="29A5A2EF" w14:textId="77777777">
        <w:trPr>
          <w:trHeight w:val="60"/>
        </w:trPr>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25F540" w14:textId="77777777" w:rsidR="00EB6564" w:rsidRDefault="00EB6564" w:rsidP="00397A8C">
            <w:pPr>
              <w:pStyle w:val="06cTABLETEXT"/>
              <w:keepNext/>
              <w:spacing w:line="240" w:lineRule="auto"/>
            </w:pPr>
            <w:r>
              <w:t>Alphington</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3E6D4B" w14:textId="77777777" w:rsidR="00EB6564" w:rsidRDefault="00EB6564" w:rsidP="00397A8C">
            <w:pPr>
              <w:pStyle w:val="06cTABLETEXT"/>
              <w:keepNext/>
              <w:spacing w:line="240" w:lineRule="auto"/>
              <w:jc w:val="center"/>
            </w:pPr>
            <w:r>
              <w:t>0</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F3B64E" w14:textId="77777777" w:rsidR="00EB6564" w:rsidRDefault="00EB6564" w:rsidP="00397A8C">
            <w:pPr>
              <w:pStyle w:val="06cTABLETEXT"/>
              <w:keepNext/>
              <w:spacing w:line="240" w:lineRule="auto"/>
              <w:jc w:val="center"/>
            </w:pPr>
            <w:r>
              <w:t>Met</w:t>
            </w:r>
          </w:p>
        </w:tc>
      </w:tr>
      <w:tr w:rsidR="00EB6564" w14:paraId="4B61D29B" w14:textId="77777777">
        <w:trPr>
          <w:trHeight w:val="60"/>
        </w:trPr>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686112" w14:textId="77777777" w:rsidR="00EB6564" w:rsidRDefault="00EB6564" w:rsidP="00397A8C">
            <w:pPr>
              <w:pStyle w:val="06cTABLETEXT"/>
              <w:keepNext/>
              <w:spacing w:line="240" w:lineRule="auto"/>
            </w:pPr>
            <w:r>
              <w:t>Footscray</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60DCDD" w14:textId="77777777" w:rsidR="00EB6564" w:rsidRDefault="00EB6564" w:rsidP="00397A8C">
            <w:pPr>
              <w:pStyle w:val="06cTABLETEXT"/>
              <w:keepNext/>
              <w:spacing w:line="240" w:lineRule="auto"/>
              <w:jc w:val="center"/>
            </w:pPr>
            <w:r>
              <w:t>0</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05BE49" w14:textId="77777777" w:rsidR="00EB6564" w:rsidRDefault="00EB6564" w:rsidP="00397A8C">
            <w:pPr>
              <w:pStyle w:val="06cTABLETEXT"/>
              <w:keepNext/>
              <w:spacing w:line="240" w:lineRule="auto"/>
              <w:jc w:val="center"/>
            </w:pPr>
            <w:r>
              <w:t>Not Met*</w:t>
            </w:r>
          </w:p>
        </w:tc>
      </w:tr>
      <w:tr w:rsidR="00EB6564" w14:paraId="265DC1E2" w14:textId="77777777">
        <w:trPr>
          <w:trHeight w:val="60"/>
        </w:trPr>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2D96738" w14:textId="77777777" w:rsidR="00EB6564" w:rsidRDefault="00EB6564" w:rsidP="00397A8C">
            <w:pPr>
              <w:pStyle w:val="06cTABLETEXT"/>
              <w:keepNext/>
              <w:spacing w:line="240" w:lineRule="auto"/>
            </w:pPr>
            <w:r>
              <w:t>Geelong South</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5979D3" w14:textId="77777777" w:rsidR="00EB6564" w:rsidRDefault="00EB6564" w:rsidP="00397A8C">
            <w:pPr>
              <w:pStyle w:val="06cTABLETEXT"/>
              <w:keepNext/>
              <w:spacing w:line="240" w:lineRule="auto"/>
              <w:jc w:val="center"/>
            </w:pPr>
            <w:r>
              <w:t>0</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8A3937C" w14:textId="77777777" w:rsidR="00EB6564" w:rsidRDefault="00EB6564" w:rsidP="00397A8C">
            <w:pPr>
              <w:pStyle w:val="06cTABLETEXT"/>
              <w:keepNext/>
              <w:spacing w:line="240" w:lineRule="auto"/>
              <w:jc w:val="center"/>
            </w:pPr>
            <w:r>
              <w:t>Met</w:t>
            </w:r>
          </w:p>
        </w:tc>
      </w:tr>
    </w:tbl>
    <w:p w14:paraId="3C56A24C" w14:textId="77777777" w:rsidR="00EB6564" w:rsidRDefault="00EB6564" w:rsidP="00EB6564">
      <w:pPr>
        <w:pStyle w:val="07FOOTNOTES"/>
        <w:spacing w:after="283"/>
      </w:pPr>
      <w:r>
        <w:t>*&lt;75 data capture during the year, insufficient data to demonstrate compliance</w:t>
      </w:r>
    </w:p>
    <w:tbl>
      <w:tblPr>
        <w:tblW w:w="0" w:type="auto"/>
        <w:tblInd w:w="-8" w:type="dxa"/>
        <w:tblLayout w:type="fixed"/>
        <w:tblCellMar>
          <w:left w:w="0" w:type="dxa"/>
          <w:right w:w="0" w:type="dxa"/>
        </w:tblCellMar>
        <w:tblLook w:val="0000" w:firstRow="0" w:lastRow="0" w:firstColumn="0" w:lastColumn="0" w:noHBand="0" w:noVBand="0"/>
      </w:tblPr>
      <w:tblGrid>
        <w:gridCol w:w="1696"/>
        <w:gridCol w:w="5731"/>
      </w:tblGrid>
      <w:tr w:rsidR="00EB6564" w14:paraId="287CB7EC" w14:textId="77777777" w:rsidTr="00134EA2">
        <w:trPr>
          <w:trHeight w:val="60"/>
          <w:tblHeader/>
        </w:trPr>
        <w:tc>
          <w:tcPr>
            <w:tcW w:w="1696" w:type="dxa"/>
            <w:vMerge w:val="restart"/>
            <w:tcMar>
              <w:top w:w="85" w:type="dxa"/>
              <w:left w:w="85" w:type="dxa"/>
              <w:bottom w:w="85" w:type="dxa"/>
              <w:right w:w="85" w:type="dxa"/>
            </w:tcMar>
          </w:tcPr>
          <w:p w14:paraId="629D1B0B" w14:textId="77777777" w:rsidR="00EB6564" w:rsidRDefault="00EB6564" w:rsidP="00134EA2">
            <w:pPr>
              <w:pStyle w:val="CHEMICALCHEMTABLES"/>
              <w:spacing w:after="0" w:line="240" w:lineRule="auto"/>
            </w:pPr>
            <w:r>
              <w:t>NO</w:t>
            </w:r>
            <w:r>
              <w:rPr>
                <w:vertAlign w:val="subscript"/>
              </w:rPr>
              <w:t>2</w:t>
            </w:r>
          </w:p>
        </w:tc>
        <w:tc>
          <w:tcPr>
            <w:tcW w:w="5731" w:type="dxa"/>
            <w:tcMar>
              <w:top w:w="85" w:type="dxa"/>
              <w:left w:w="85" w:type="dxa"/>
              <w:bottom w:w="85" w:type="dxa"/>
              <w:right w:w="85" w:type="dxa"/>
            </w:tcMar>
          </w:tcPr>
          <w:p w14:paraId="4023623E" w14:textId="77777777" w:rsidR="00EB6564" w:rsidRDefault="00EB6564" w:rsidP="00134EA2">
            <w:pPr>
              <w:pStyle w:val="CHEMICALfullnameCHEMTABLES"/>
              <w:spacing w:after="0" w:line="240" w:lineRule="auto"/>
            </w:pPr>
            <w:r>
              <w:t>Nitrogen dioxide</w:t>
            </w:r>
          </w:p>
        </w:tc>
      </w:tr>
      <w:tr w:rsidR="00EB6564" w14:paraId="3C59A9FB" w14:textId="77777777" w:rsidTr="00134EA2">
        <w:trPr>
          <w:trHeight w:val="60"/>
          <w:tblHeader/>
        </w:trPr>
        <w:tc>
          <w:tcPr>
            <w:tcW w:w="1696" w:type="dxa"/>
            <w:vMerge/>
          </w:tcPr>
          <w:p w14:paraId="53A89294"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050C1A4D" w14:textId="77777777" w:rsidR="00EB6564" w:rsidRDefault="00EB6564" w:rsidP="00134EA2">
            <w:pPr>
              <w:pStyle w:val="NEPMstandardCHEMTABLES"/>
              <w:spacing w:after="0" w:line="240" w:lineRule="auto"/>
            </w:pPr>
            <w:r>
              <w:t>(NEPM standard: 1 hour = 0.12 ppm, 1 year = 0.03 ppm)</w:t>
            </w:r>
          </w:p>
        </w:tc>
      </w:tr>
      <w:tr w:rsidR="00EB6564" w14:paraId="2405A20C" w14:textId="77777777" w:rsidTr="00134EA2">
        <w:trPr>
          <w:trHeight w:hRule="exact" w:val="113"/>
        </w:trPr>
        <w:tc>
          <w:tcPr>
            <w:tcW w:w="1696" w:type="dxa"/>
            <w:tcMar>
              <w:top w:w="85" w:type="dxa"/>
              <w:left w:w="85" w:type="dxa"/>
              <w:bottom w:w="85" w:type="dxa"/>
              <w:right w:w="85" w:type="dxa"/>
            </w:tcMar>
          </w:tcPr>
          <w:p w14:paraId="56DAC9E4"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22800327" w14:textId="77777777" w:rsidR="00EB6564" w:rsidRDefault="00EB6564" w:rsidP="00134EA2">
            <w:pPr>
              <w:pStyle w:val="NoParagraphStyle"/>
              <w:spacing w:line="240" w:lineRule="auto"/>
              <w:textAlignment w:val="auto"/>
              <w:rPr>
                <w:rFonts w:ascii="Calibri" w:hAnsi="Calibri" w:cs="Calibri"/>
                <w:color w:val="auto"/>
              </w:rPr>
            </w:pPr>
          </w:p>
        </w:tc>
      </w:tr>
    </w:tbl>
    <w:p w14:paraId="072666A7" w14:textId="77777777" w:rsidR="00EB6564" w:rsidRDefault="00EB6564" w:rsidP="00EB6564">
      <w:pPr>
        <w:pStyle w:val="05BODYTEXT"/>
        <w:spacing w:after="0"/>
        <w:rPr>
          <w:sz w:val="15"/>
          <w:szCs w:val="15"/>
        </w:rPr>
      </w:pPr>
    </w:p>
    <w:tbl>
      <w:tblPr>
        <w:tblW w:w="0" w:type="auto"/>
        <w:tblInd w:w="-5" w:type="dxa"/>
        <w:tblLayout w:type="fixed"/>
        <w:tblCellMar>
          <w:left w:w="0" w:type="dxa"/>
          <w:right w:w="0" w:type="dxa"/>
        </w:tblCellMar>
        <w:tblLook w:val="0000" w:firstRow="0" w:lastRow="0" w:firstColumn="0" w:lastColumn="0" w:noHBand="0" w:noVBand="0"/>
      </w:tblPr>
      <w:tblGrid>
        <w:gridCol w:w="1483"/>
        <w:gridCol w:w="1484"/>
        <w:gridCol w:w="1483"/>
        <w:gridCol w:w="1483"/>
        <w:gridCol w:w="1484"/>
      </w:tblGrid>
      <w:tr w:rsidR="00EB6564" w14:paraId="07F89C83" w14:textId="77777777">
        <w:trPr>
          <w:trHeight w:val="6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73CC24C" w14:textId="77777777" w:rsidR="00EB6564" w:rsidRDefault="00EB6564">
            <w:pPr>
              <w:pStyle w:val="06bTABLEHEADERROW"/>
            </w:pPr>
            <w:r>
              <w:t>Station</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0F6CF34" w14:textId="77777777" w:rsidR="00EB6564" w:rsidRDefault="00EB6564">
            <w:pPr>
              <w:pStyle w:val="06bTABLEHEADERROW"/>
              <w:jc w:val="center"/>
            </w:pPr>
            <w:r>
              <w:t>1 hour</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777BF74" w14:textId="77777777" w:rsidR="00EB6564" w:rsidRDefault="00EB6564">
            <w:pPr>
              <w:pStyle w:val="06bTABLEHEADERROW"/>
              <w:jc w:val="center"/>
            </w:pPr>
            <w:r>
              <w:t>1 year</w:t>
            </w:r>
          </w:p>
        </w:tc>
      </w:tr>
      <w:tr w:rsidR="00EB6564" w14:paraId="2147238E" w14:textId="77777777">
        <w:trPr>
          <w:trHeight w:val="60"/>
          <w:tblHeader/>
        </w:trPr>
        <w:tc>
          <w:tcPr>
            <w:tcW w:w="1483" w:type="dxa"/>
            <w:vMerge/>
            <w:tcBorders>
              <w:top w:val="single" w:sz="8" w:space="0" w:color="FFFFFF"/>
              <w:left w:val="single" w:sz="4" w:space="0" w:color="FFFFFF"/>
              <w:bottom w:val="single" w:sz="8" w:space="0" w:color="FFFFFF"/>
              <w:right w:val="single" w:sz="4" w:space="0" w:color="FFFFFF"/>
            </w:tcBorders>
          </w:tcPr>
          <w:p w14:paraId="6798F91F" w14:textId="77777777" w:rsidR="00EB6564" w:rsidRDefault="00EB6564">
            <w:pPr>
              <w:pStyle w:val="NoParagraphStyle"/>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29A088E" w14:textId="77777777" w:rsidR="00EB6564" w:rsidRDefault="00EB6564">
            <w:pPr>
              <w:pStyle w:val="06bTABLEHEADERROW"/>
              <w:jc w:val="center"/>
            </w:pPr>
            <w:r>
              <w:t>Number of exceedances</w:t>
            </w:r>
          </w:p>
        </w:tc>
        <w:tc>
          <w:tcPr>
            <w:tcW w:w="148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A4717D0" w14:textId="77777777" w:rsidR="00EB6564" w:rsidRDefault="00EB6564">
            <w:pPr>
              <w:pStyle w:val="06bTABLEHEADERROW"/>
              <w:jc w:val="center"/>
            </w:pPr>
            <w:r>
              <w:t>NEPM goal compliance</w:t>
            </w:r>
          </w:p>
        </w:tc>
        <w:tc>
          <w:tcPr>
            <w:tcW w:w="148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4695384" w14:textId="77777777" w:rsidR="00EB6564" w:rsidRDefault="00EB6564">
            <w:pPr>
              <w:pStyle w:val="06bTABLEHEADERROW"/>
              <w:jc w:val="center"/>
            </w:pPr>
            <w:r>
              <w:t>Annual average (ppm)</w:t>
            </w:r>
          </w:p>
        </w:tc>
        <w:tc>
          <w:tcPr>
            <w:tcW w:w="148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7B5B755" w14:textId="77777777" w:rsidR="00EB6564" w:rsidRDefault="00EB6564">
            <w:pPr>
              <w:pStyle w:val="06bTABLEHEADERROW"/>
              <w:jc w:val="center"/>
            </w:pPr>
            <w:r>
              <w:t>NEPM goal compliance</w:t>
            </w:r>
          </w:p>
        </w:tc>
      </w:tr>
      <w:tr w:rsidR="00EB6564" w14:paraId="6C0BE7F9"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2BB2BC" w14:textId="77777777" w:rsidR="00EB6564" w:rsidRDefault="00EB6564">
            <w:pPr>
              <w:pStyle w:val="06cTABLETEXT"/>
            </w:pPr>
            <w:r>
              <w:t>Alphington</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474C052"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02E474"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0307BC" w14:textId="77777777" w:rsidR="00EB6564" w:rsidRDefault="00EB6564">
            <w:pPr>
              <w:pStyle w:val="06cTABLETEXT"/>
              <w:jc w:val="center"/>
            </w:pPr>
            <w:r>
              <w:t>0.010</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4CB014" w14:textId="77777777" w:rsidR="00EB6564" w:rsidRDefault="00EB6564">
            <w:pPr>
              <w:pStyle w:val="06cTABLETEXT"/>
              <w:jc w:val="center"/>
            </w:pPr>
            <w:r>
              <w:t>Met</w:t>
            </w:r>
          </w:p>
        </w:tc>
      </w:tr>
      <w:tr w:rsidR="00EB6564" w14:paraId="2FD2F5CC"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CF2D47" w14:textId="77777777" w:rsidR="00EB6564" w:rsidRDefault="00EB6564">
            <w:pPr>
              <w:pStyle w:val="06cTABLETEXT"/>
            </w:pPr>
            <w:r>
              <w:t>Footscray</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A08ACF8"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E09E6D"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2AB0DC" w14:textId="77777777" w:rsidR="00EB6564" w:rsidRDefault="00EB6564">
            <w:pPr>
              <w:pStyle w:val="06cTABLETEXT"/>
              <w:jc w:val="center"/>
            </w:pPr>
            <w:r>
              <w:t>0.010</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CFCC07" w14:textId="77777777" w:rsidR="00EB6564" w:rsidRDefault="00EB6564">
            <w:pPr>
              <w:pStyle w:val="06cTABLETEXT"/>
              <w:jc w:val="center"/>
            </w:pPr>
            <w:r>
              <w:t>Met</w:t>
            </w:r>
          </w:p>
        </w:tc>
      </w:tr>
      <w:tr w:rsidR="00EB6564" w14:paraId="58A9C9DE"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2C5100" w14:textId="77777777" w:rsidR="00EB6564" w:rsidRDefault="00EB6564">
            <w:pPr>
              <w:pStyle w:val="06cTABLETEXT"/>
            </w:pPr>
            <w:r>
              <w:t>Geelong South</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2C482F"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DA3574"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4158B6" w14:textId="77777777" w:rsidR="00EB6564" w:rsidRDefault="00EB6564">
            <w:pPr>
              <w:pStyle w:val="06cTABLETEXT"/>
              <w:jc w:val="center"/>
            </w:pPr>
            <w:r>
              <w:t>0.006</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6F53974" w14:textId="77777777" w:rsidR="00EB6564" w:rsidRDefault="00EB6564">
            <w:pPr>
              <w:pStyle w:val="06cTABLETEXT"/>
              <w:jc w:val="center"/>
            </w:pPr>
            <w:r>
              <w:t>Met</w:t>
            </w:r>
          </w:p>
        </w:tc>
      </w:tr>
      <w:tr w:rsidR="00EB6564" w14:paraId="26519001"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4B2225E" w14:textId="77777777" w:rsidR="00EB6564" w:rsidRDefault="00EB6564">
            <w:pPr>
              <w:pStyle w:val="06cTABLETEXT"/>
            </w:pPr>
            <w:r>
              <w:t>Traralgon</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DD2606"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F087EA8"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EFE201" w14:textId="77777777" w:rsidR="00EB6564" w:rsidRDefault="00EB6564">
            <w:pPr>
              <w:pStyle w:val="06cTABLETEXT"/>
              <w:jc w:val="center"/>
            </w:pPr>
            <w:r>
              <w:t>0.006</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4BDF44A" w14:textId="77777777" w:rsidR="00EB6564" w:rsidRDefault="00EB6564">
            <w:pPr>
              <w:pStyle w:val="06cTABLETEXT"/>
              <w:jc w:val="center"/>
            </w:pPr>
            <w:r>
              <w:t>Met</w:t>
            </w:r>
          </w:p>
        </w:tc>
      </w:tr>
    </w:tbl>
    <w:p w14:paraId="220E3707" w14:textId="77777777" w:rsidR="00EB6564" w:rsidRDefault="00EB6564" w:rsidP="00EB6564">
      <w:pPr>
        <w:pStyle w:val="05BODYTEXT"/>
      </w:pPr>
    </w:p>
    <w:tbl>
      <w:tblPr>
        <w:tblW w:w="0" w:type="auto"/>
        <w:tblInd w:w="-8" w:type="dxa"/>
        <w:tblLayout w:type="fixed"/>
        <w:tblCellMar>
          <w:left w:w="0" w:type="dxa"/>
          <w:right w:w="0" w:type="dxa"/>
        </w:tblCellMar>
        <w:tblLook w:val="0000" w:firstRow="0" w:lastRow="0" w:firstColumn="0" w:lastColumn="0" w:noHBand="0" w:noVBand="0"/>
      </w:tblPr>
      <w:tblGrid>
        <w:gridCol w:w="1696"/>
        <w:gridCol w:w="5731"/>
      </w:tblGrid>
      <w:tr w:rsidR="00EB6564" w14:paraId="7DAE092A" w14:textId="77777777" w:rsidTr="00134EA2">
        <w:trPr>
          <w:trHeight w:val="60"/>
          <w:tblHeader/>
        </w:trPr>
        <w:tc>
          <w:tcPr>
            <w:tcW w:w="1696" w:type="dxa"/>
            <w:vMerge w:val="restart"/>
            <w:tcMar>
              <w:top w:w="85" w:type="dxa"/>
              <w:left w:w="85" w:type="dxa"/>
              <w:bottom w:w="85" w:type="dxa"/>
              <w:right w:w="85" w:type="dxa"/>
            </w:tcMar>
          </w:tcPr>
          <w:p w14:paraId="42A8EE70" w14:textId="77777777" w:rsidR="00EB6564" w:rsidRDefault="00EB6564" w:rsidP="00134EA2">
            <w:pPr>
              <w:pStyle w:val="CHEMICALCHEMTABLES"/>
              <w:spacing w:after="0" w:line="240" w:lineRule="auto"/>
            </w:pPr>
            <w:r>
              <w:t>O</w:t>
            </w:r>
            <w:r>
              <w:rPr>
                <w:vertAlign w:val="subscript"/>
              </w:rPr>
              <w:t>3</w:t>
            </w:r>
          </w:p>
        </w:tc>
        <w:tc>
          <w:tcPr>
            <w:tcW w:w="5731" w:type="dxa"/>
            <w:tcMar>
              <w:top w:w="85" w:type="dxa"/>
              <w:left w:w="85" w:type="dxa"/>
              <w:bottom w:w="85" w:type="dxa"/>
              <w:right w:w="85" w:type="dxa"/>
            </w:tcMar>
          </w:tcPr>
          <w:p w14:paraId="65D0287C" w14:textId="77777777" w:rsidR="00EB6564" w:rsidRDefault="00EB6564" w:rsidP="00134EA2">
            <w:pPr>
              <w:pStyle w:val="CHEMICALfullnameCHEMTABLES"/>
              <w:spacing w:after="0" w:line="240" w:lineRule="auto"/>
            </w:pPr>
            <w:r>
              <w:t>Ozone</w:t>
            </w:r>
          </w:p>
        </w:tc>
      </w:tr>
      <w:tr w:rsidR="00EB6564" w14:paraId="794F973F" w14:textId="77777777" w:rsidTr="00134EA2">
        <w:trPr>
          <w:trHeight w:val="60"/>
          <w:tblHeader/>
        </w:trPr>
        <w:tc>
          <w:tcPr>
            <w:tcW w:w="1696" w:type="dxa"/>
            <w:vMerge/>
          </w:tcPr>
          <w:p w14:paraId="18A29495"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302AE994" w14:textId="77777777" w:rsidR="00EB6564" w:rsidRDefault="00EB6564" w:rsidP="00134EA2">
            <w:pPr>
              <w:pStyle w:val="NEPMstandardCHEMTABLES"/>
              <w:spacing w:after="0" w:line="240" w:lineRule="auto"/>
            </w:pPr>
            <w:r>
              <w:t>(NEPM standard: 1 hour = 0.10 ppm, 4 hours = 0.08 ppm)</w:t>
            </w:r>
          </w:p>
        </w:tc>
      </w:tr>
      <w:tr w:rsidR="00EB6564" w14:paraId="4F6348C9" w14:textId="77777777" w:rsidTr="00134EA2">
        <w:trPr>
          <w:trHeight w:hRule="exact" w:val="113"/>
        </w:trPr>
        <w:tc>
          <w:tcPr>
            <w:tcW w:w="1696" w:type="dxa"/>
            <w:tcMar>
              <w:top w:w="85" w:type="dxa"/>
              <w:left w:w="85" w:type="dxa"/>
              <w:bottom w:w="85" w:type="dxa"/>
              <w:right w:w="85" w:type="dxa"/>
            </w:tcMar>
          </w:tcPr>
          <w:p w14:paraId="7D6A4CD6"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72129ECE" w14:textId="77777777" w:rsidR="00EB6564" w:rsidRDefault="00EB6564" w:rsidP="00134EA2">
            <w:pPr>
              <w:pStyle w:val="NoParagraphStyle"/>
              <w:spacing w:line="240" w:lineRule="auto"/>
              <w:textAlignment w:val="auto"/>
              <w:rPr>
                <w:rFonts w:ascii="Calibri" w:hAnsi="Calibri" w:cs="Calibri"/>
                <w:color w:val="auto"/>
              </w:rPr>
            </w:pPr>
          </w:p>
        </w:tc>
      </w:tr>
    </w:tbl>
    <w:p w14:paraId="2EEC1BEA"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1481"/>
        <w:gridCol w:w="1482"/>
        <w:gridCol w:w="1481"/>
        <w:gridCol w:w="1481"/>
        <w:gridCol w:w="1482"/>
      </w:tblGrid>
      <w:tr w:rsidR="00EB6564" w14:paraId="645C1FF4" w14:textId="77777777">
        <w:trPr>
          <w:trHeight w:val="60"/>
          <w:tblHeader/>
        </w:trPr>
        <w:tc>
          <w:tcPr>
            <w:tcW w:w="1481"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2F7B221" w14:textId="77777777" w:rsidR="00EB6564" w:rsidRDefault="00EB6564">
            <w:pPr>
              <w:pStyle w:val="06bTABLEHEADERROW"/>
            </w:pPr>
            <w:r>
              <w:t>Station</w:t>
            </w:r>
          </w:p>
        </w:tc>
        <w:tc>
          <w:tcPr>
            <w:tcW w:w="2963"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37978D3" w14:textId="77777777" w:rsidR="00EB6564" w:rsidRDefault="00EB6564">
            <w:pPr>
              <w:pStyle w:val="06bTABLEHEADERROW"/>
              <w:jc w:val="center"/>
            </w:pPr>
            <w:r>
              <w:t>1 hour</w:t>
            </w:r>
          </w:p>
        </w:tc>
        <w:tc>
          <w:tcPr>
            <w:tcW w:w="2963"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61D1284" w14:textId="228E2FDC" w:rsidR="00EB6564" w:rsidRDefault="00EB6564">
            <w:pPr>
              <w:pStyle w:val="06bTABLEHEADERROW"/>
              <w:jc w:val="center"/>
            </w:pPr>
            <w:r>
              <w:t>4 hours</w:t>
            </w:r>
          </w:p>
        </w:tc>
      </w:tr>
      <w:tr w:rsidR="00EB6564" w14:paraId="6A10A6AA" w14:textId="77777777">
        <w:trPr>
          <w:trHeight w:val="60"/>
          <w:tblHeader/>
        </w:trPr>
        <w:tc>
          <w:tcPr>
            <w:tcW w:w="1481" w:type="dxa"/>
            <w:vMerge/>
            <w:tcBorders>
              <w:top w:val="single" w:sz="8" w:space="0" w:color="FFFFFF"/>
              <w:left w:val="single" w:sz="4" w:space="0" w:color="FFFFFF"/>
              <w:bottom w:val="single" w:sz="8" w:space="0" w:color="FFFFFF"/>
              <w:right w:val="single" w:sz="4" w:space="0" w:color="FFFFFF"/>
            </w:tcBorders>
          </w:tcPr>
          <w:p w14:paraId="3D42B0DA" w14:textId="77777777" w:rsidR="00EB6564" w:rsidRDefault="00EB6564">
            <w:pPr>
              <w:pStyle w:val="NoParagraphStyle"/>
              <w:spacing w:line="240" w:lineRule="auto"/>
              <w:textAlignment w:val="auto"/>
              <w:rPr>
                <w:rFonts w:ascii="Calibri" w:hAnsi="Calibri" w:cs="Calibri"/>
                <w:color w:val="auto"/>
              </w:rPr>
            </w:pPr>
          </w:p>
        </w:tc>
        <w:tc>
          <w:tcPr>
            <w:tcW w:w="1482"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2877389" w14:textId="77777777" w:rsidR="00EB6564" w:rsidRDefault="00EB6564">
            <w:pPr>
              <w:pStyle w:val="06bTABLEHEADERROW"/>
              <w:jc w:val="center"/>
            </w:pPr>
            <w:r>
              <w:t>Number of exceedances</w:t>
            </w:r>
          </w:p>
        </w:tc>
        <w:tc>
          <w:tcPr>
            <w:tcW w:w="1481"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1682E87" w14:textId="77777777" w:rsidR="00EB6564" w:rsidRDefault="00EB6564">
            <w:pPr>
              <w:pStyle w:val="06bTABLEHEADERROW"/>
              <w:jc w:val="center"/>
            </w:pPr>
            <w:r>
              <w:t>NEPM goal compliance</w:t>
            </w:r>
          </w:p>
        </w:tc>
        <w:tc>
          <w:tcPr>
            <w:tcW w:w="1481"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4CDD020" w14:textId="77777777" w:rsidR="00EB6564" w:rsidRDefault="00EB6564">
            <w:pPr>
              <w:pStyle w:val="06bTABLEHEADERROW"/>
              <w:jc w:val="center"/>
            </w:pPr>
            <w:r>
              <w:t>Number of exceedances</w:t>
            </w:r>
          </w:p>
        </w:tc>
        <w:tc>
          <w:tcPr>
            <w:tcW w:w="1482"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6B648B9" w14:textId="77777777" w:rsidR="00EB6564" w:rsidRDefault="00EB6564">
            <w:pPr>
              <w:pStyle w:val="06bTABLEHEADERROW"/>
              <w:jc w:val="center"/>
            </w:pPr>
            <w:r>
              <w:t>NEPM goal compliance</w:t>
            </w:r>
          </w:p>
        </w:tc>
      </w:tr>
      <w:tr w:rsidR="00EB6564" w14:paraId="169EE28F" w14:textId="77777777">
        <w:trPr>
          <w:trHeight w:val="60"/>
        </w:trPr>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D6B036" w14:textId="77777777" w:rsidR="00EB6564" w:rsidRDefault="00EB6564">
            <w:pPr>
              <w:pStyle w:val="06cTABLETEXT"/>
            </w:pPr>
            <w:r>
              <w:t>Alphington</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632C30A"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4710BAF"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DA0320" w14:textId="77777777" w:rsidR="00EB6564" w:rsidRDefault="00EB6564">
            <w:pPr>
              <w:pStyle w:val="06cTABLETEXT"/>
              <w:jc w:val="center"/>
            </w:pPr>
            <w:r>
              <w:t>0</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B6D891" w14:textId="77777777" w:rsidR="00EB6564" w:rsidRDefault="00EB6564">
            <w:pPr>
              <w:pStyle w:val="06cTABLETEXT"/>
              <w:jc w:val="center"/>
            </w:pPr>
            <w:r>
              <w:t>Met</w:t>
            </w:r>
          </w:p>
        </w:tc>
      </w:tr>
      <w:tr w:rsidR="00EB6564" w14:paraId="0EB62AA5" w14:textId="77777777">
        <w:trPr>
          <w:trHeight w:val="60"/>
        </w:trPr>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663E0C" w14:textId="77777777" w:rsidR="00EB6564" w:rsidRDefault="00EB6564">
            <w:pPr>
              <w:pStyle w:val="06cTABLETEXT"/>
            </w:pPr>
            <w:r>
              <w:t>Dandenong</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6731BE"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EC28A1"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DF83D3" w14:textId="77777777" w:rsidR="00EB6564" w:rsidRDefault="00EB6564">
            <w:pPr>
              <w:pStyle w:val="06cTABLETEXT"/>
              <w:jc w:val="center"/>
            </w:pPr>
            <w:r>
              <w:t>1</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D11F9A" w14:textId="77777777" w:rsidR="00EB6564" w:rsidRDefault="00EB6564">
            <w:pPr>
              <w:pStyle w:val="06cTABLETEXT"/>
              <w:jc w:val="center"/>
            </w:pPr>
            <w:r>
              <w:t>Not Met</w:t>
            </w:r>
          </w:p>
        </w:tc>
      </w:tr>
      <w:tr w:rsidR="00EB6564" w14:paraId="3E54DF6A" w14:textId="77777777">
        <w:trPr>
          <w:trHeight w:val="60"/>
        </w:trPr>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8EAB4B" w14:textId="77777777" w:rsidR="00EB6564" w:rsidRDefault="00EB6564">
            <w:pPr>
              <w:pStyle w:val="06cTABLETEXT"/>
            </w:pPr>
            <w:r>
              <w:t>Footscray</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4E54A7" w14:textId="77777777" w:rsidR="00EB6564" w:rsidRDefault="00EB6564">
            <w:pPr>
              <w:pStyle w:val="06cTABLETEXT"/>
              <w:jc w:val="center"/>
            </w:pPr>
            <w:r>
              <w:t>ND</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1286FA" w14:textId="77777777" w:rsidR="00EB6564" w:rsidRDefault="00EB6564">
            <w:pPr>
              <w:pStyle w:val="06cTABLETEXT"/>
              <w:jc w:val="center"/>
            </w:pPr>
            <w:r>
              <w:t>Not Met*</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D0E569" w14:textId="77777777" w:rsidR="00EB6564" w:rsidRDefault="00EB6564">
            <w:pPr>
              <w:pStyle w:val="06cTABLETEXT"/>
              <w:jc w:val="center"/>
            </w:pPr>
            <w:r>
              <w:t>1</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FDB6A6" w14:textId="77777777" w:rsidR="00EB6564" w:rsidRDefault="00EB6564">
            <w:pPr>
              <w:pStyle w:val="06cTABLETEXT"/>
              <w:jc w:val="center"/>
            </w:pPr>
            <w:r>
              <w:t>Not Met</w:t>
            </w:r>
          </w:p>
        </w:tc>
      </w:tr>
      <w:tr w:rsidR="00EB6564" w14:paraId="1BD002D8" w14:textId="77777777">
        <w:trPr>
          <w:trHeight w:val="60"/>
        </w:trPr>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0BA891" w14:textId="77777777" w:rsidR="00EB6564" w:rsidRDefault="00EB6564">
            <w:pPr>
              <w:pStyle w:val="06cTABLETEXT"/>
            </w:pPr>
            <w:r>
              <w:t>Geelong South</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F4EB252"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1BBFFD"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8A142B3" w14:textId="77777777" w:rsidR="00EB6564" w:rsidRDefault="00EB6564">
            <w:pPr>
              <w:pStyle w:val="06cTABLETEXT"/>
              <w:jc w:val="center"/>
            </w:pPr>
            <w:r>
              <w:t>0</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889530" w14:textId="77777777" w:rsidR="00EB6564" w:rsidRDefault="00EB6564">
            <w:pPr>
              <w:pStyle w:val="06cTABLETEXT"/>
              <w:jc w:val="center"/>
            </w:pPr>
            <w:r>
              <w:t>Met</w:t>
            </w:r>
          </w:p>
        </w:tc>
      </w:tr>
      <w:tr w:rsidR="00EB6564" w14:paraId="3C30F5C4" w14:textId="77777777">
        <w:trPr>
          <w:trHeight w:val="60"/>
        </w:trPr>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609D8FC" w14:textId="77777777" w:rsidR="00EB6564" w:rsidRDefault="00EB6564">
            <w:pPr>
              <w:pStyle w:val="06cTABLETEXT"/>
            </w:pPr>
            <w:r>
              <w:t>Melton</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D5FE16"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8150DC"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07CA9C" w14:textId="77777777" w:rsidR="00EB6564" w:rsidRDefault="00EB6564">
            <w:pPr>
              <w:pStyle w:val="06cTABLETEXT"/>
              <w:jc w:val="center"/>
            </w:pPr>
            <w:r>
              <w:t>0</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7F48F79" w14:textId="77777777" w:rsidR="00EB6564" w:rsidRDefault="00EB6564">
            <w:pPr>
              <w:pStyle w:val="06cTABLETEXT"/>
              <w:jc w:val="center"/>
            </w:pPr>
            <w:r>
              <w:t>Met</w:t>
            </w:r>
          </w:p>
        </w:tc>
      </w:tr>
      <w:tr w:rsidR="00EB6564" w14:paraId="136C526D" w14:textId="77777777">
        <w:trPr>
          <w:trHeight w:val="60"/>
        </w:trPr>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512DC1" w14:textId="77777777" w:rsidR="00EB6564" w:rsidRDefault="00EB6564">
            <w:pPr>
              <w:pStyle w:val="06cTABLETEXT"/>
            </w:pPr>
            <w:r>
              <w:lastRenderedPageBreak/>
              <w:t>Mooroolbark</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E551EE0"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8E6871"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4994A3" w14:textId="77777777" w:rsidR="00EB6564" w:rsidRDefault="00EB6564">
            <w:pPr>
              <w:pStyle w:val="06cTABLETEXT"/>
              <w:jc w:val="center"/>
            </w:pPr>
            <w:r>
              <w:t>0</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D80608" w14:textId="77777777" w:rsidR="00EB6564" w:rsidRDefault="00EB6564">
            <w:pPr>
              <w:pStyle w:val="06cTABLETEXT"/>
              <w:jc w:val="center"/>
            </w:pPr>
            <w:r>
              <w:t>Met</w:t>
            </w:r>
          </w:p>
        </w:tc>
      </w:tr>
      <w:tr w:rsidR="00EB6564" w14:paraId="705E689C" w14:textId="77777777">
        <w:trPr>
          <w:trHeight w:val="60"/>
        </w:trPr>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A2DA44" w14:textId="77777777" w:rsidR="00EB6564" w:rsidRDefault="00EB6564">
            <w:pPr>
              <w:pStyle w:val="06cTABLETEXT"/>
            </w:pPr>
            <w:r>
              <w:t>Point Cook</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B9C4529"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16034C"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894670" w14:textId="77777777" w:rsidR="00EB6564" w:rsidRDefault="00EB6564">
            <w:pPr>
              <w:pStyle w:val="06cTABLETEXT"/>
              <w:jc w:val="center"/>
            </w:pPr>
            <w:r>
              <w:t>0</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6009A3" w14:textId="77777777" w:rsidR="00EB6564" w:rsidRDefault="00EB6564">
            <w:pPr>
              <w:pStyle w:val="06cTABLETEXT"/>
              <w:jc w:val="center"/>
            </w:pPr>
            <w:r>
              <w:t>Met</w:t>
            </w:r>
          </w:p>
        </w:tc>
      </w:tr>
      <w:tr w:rsidR="00EB6564" w14:paraId="02B63435" w14:textId="77777777">
        <w:trPr>
          <w:trHeight w:val="60"/>
        </w:trPr>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E023ED" w14:textId="77777777" w:rsidR="00EB6564" w:rsidRDefault="00EB6564">
            <w:pPr>
              <w:pStyle w:val="06cTABLETEXT"/>
            </w:pPr>
            <w:r>
              <w:t>Traralgon</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CF33A8" w14:textId="77777777" w:rsidR="00EB6564" w:rsidRDefault="00EB6564">
            <w:pPr>
              <w:pStyle w:val="06cTABLETEXT"/>
              <w:jc w:val="center"/>
            </w:pPr>
            <w:r>
              <w:t>ND</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FD97E9" w14:textId="77777777" w:rsidR="00EB6564" w:rsidRDefault="00EB6564">
            <w:pPr>
              <w:pStyle w:val="06cTABLETEXT"/>
              <w:jc w:val="center"/>
            </w:pPr>
            <w:r>
              <w:t>Not Met*</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B9A45A" w14:textId="77777777" w:rsidR="00EB6564" w:rsidRDefault="00EB6564">
            <w:pPr>
              <w:pStyle w:val="06cTABLETEXT"/>
              <w:jc w:val="center"/>
            </w:pPr>
            <w:r>
              <w:t>ND</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E30150" w14:textId="77777777" w:rsidR="00EB6564" w:rsidRDefault="00EB6564">
            <w:pPr>
              <w:pStyle w:val="06cTABLETEXT"/>
              <w:jc w:val="center"/>
            </w:pPr>
            <w:r>
              <w:t>Not Met*</w:t>
            </w:r>
          </w:p>
        </w:tc>
      </w:tr>
    </w:tbl>
    <w:p w14:paraId="70A77FCF" w14:textId="77777777" w:rsidR="00EB6564" w:rsidRDefault="00EB6564" w:rsidP="00EB6564">
      <w:pPr>
        <w:pStyle w:val="07FOOTNOTES"/>
      </w:pPr>
      <w:r>
        <w:t>*</w:t>
      </w:r>
      <w:r>
        <w:tab/>
        <w:t>&lt;75 data capture during the year, insufficient data to demonstrate compliance</w:t>
      </w:r>
    </w:p>
    <w:tbl>
      <w:tblPr>
        <w:tblW w:w="0" w:type="auto"/>
        <w:tblInd w:w="-8" w:type="dxa"/>
        <w:tblLayout w:type="fixed"/>
        <w:tblCellMar>
          <w:left w:w="0" w:type="dxa"/>
          <w:right w:w="0" w:type="dxa"/>
        </w:tblCellMar>
        <w:tblLook w:val="0000" w:firstRow="0" w:lastRow="0" w:firstColumn="0" w:lastColumn="0" w:noHBand="0" w:noVBand="0"/>
      </w:tblPr>
      <w:tblGrid>
        <w:gridCol w:w="1060"/>
        <w:gridCol w:w="636"/>
        <w:gridCol w:w="423"/>
        <w:gridCol w:w="1060"/>
        <w:gridCol w:w="1059"/>
        <w:gridCol w:w="1060"/>
        <w:gridCol w:w="1059"/>
        <w:gridCol w:w="1060"/>
        <w:gridCol w:w="10"/>
      </w:tblGrid>
      <w:tr w:rsidR="00EB6564" w14:paraId="7C368DC9" w14:textId="77777777" w:rsidTr="00134EA2">
        <w:trPr>
          <w:trHeight w:val="60"/>
          <w:tblHeader/>
        </w:trPr>
        <w:tc>
          <w:tcPr>
            <w:tcW w:w="1696" w:type="dxa"/>
            <w:gridSpan w:val="2"/>
            <w:vMerge w:val="restart"/>
            <w:tcMar>
              <w:top w:w="85" w:type="dxa"/>
              <w:left w:w="85" w:type="dxa"/>
              <w:bottom w:w="85" w:type="dxa"/>
              <w:right w:w="85" w:type="dxa"/>
            </w:tcMar>
          </w:tcPr>
          <w:p w14:paraId="64DF0EED" w14:textId="77777777" w:rsidR="00EB6564" w:rsidRDefault="00EB6564" w:rsidP="00134EA2">
            <w:pPr>
              <w:pStyle w:val="CHEMICALCHEMTABLES"/>
              <w:keepNext/>
              <w:spacing w:after="0" w:line="240" w:lineRule="auto"/>
            </w:pPr>
            <w:r>
              <w:t>SO</w:t>
            </w:r>
            <w:r>
              <w:rPr>
                <w:vertAlign w:val="subscript"/>
              </w:rPr>
              <w:t>2</w:t>
            </w:r>
          </w:p>
        </w:tc>
        <w:tc>
          <w:tcPr>
            <w:tcW w:w="5731" w:type="dxa"/>
            <w:gridSpan w:val="7"/>
            <w:tcMar>
              <w:top w:w="85" w:type="dxa"/>
              <w:left w:w="85" w:type="dxa"/>
              <w:bottom w:w="85" w:type="dxa"/>
              <w:right w:w="85" w:type="dxa"/>
            </w:tcMar>
          </w:tcPr>
          <w:p w14:paraId="5C4C7522" w14:textId="77777777" w:rsidR="00EB6564" w:rsidRDefault="00EB6564" w:rsidP="00134EA2">
            <w:pPr>
              <w:pStyle w:val="CHEMICALfullnameCHEMTABLES"/>
              <w:keepNext/>
              <w:spacing w:after="0" w:line="240" w:lineRule="auto"/>
            </w:pPr>
            <w:r>
              <w:t>Sulfur dioxide</w:t>
            </w:r>
          </w:p>
        </w:tc>
      </w:tr>
      <w:tr w:rsidR="00EB6564" w14:paraId="1D74DB6A" w14:textId="77777777" w:rsidTr="00134EA2">
        <w:trPr>
          <w:trHeight w:val="60"/>
          <w:tblHeader/>
        </w:trPr>
        <w:tc>
          <w:tcPr>
            <w:tcW w:w="1696" w:type="dxa"/>
            <w:gridSpan w:val="2"/>
            <w:vMerge/>
          </w:tcPr>
          <w:p w14:paraId="53EA6290"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gridSpan w:val="7"/>
            <w:tcMar>
              <w:top w:w="85" w:type="dxa"/>
              <w:left w:w="85" w:type="dxa"/>
              <w:bottom w:w="85" w:type="dxa"/>
              <w:right w:w="85" w:type="dxa"/>
            </w:tcMar>
          </w:tcPr>
          <w:p w14:paraId="61D4029B" w14:textId="77777777" w:rsidR="00EB6564" w:rsidRDefault="00EB6564" w:rsidP="00134EA2">
            <w:pPr>
              <w:pStyle w:val="NEPMstandardCHEMTABLES"/>
              <w:keepNext/>
              <w:spacing w:after="0" w:line="240" w:lineRule="auto"/>
            </w:pPr>
            <w:r>
              <w:t>(NEPM standard: 1 hour = 0.20 ppm, 1 day = 0.08 ppm, 1 year = 0.02 ppm)</w:t>
            </w:r>
          </w:p>
        </w:tc>
      </w:tr>
      <w:tr w:rsidR="00EB6564" w14:paraId="2398663C" w14:textId="77777777" w:rsidTr="00134EA2">
        <w:trPr>
          <w:trHeight w:hRule="exact" w:val="113"/>
        </w:trPr>
        <w:tc>
          <w:tcPr>
            <w:tcW w:w="1696" w:type="dxa"/>
            <w:gridSpan w:val="2"/>
            <w:tcMar>
              <w:top w:w="85" w:type="dxa"/>
              <w:left w:w="85" w:type="dxa"/>
              <w:bottom w:w="85" w:type="dxa"/>
              <w:right w:w="85" w:type="dxa"/>
            </w:tcMar>
          </w:tcPr>
          <w:p w14:paraId="27122296"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gridSpan w:val="7"/>
            <w:tcMar>
              <w:top w:w="85" w:type="dxa"/>
              <w:left w:w="85" w:type="dxa"/>
              <w:bottom w:w="85" w:type="dxa"/>
              <w:right w:w="85" w:type="dxa"/>
            </w:tcMar>
          </w:tcPr>
          <w:p w14:paraId="7DC5AD5B" w14:textId="77777777" w:rsidR="00EB6564" w:rsidRDefault="00EB6564" w:rsidP="00134EA2">
            <w:pPr>
              <w:pStyle w:val="NoParagraphStyle"/>
              <w:keepNext/>
              <w:spacing w:line="240" w:lineRule="auto"/>
              <w:textAlignment w:val="auto"/>
              <w:rPr>
                <w:rFonts w:ascii="Calibri" w:hAnsi="Calibri" w:cs="Calibri"/>
                <w:color w:val="auto"/>
              </w:rPr>
            </w:pPr>
          </w:p>
        </w:tc>
      </w:tr>
      <w:tr w:rsidR="00EB6564" w14:paraId="6C0E3048" w14:textId="77777777" w:rsidTr="00134EA2">
        <w:trPr>
          <w:gridAfter w:val="1"/>
          <w:wAfter w:w="10" w:type="dxa"/>
          <w:trHeight w:val="60"/>
          <w:tblHeader/>
        </w:trPr>
        <w:tc>
          <w:tcPr>
            <w:tcW w:w="1060"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C6DD87F" w14:textId="77777777" w:rsidR="00EB6564" w:rsidRDefault="00EB6564" w:rsidP="008B4D97">
            <w:pPr>
              <w:pStyle w:val="06bTABLEHEADERROW"/>
              <w:spacing w:line="240" w:lineRule="auto"/>
            </w:pPr>
            <w:r>
              <w:t>Station</w:t>
            </w:r>
          </w:p>
        </w:tc>
        <w:tc>
          <w:tcPr>
            <w:tcW w:w="2119" w:type="dxa"/>
            <w:gridSpan w:val="3"/>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D174F2F" w14:textId="77777777" w:rsidR="00EB6564" w:rsidRDefault="00EB6564" w:rsidP="008B4D97">
            <w:pPr>
              <w:pStyle w:val="06bTABLEHEADERROW"/>
              <w:spacing w:line="240" w:lineRule="auto"/>
              <w:jc w:val="center"/>
            </w:pPr>
            <w:r>
              <w:t>1 hour</w:t>
            </w:r>
          </w:p>
        </w:tc>
        <w:tc>
          <w:tcPr>
            <w:tcW w:w="2119"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245B01D" w14:textId="77777777" w:rsidR="00EB6564" w:rsidRDefault="00EB6564" w:rsidP="008B4D97">
            <w:pPr>
              <w:pStyle w:val="06bTABLEHEADERROW"/>
              <w:spacing w:line="240" w:lineRule="auto"/>
              <w:jc w:val="center"/>
            </w:pPr>
            <w:r>
              <w:t>1 day</w:t>
            </w:r>
          </w:p>
        </w:tc>
        <w:tc>
          <w:tcPr>
            <w:tcW w:w="2119"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68233E9" w14:textId="77777777" w:rsidR="00EB6564" w:rsidRDefault="00EB6564" w:rsidP="008B4D97">
            <w:pPr>
              <w:pStyle w:val="06bTABLEHEADERROW"/>
              <w:spacing w:line="240" w:lineRule="auto"/>
              <w:jc w:val="center"/>
            </w:pPr>
            <w:r>
              <w:t>1 year</w:t>
            </w:r>
          </w:p>
        </w:tc>
      </w:tr>
      <w:tr w:rsidR="00EB6564" w14:paraId="6177F206" w14:textId="77777777" w:rsidTr="00134EA2">
        <w:trPr>
          <w:gridAfter w:val="1"/>
          <w:wAfter w:w="10" w:type="dxa"/>
          <w:trHeight w:val="60"/>
          <w:tblHeader/>
        </w:trPr>
        <w:tc>
          <w:tcPr>
            <w:tcW w:w="1060" w:type="dxa"/>
            <w:vMerge/>
            <w:tcBorders>
              <w:top w:val="single" w:sz="8" w:space="0" w:color="FFFFFF"/>
              <w:left w:val="single" w:sz="4" w:space="0" w:color="FFFFFF"/>
              <w:bottom w:val="single" w:sz="8" w:space="0" w:color="FFFFFF"/>
              <w:right w:val="single" w:sz="4" w:space="0" w:color="FFFFFF"/>
            </w:tcBorders>
          </w:tcPr>
          <w:p w14:paraId="775F34A9" w14:textId="77777777" w:rsidR="00EB6564" w:rsidRDefault="00EB6564" w:rsidP="008B4D97">
            <w:pPr>
              <w:pStyle w:val="NoParagraphStyle"/>
              <w:keepNext/>
              <w:spacing w:line="240" w:lineRule="auto"/>
              <w:textAlignment w:val="auto"/>
              <w:rPr>
                <w:rFonts w:ascii="Calibri" w:hAnsi="Calibri" w:cs="Calibri"/>
                <w:color w:val="auto"/>
              </w:rPr>
            </w:pPr>
          </w:p>
        </w:tc>
        <w:tc>
          <w:tcPr>
            <w:tcW w:w="1059"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A743700" w14:textId="77777777" w:rsidR="00EB6564" w:rsidRDefault="00EB6564" w:rsidP="008B4D97">
            <w:pPr>
              <w:pStyle w:val="06bTABLEHEADERROW"/>
              <w:spacing w:line="240" w:lineRule="auto"/>
              <w:jc w:val="center"/>
            </w:pPr>
            <w:r>
              <w:t>Number of exceedances</w:t>
            </w:r>
          </w:p>
        </w:tc>
        <w:tc>
          <w:tcPr>
            <w:tcW w:w="10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76EBB5C" w14:textId="77777777" w:rsidR="00EB6564" w:rsidRDefault="00EB6564" w:rsidP="008B4D97">
            <w:pPr>
              <w:pStyle w:val="06bTABLEHEADERROW"/>
              <w:spacing w:line="240" w:lineRule="auto"/>
              <w:jc w:val="center"/>
            </w:pPr>
            <w:r>
              <w:t>NEPM goal compliance</w:t>
            </w:r>
          </w:p>
        </w:tc>
        <w:tc>
          <w:tcPr>
            <w:tcW w:w="105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E16B9BF" w14:textId="77777777" w:rsidR="00EB6564" w:rsidRDefault="00EB6564" w:rsidP="008B4D97">
            <w:pPr>
              <w:pStyle w:val="06bTABLEHEADERROW"/>
              <w:spacing w:line="240" w:lineRule="auto"/>
              <w:jc w:val="center"/>
            </w:pPr>
            <w:r>
              <w:t>Number of exceedances</w:t>
            </w:r>
          </w:p>
        </w:tc>
        <w:tc>
          <w:tcPr>
            <w:tcW w:w="10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8E0C201" w14:textId="77777777" w:rsidR="00EB6564" w:rsidRDefault="00EB6564" w:rsidP="008B4D97">
            <w:pPr>
              <w:pStyle w:val="06bTABLEHEADERROW"/>
              <w:spacing w:line="240" w:lineRule="auto"/>
              <w:jc w:val="center"/>
            </w:pPr>
            <w:r>
              <w:t>NEPM goal compliance</w:t>
            </w:r>
          </w:p>
        </w:tc>
        <w:tc>
          <w:tcPr>
            <w:tcW w:w="105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17F96AC" w14:textId="77777777" w:rsidR="00EB6564" w:rsidRDefault="00EB6564" w:rsidP="008B4D97">
            <w:pPr>
              <w:pStyle w:val="06bTABLEHEADERROW"/>
              <w:spacing w:line="240" w:lineRule="auto"/>
              <w:jc w:val="center"/>
            </w:pPr>
            <w:r>
              <w:t>Annual average (ppm)</w:t>
            </w:r>
          </w:p>
        </w:tc>
        <w:tc>
          <w:tcPr>
            <w:tcW w:w="10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6C43D7E" w14:textId="77777777" w:rsidR="00EB6564" w:rsidRDefault="00EB6564" w:rsidP="008B4D97">
            <w:pPr>
              <w:pStyle w:val="06bTABLEHEADERROW"/>
              <w:spacing w:line="240" w:lineRule="auto"/>
              <w:jc w:val="center"/>
            </w:pPr>
            <w:r>
              <w:t>NEPM goal compliance</w:t>
            </w:r>
          </w:p>
        </w:tc>
      </w:tr>
      <w:tr w:rsidR="00EB6564" w14:paraId="7FFF0AD1" w14:textId="77777777" w:rsidTr="00134EA2">
        <w:trPr>
          <w:gridAfter w:val="1"/>
          <w:wAfter w:w="10" w:type="dxa"/>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8CB5B5" w14:textId="77777777" w:rsidR="00EB6564" w:rsidRDefault="00EB6564" w:rsidP="008B4D97">
            <w:pPr>
              <w:pStyle w:val="06cTABLETEXT"/>
              <w:keepNext/>
              <w:spacing w:line="240" w:lineRule="auto"/>
            </w:pPr>
            <w:r>
              <w:t>Alphington</w:t>
            </w:r>
          </w:p>
        </w:tc>
        <w:tc>
          <w:tcPr>
            <w:tcW w:w="1059"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23BF51"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C6F42BE" w14:textId="77777777" w:rsidR="00EB6564" w:rsidRDefault="00EB6564" w:rsidP="008B4D97">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605555"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B65D59" w14:textId="77777777" w:rsidR="00EB6564" w:rsidRDefault="00EB6564" w:rsidP="008B4D97">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27CD0A" w14:textId="77777777" w:rsidR="00EB6564" w:rsidRDefault="00EB6564" w:rsidP="008B4D97">
            <w:pPr>
              <w:pStyle w:val="06cTABLETEXT"/>
              <w:keepNext/>
              <w:spacing w:line="240" w:lineRule="auto"/>
              <w:jc w:val="center"/>
            </w:pPr>
            <w:r>
              <w:t>0.0004</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F1CAD4" w14:textId="77777777" w:rsidR="00EB6564" w:rsidRDefault="00EB6564" w:rsidP="008B4D97">
            <w:pPr>
              <w:pStyle w:val="06cTABLETEXT"/>
              <w:keepNext/>
              <w:spacing w:line="240" w:lineRule="auto"/>
              <w:jc w:val="center"/>
            </w:pPr>
            <w:r>
              <w:t>Met</w:t>
            </w:r>
          </w:p>
        </w:tc>
      </w:tr>
      <w:tr w:rsidR="00EB6564" w14:paraId="53047C53" w14:textId="77777777" w:rsidTr="00134EA2">
        <w:trPr>
          <w:gridAfter w:val="1"/>
          <w:wAfter w:w="10" w:type="dxa"/>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64EF207" w14:textId="77777777" w:rsidR="00EB6564" w:rsidRDefault="00EB6564" w:rsidP="008B4D97">
            <w:pPr>
              <w:pStyle w:val="06cTABLETEXT"/>
              <w:keepNext/>
              <w:spacing w:line="240" w:lineRule="auto"/>
            </w:pPr>
            <w:r>
              <w:t>Altona North</w:t>
            </w:r>
          </w:p>
        </w:tc>
        <w:tc>
          <w:tcPr>
            <w:tcW w:w="1059"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DA7EB5B"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FCE2CB" w14:textId="77777777" w:rsidR="00EB6564" w:rsidRDefault="00EB6564" w:rsidP="008B4D97">
            <w:pPr>
              <w:pStyle w:val="06cTABLETEXT"/>
              <w:keepNext/>
              <w:spacing w:line="240" w:lineRule="auto"/>
              <w:jc w:val="center"/>
            </w:pPr>
            <w:r>
              <w:t>Not Met*</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954C55"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9E1066" w14:textId="77777777" w:rsidR="00EB6564" w:rsidRDefault="00EB6564" w:rsidP="008B4D97">
            <w:pPr>
              <w:pStyle w:val="06cTABLETEXT"/>
              <w:keepNext/>
              <w:spacing w:line="240" w:lineRule="auto"/>
              <w:jc w:val="center"/>
            </w:pPr>
            <w:r>
              <w:t>Not Met*</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DE809BF" w14:textId="77777777" w:rsidR="00EB6564" w:rsidRDefault="00EB6564" w:rsidP="008B4D97">
            <w:pPr>
              <w:pStyle w:val="06cTABLETEXT"/>
              <w:keepNext/>
              <w:spacing w:line="240" w:lineRule="auto"/>
              <w:jc w:val="center"/>
            </w:pPr>
            <w:r>
              <w:t>0.0015</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CAC56B" w14:textId="77777777" w:rsidR="00EB6564" w:rsidRDefault="00EB6564" w:rsidP="008B4D97">
            <w:pPr>
              <w:pStyle w:val="06cTABLETEXT"/>
              <w:keepNext/>
              <w:spacing w:line="240" w:lineRule="auto"/>
              <w:jc w:val="center"/>
            </w:pPr>
            <w:r>
              <w:t>Met</w:t>
            </w:r>
          </w:p>
        </w:tc>
      </w:tr>
      <w:tr w:rsidR="00EB6564" w14:paraId="1B7A54A3" w14:textId="77777777" w:rsidTr="00134EA2">
        <w:trPr>
          <w:gridAfter w:val="1"/>
          <w:wAfter w:w="10" w:type="dxa"/>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E226FEA" w14:textId="77777777" w:rsidR="00EB6564" w:rsidRDefault="00EB6564" w:rsidP="008B4D97">
            <w:pPr>
              <w:pStyle w:val="06cTABLETEXT"/>
              <w:keepNext/>
              <w:spacing w:line="240" w:lineRule="auto"/>
            </w:pPr>
            <w:r>
              <w:t>Geelong South</w:t>
            </w:r>
          </w:p>
        </w:tc>
        <w:tc>
          <w:tcPr>
            <w:tcW w:w="1059"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A2C5633"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F3B579" w14:textId="77777777" w:rsidR="00EB6564" w:rsidRDefault="00EB6564" w:rsidP="008B4D97">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85BFB9"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18CABC" w14:textId="77777777" w:rsidR="00EB6564" w:rsidRDefault="00EB6564" w:rsidP="008B4D97">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2686C8" w14:textId="77777777" w:rsidR="00EB6564" w:rsidRDefault="00EB6564" w:rsidP="008B4D97">
            <w:pPr>
              <w:pStyle w:val="06cTABLETEXT"/>
              <w:keepNext/>
              <w:spacing w:line="240" w:lineRule="auto"/>
              <w:jc w:val="center"/>
            </w:pPr>
            <w:r>
              <w:t>0.0004</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0D837E" w14:textId="77777777" w:rsidR="00EB6564" w:rsidRDefault="00EB6564" w:rsidP="008B4D97">
            <w:pPr>
              <w:pStyle w:val="06cTABLETEXT"/>
              <w:keepNext/>
              <w:spacing w:line="240" w:lineRule="auto"/>
              <w:jc w:val="center"/>
            </w:pPr>
            <w:r>
              <w:t>Met</w:t>
            </w:r>
          </w:p>
        </w:tc>
      </w:tr>
      <w:tr w:rsidR="00EB6564" w14:paraId="390E6DB4" w14:textId="77777777" w:rsidTr="00134EA2">
        <w:trPr>
          <w:gridAfter w:val="1"/>
          <w:wAfter w:w="10" w:type="dxa"/>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0DBF37" w14:textId="77777777" w:rsidR="00EB6564" w:rsidRDefault="00EB6564" w:rsidP="008B4D97">
            <w:pPr>
              <w:pStyle w:val="06cTABLETEXT"/>
              <w:keepNext/>
              <w:spacing w:line="240" w:lineRule="auto"/>
            </w:pPr>
            <w:r>
              <w:t>Traralgon</w:t>
            </w:r>
          </w:p>
        </w:tc>
        <w:tc>
          <w:tcPr>
            <w:tcW w:w="1059"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6D7E32"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8EF624" w14:textId="77777777" w:rsidR="00EB6564" w:rsidRDefault="00EB6564" w:rsidP="008B4D97">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385A2D6"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C4CAD3" w14:textId="77777777" w:rsidR="00EB6564" w:rsidRDefault="00EB6564" w:rsidP="008B4D97">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A5EDC0" w14:textId="77777777" w:rsidR="00EB6564" w:rsidRDefault="00EB6564" w:rsidP="008B4D97">
            <w:pPr>
              <w:pStyle w:val="06cTABLETEXT"/>
              <w:keepNext/>
              <w:spacing w:line="240" w:lineRule="auto"/>
              <w:jc w:val="center"/>
            </w:pPr>
            <w:r>
              <w:t>0.0007</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89EA436" w14:textId="77777777" w:rsidR="00EB6564" w:rsidRDefault="00EB6564" w:rsidP="008B4D97">
            <w:pPr>
              <w:pStyle w:val="06cTABLETEXT"/>
              <w:keepNext/>
              <w:spacing w:line="240" w:lineRule="auto"/>
              <w:jc w:val="center"/>
            </w:pPr>
            <w:r>
              <w:t>Met</w:t>
            </w:r>
          </w:p>
        </w:tc>
      </w:tr>
    </w:tbl>
    <w:p w14:paraId="28DC9766" w14:textId="77777777" w:rsidR="00EB6564" w:rsidRDefault="00EB6564" w:rsidP="00EB6564">
      <w:pPr>
        <w:pStyle w:val="07FOOTNOTES"/>
      </w:pPr>
      <w:r>
        <w:t>*</w:t>
      </w:r>
      <w:r>
        <w:tab/>
        <w:t>&lt;75 data capture during the year, insufficient data to demonstrate compliance</w:t>
      </w:r>
    </w:p>
    <w:tbl>
      <w:tblPr>
        <w:tblW w:w="0" w:type="auto"/>
        <w:tblInd w:w="-8" w:type="dxa"/>
        <w:tblLayout w:type="fixed"/>
        <w:tblCellMar>
          <w:left w:w="0" w:type="dxa"/>
          <w:right w:w="0" w:type="dxa"/>
        </w:tblCellMar>
        <w:tblLook w:val="0000" w:firstRow="0" w:lastRow="0" w:firstColumn="0" w:lastColumn="0" w:noHBand="0" w:noVBand="0"/>
      </w:tblPr>
      <w:tblGrid>
        <w:gridCol w:w="1696"/>
        <w:gridCol w:w="776"/>
        <w:gridCol w:w="2473"/>
        <w:gridCol w:w="2472"/>
        <w:gridCol w:w="10"/>
      </w:tblGrid>
      <w:tr w:rsidR="00EB6564" w14:paraId="33C42FB6" w14:textId="77777777" w:rsidTr="00134EA2">
        <w:trPr>
          <w:trHeight w:val="60"/>
          <w:tblHeader/>
        </w:trPr>
        <w:tc>
          <w:tcPr>
            <w:tcW w:w="1696" w:type="dxa"/>
            <w:vMerge w:val="restart"/>
            <w:tcMar>
              <w:top w:w="85" w:type="dxa"/>
              <w:left w:w="85" w:type="dxa"/>
              <w:bottom w:w="85" w:type="dxa"/>
              <w:right w:w="85" w:type="dxa"/>
            </w:tcMar>
          </w:tcPr>
          <w:p w14:paraId="38D6A63F" w14:textId="77777777" w:rsidR="00EB6564" w:rsidRDefault="00EB6564" w:rsidP="00134EA2">
            <w:pPr>
              <w:pStyle w:val="CHEMICALCHEMTABLES"/>
              <w:spacing w:after="0" w:line="240" w:lineRule="auto"/>
            </w:pPr>
            <w:r>
              <w:t>Pb</w:t>
            </w:r>
          </w:p>
        </w:tc>
        <w:tc>
          <w:tcPr>
            <w:tcW w:w="5731" w:type="dxa"/>
            <w:gridSpan w:val="4"/>
            <w:tcMar>
              <w:top w:w="85" w:type="dxa"/>
              <w:left w:w="85" w:type="dxa"/>
              <w:bottom w:w="85" w:type="dxa"/>
              <w:right w:w="85" w:type="dxa"/>
            </w:tcMar>
          </w:tcPr>
          <w:p w14:paraId="1DB494FB" w14:textId="77777777" w:rsidR="00EB6564" w:rsidRDefault="00EB6564" w:rsidP="00134EA2">
            <w:pPr>
              <w:pStyle w:val="CHEMICALfullnameCHEMTABLES"/>
              <w:spacing w:after="0" w:line="240" w:lineRule="auto"/>
            </w:pPr>
            <w:r>
              <w:t>Lead</w:t>
            </w:r>
          </w:p>
        </w:tc>
      </w:tr>
      <w:tr w:rsidR="00EB6564" w14:paraId="230DC41A" w14:textId="77777777" w:rsidTr="00134EA2">
        <w:trPr>
          <w:trHeight w:val="60"/>
          <w:tblHeader/>
        </w:trPr>
        <w:tc>
          <w:tcPr>
            <w:tcW w:w="1696" w:type="dxa"/>
            <w:vMerge/>
          </w:tcPr>
          <w:p w14:paraId="08671A62" w14:textId="77777777" w:rsidR="00EB6564" w:rsidRDefault="00EB6564" w:rsidP="00134EA2">
            <w:pPr>
              <w:pStyle w:val="NoParagraphStyle"/>
              <w:spacing w:line="240" w:lineRule="auto"/>
              <w:textAlignment w:val="auto"/>
              <w:rPr>
                <w:rFonts w:ascii="Calibri" w:hAnsi="Calibri" w:cs="Calibri"/>
                <w:color w:val="auto"/>
              </w:rPr>
            </w:pPr>
          </w:p>
        </w:tc>
        <w:tc>
          <w:tcPr>
            <w:tcW w:w="5731" w:type="dxa"/>
            <w:gridSpan w:val="4"/>
            <w:tcMar>
              <w:top w:w="85" w:type="dxa"/>
              <w:left w:w="85" w:type="dxa"/>
              <w:bottom w:w="85" w:type="dxa"/>
              <w:right w:w="85" w:type="dxa"/>
            </w:tcMar>
          </w:tcPr>
          <w:p w14:paraId="766BDD17" w14:textId="77777777" w:rsidR="00EB6564" w:rsidRDefault="00EB6564" w:rsidP="00134EA2">
            <w:pPr>
              <w:pStyle w:val="NEPMstandardCHEMTABLES"/>
              <w:spacing w:after="0" w:line="240" w:lineRule="auto"/>
            </w:pPr>
            <w:r>
              <w:t>(NEPM standard 1 year = 0.50 µg/m</w:t>
            </w:r>
            <w:r>
              <w:rPr>
                <w:vertAlign w:val="superscript"/>
              </w:rPr>
              <w:t>3</w:t>
            </w:r>
            <w:r>
              <w:t>)</w:t>
            </w:r>
          </w:p>
        </w:tc>
      </w:tr>
      <w:tr w:rsidR="00EB6564" w14:paraId="7118BE65" w14:textId="77777777" w:rsidTr="00134EA2">
        <w:trPr>
          <w:trHeight w:hRule="exact" w:val="113"/>
        </w:trPr>
        <w:tc>
          <w:tcPr>
            <w:tcW w:w="1696" w:type="dxa"/>
            <w:tcMar>
              <w:top w:w="85" w:type="dxa"/>
              <w:left w:w="85" w:type="dxa"/>
              <w:bottom w:w="85" w:type="dxa"/>
              <w:right w:w="85" w:type="dxa"/>
            </w:tcMar>
          </w:tcPr>
          <w:p w14:paraId="6228DFF3" w14:textId="77777777" w:rsidR="00EB6564" w:rsidRDefault="00EB6564" w:rsidP="00134EA2">
            <w:pPr>
              <w:pStyle w:val="NoParagraphStyle"/>
              <w:spacing w:line="240" w:lineRule="auto"/>
              <w:textAlignment w:val="auto"/>
              <w:rPr>
                <w:rFonts w:ascii="Calibri" w:hAnsi="Calibri" w:cs="Calibri"/>
                <w:color w:val="auto"/>
              </w:rPr>
            </w:pPr>
          </w:p>
        </w:tc>
        <w:tc>
          <w:tcPr>
            <w:tcW w:w="5731" w:type="dxa"/>
            <w:gridSpan w:val="4"/>
            <w:tcMar>
              <w:top w:w="85" w:type="dxa"/>
              <w:left w:w="85" w:type="dxa"/>
              <w:bottom w:w="85" w:type="dxa"/>
              <w:right w:w="85" w:type="dxa"/>
            </w:tcMar>
          </w:tcPr>
          <w:p w14:paraId="55246A8E" w14:textId="77777777" w:rsidR="00EB6564" w:rsidRDefault="00EB6564" w:rsidP="00134EA2">
            <w:pPr>
              <w:pStyle w:val="NoParagraphStyle"/>
              <w:spacing w:line="240" w:lineRule="auto"/>
              <w:textAlignment w:val="auto"/>
              <w:rPr>
                <w:rFonts w:ascii="Calibri" w:hAnsi="Calibri" w:cs="Calibri"/>
                <w:color w:val="auto"/>
              </w:rPr>
            </w:pPr>
          </w:p>
        </w:tc>
      </w:tr>
      <w:tr w:rsidR="00EB6564" w14:paraId="40B1C361" w14:textId="77777777" w:rsidTr="00134EA2">
        <w:trPr>
          <w:gridAfter w:val="1"/>
          <w:wAfter w:w="10" w:type="dxa"/>
          <w:trHeight w:val="60"/>
          <w:tblHeader/>
        </w:trPr>
        <w:tc>
          <w:tcPr>
            <w:tcW w:w="2472"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52C3F3E" w14:textId="77777777" w:rsidR="00EB6564" w:rsidRDefault="00EB6564">
            <w:pPr>
              <w:pStyle w:val="06bTABLEHEADERROW"/>
              <w:jc w:val="center"/>
            </w:pPr>
            <w:r>
              <w:t>Station</w:t>
            </w:r>
          </w:p>
        </w:tc>
        <w:tc>
          <w:tcPr>
            <w:tcW w:w="247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D831D77" w14:textId="77777777" w:rsidR="00EB6564" w:rsidRDefault="00EB6564">
            <w:pPr>
              <w:pStyle w:val="06bTABLEHEADERROW"/>
              <w:jc w:val="center"/>
            </w:pPr>
            <w:r>
              <w:t>Annual average (µg/m</w:t>
            </w:r>
            <w:r>
              <w:rPr>
                <w:vertAlign w:val="superscript"/>
              </w:rPr>
              <w:t>3</w:t>
            </w:r>
            <w:r>
              <w:t>)</w:t>
            </w:r>
          </w:p>
        </w:tc>
        <w:tc>
          <w:tcPr>
            <w:tcW w:w="247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A0E4674" w14:textId="77777777" w:rsidR="00EB6564" w:rsidRDefault="00EB6564">
            <w:pPr>
              <w:pStyle w:val="06bTABLEHEADERROW"/>
              <w:jc w:val="center"/>
            </w:pPr>
            <w:r>
              <w:t>NEPM goal compliance</w:t>
            </w:r>
          </w:p>
        </w:tc>
      </w:tr>
      <w:tr w:rsidR="00EB6564" w14:paraId="78A143B4" w14:textId="77777777" w:rsidTr="00134EA2">
        <w:trPr>
          <w:gridAfter w:val="1"/>
          <w:wAfter w:w="10"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A14803" w14:textId="77777777" w:rsidR="00EB6564" w:rsidRDefault="00EB6564">
            <w:pPr>
              <w:pStyle w:val="05BODYTEXT"/>
            </w:pPr>
            <w:r>
              <w:t>N/A</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548AE3" w14:textId="77777777" w:rsidR="00EB6564" w:rsidRDefault="00EB6564">
            <w:pPr>
              <w:pStyle w:val="05BODYTEXT"/>
              <w:jc w:val="center"/>
            </w:pPr>
            <w:r>
              <w:t>N/A</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60DA3E" w14:textId="77777777" w:rsidR="00EB6564" w:rsidRDefault="00EB6564">
            <w:pPr>
              <w:pStyle w:val="05BODYTEXT"/>
              <w:jc w:val="center"/>
            </w:pPr>
            <w:r>
              <w:t>N/A</w:t>
            </w:r>
          </w:p>
        </w:tc>
      </w:tr>
    </w:tbl>
    <w:p w14:paraId="272A0632" w14:textId="485EC52B" w:rsidR="00134EA2" w:rsidRDefault="00EB6564" w:rsidP="00EB6564">
      <w:pPr>
        <w:pStyle w:val="05BODYTEXT"/>
        <w:spacing w:before="227"/>
      </w:pPr>
      <w:r>
        <w:t>Following the phasing-out of leaded petrol, concentrations at the peak station, Collingwood, were below the level specified for discontinuing monitoring. Monitoring of lead in Melbourne ceased at the end of 2004. All other regions meet screening criteria as set out in the monitoring plan and all regions are assessed as complying with the standard and goal.</w:t>
      </w:r>
    </w:p>
    <w:p w14:paraId="76BEEF57" w14:textId="77777777" w:rsidR="00134EA2" w:rsidRDefault="00134EA2">
      <w:pPr>
        <w:rPr>
          <w:rFonts w:ascii="Calibri" w:hAnsi="Calibri" w:cs="Calibri"/>
          <w:color w:val="000000"/>
          <w:sz w:val="16"/>
          <w:szCs w:val="16"/>
        </w:rPr>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1715"/>
        <w:gridCol w:w="757"/>
        <w:gridCol w:w="2473"/>
        <w:gridCol w:w="2472"/>
        <w:gridCol w:w="29"/>
      </w:tblGrid>
      <w:tr w:rsidR="00EB6564" w14:paraId="6E307199" w14:textId="77777777" w:rsidTr="00134EA2">
        <w:trPr>
          <w:trHeight w:val="413"/>
          <w:tblHeader/>
        </w:trPr>
        <w:tc>
          <w:tcPr>
            <w:tcW w:w="1715" w:type="dxa"/>
            <w:vMerge w:val="restart"/>
            <w:tcMar>
              <w:top w:w="85" w:type="dxa"/>
              <w:left w:w="85" w:type="dxa"/>
              <w:bottom w:w="85" w:type="dxa"/>
              <w:right w:w="85" w:type="dxa"/>
            </w:tcMar>
          </w:tcPr>
          <w:p w14:paraId="123C70CD" w14:textId="77777777" w:rsidR="00EB6564" w:rsidRDefault="00EB6564" w:rsidP="00134EA2">
            <w:pPr>
              <w:pStyle w:val="CHEMICALCHEMTABLES"/>
              <w:spacing w:after="0" w:line="240" w:lineRule="auto"/>
            </w:pPr>
            <w:r>
              <w:lastRenderedPageBreak/>
              <w:t>PM</w:t>
            </w:r>
            <w:r>
              <w:rPr>
                <w:vertAlign w:val="subscript"/>
              </w:rPr>
              <w:t>10</w:t>
            </w:r>
          </w:p>
        </w:tc>
        <w:tc>
          <w:tcPr>
            <w:tcW w:w="5731" w:type="dxa"/>
            <w:gridSpan w:val="4"/>
            <w:tcMar>
              <w:top w:w="85" w:type="dxa"/>
              <w:left w:w="85" w:type="dxa"/>
              <w:bottom w:w="85" w:type="dxa"/>
              <w:right w:w="85" w:type="dxa"/>
            </w:tcMar>
          </w:tcPr>
          <w:p w14:paraId="33C02AA3" w14:textId="77777777" w:rsidR="00EB6564" w:rsidRDefault="00EB6564" w:rsidP="00134EA2">
            <w:pPr>
              <w:pStyle w:val="CHEMICALfullnameCHEMTABLES"/>
              <w:spacing w:after="0" w:line="240" w:lineRule="auto"/>
            </w:pPr>
            <w:r>
              <w:t>Particles as PM</w:t>
            </w:r>
            <w:r>
              <w:rPr>
                <w:vertAlign w:val="subscript"/>
              </w:rPr>
              <w:t>10</w:t>
            </w:r>
          </w:p>
        </w:tc>
      </w:tr>
      <w:tr w:rsidR="00EB6564" w14:paraId="7E71A946" w14:textId="77777777" w:rsidTr="00134EA2">
        <w:trPr>
          <w:trHeight w:val="60"/>
          <w:tblHeader/>
        </w:trPr>
        <w:tc>
          <w:tcPr>
            <w:tcW w:w="1715" w:type="dxa"/>
            <w:vMerge/>
          </w:tcPr>
          <w:p w14:paraId="5382F83C" w14:textId="77777777" w:rsidR="00EB6564" w:rsidRDefault="00EB6564" w:rsidP="00134EA2">
            <w:pPr>
              <w:pStyle w:val="NoParagraphStyle"/>
              <w:spacing w:line="240" w:lineRule="auto"/>
              <w:textAlignment w:val="auto"/>
              <w:rPr>
                <w:rFonts w:ascii="Calibri" w:hAnsi="Calibri" w:cs="Calibri"/>
                <w:color w:val="auto"/>
              </w:rPr>
            </w:pPr>
          </w:p>
        </w:tc>
        <w:tc>
          <w:tcPr>
            <w:tcW w:w="5731" w:type="dxa"/>
            <w:gridSpan w:val="4"/>
            <w:tcMar>
              <w:top w:w="85" w:type="dxa"/>
              <w:left w:w="85" w:type="dxa"/>
              <w:bottom w:w="85" w:type="dxa"/>
              <w:right w:w="85" w:type="dxa"/>
            </w:tcMar>
          </w:tcPr>
          <w:p w14:paraId="627A0729" w14:textId="77777777" w:rsidR="00EB6564" w:rsidRDefault="00EB6564" w:rsidP="00134EA2">
            <w:pPr>
              <w:pStyle w:val="NEPMstandardCHEMTABLES"/>
              <w:spacing w:after="0" w:line="240" w:lineRule="auto"/>
            </w:pPr>
            <w:r>
              <w:t>(NEPM standard 1 day = 50 µg/m</w:t>
            </w:r>
            <w:r>
              <w:rPr>
                <w:vertAlign w:val="superscript"/>
              </w:rPr>
              <w:t>3</w:t>
            </w:r>
            <w:r>
              <w:t>)</w:t>
            </w:r>
          </w:p>
        </w:tc>
      </w:tr>
      <w:tr w:rsidR="00EB6564" w14:paraId="44769182" w14:textId="77777777" w:rsidTr="00134EA2">
        <w:trPr>
          <w:trHeight w:hRule="exact" w:val="113"/>
        </w:trPr>
        <w:tc>
          <w:tcPr>
            <w:tcW w:w="1715" w:type="dxa"/>
            <w:tcMar>
              <w:top w:w="85" w:type="dxa"/>
              <w:left w:w="85" w:type="dxa"/>
              <w:bottom w:w="85" w:type="dxa"/>
              <w:right w:w="85" w:type="dxa"/>
            </w:tcMar>
          </w:tcPr>
          <w:p w14:paraId="6977EC85" w14:textId="77777777" w:rsidR="00EB6564" w:rsidRDefault="00EB6564" w:rsidP="00134EA2">
            <w:pPr>
              <w:pStyle w:val="NoParagraphStyle"/>
              <w:spacing w:line="240" w:lineRule="auto"/>
              <w:textAlignment w:val="auto"/>
              <w:rPr>
                <w:rFonts w:ascii="Calibri" w:hAnsi="Calibri" w:cs="Calibri"/>
                <w:color w:val="auto"/>
              </w:rPr>
            </w:pPr>
          </w:p>
        </w:tc>
        <w:tc>
          <w:tcPr>
            <w:tcW w:w="5731" w:type="dxa"/>
            <w:gridSpan w:val="4"/>
            <w:tcMar>
              <w:top w:w="85" w:type="dxa"/>
              <w:left w:w="85" w:type="dxa"/>
              <w:bottom w:w="85" w:type="dxa"/>
              <w:right w:w="85" w:type="dxa"/>
            </w:tcMar>
          </w:tcPr>
          <w:p w14:paraId="38B9A187" w14:textId="77777777" w:rsidR="00EB6564" w:rsidRDefault="00EB6564" w:rsidP="00134EA2">
            <w:pPr>
              <w:pStyle w:val="NoParagraphStyle"/>
              <w:spacing w:line="240" w:lineRule="auto"/>
              <w:textAlignment w:val="auto"/>
              <w:rPr>
                <w:rFonts w:ascii="Calibri" w:hAnsi="Calibri" w:cs="Calibri"/>
                <w:color w:val="auto"/>
              </w:rPr>
            </w:pPr>
          </w:p>
        </w:tc>
      </w:tr>
      <w:tr w:rsidR="00EB6564" w14:paraId="71DFACB2" w14:textId="77777777" w:rsidTr="008B4D97">
        <w:trPr>
          <w:gridAfter w:val="1"/>
          <w:wAfter w:w="29" w:type="dxa"/>
          <w:trHeight w:val="60"/>
          <w:tblHeader/>
        </w:trPr>
        <w:tc>
          <w:tcPr>
            <w:tcW w:w="2472"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ADEDFDE" w14:textId="77777777" w:rsidR="00EB6564" w:rsidRDefault="00EB6564">
            <w:pPr>
              <w:pStyle w:val="06bTABLEHEADERROW"/>
            </w:pPr>
            <w:r>
              <w:t>Station</w:t>
            </w:r>
          </w:p>
        </w:tc>
        <w:tc>
          <w:tcPr>
            <w:tcW w:w="247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33F1401" w14:textId="77777777" w:rsidR="00EB6564" w:rsidRDefault="00EB6564">
            <w:pPr>
              <w:pStyle w:val="06bTABLEHEADERROW"/>
              <w:jc w:val="center"/>
            </w:pPr>
            <w:r>
              <w:t>Number of exceedances</w:t>
            </w:r>
          </w:p>
        </w:tc>
        <w:tc>
          <w:tcPr>
            <w:tcW w:w="247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5EF215C" w14:textId="77777777" w:rsidR="00EB6564" w:rsidRDefault="00EB6564">
            <w:pPr>
              <w:pStyle w:val="06bTABLEHEADERROW"/>
              <w:jc w:val="center"/>
            </w:pPr>
            <w:r>
              <w:t>NEPM goal compliance</w:t>
            </w:r>
          </w:p>
        </w:tc>
      </w:tr>
      <w:tr w:rsidR="00EB6564" w14:paraId="411F7BBE" w14:textId="77777777" w:rsidTr="008B4D97">
        <w:trPr>
          <w:gridAfter w:val="1"/>
          <w:wAfter w:w="29"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CF1269F" w14:textId="77777777" w:rsidR="00EB6564" w:rsidRDefault="00EB6564">
            <w:pPr>
              <w:pStyle w:val="06cTABLETEXT"/>
            </w:pPr>
            <w:r>
              <w:t>Alphington</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A636247" w14:textId="77777777" w:rsidR="00EB6564" w:rsidRDefault="00EB6564">
            <w:pPr>
              <w:pStyle w:val="06cTABLETEXT"/>
              <w:jc w:val="center"/>
            </w:pPr>
            <w:r>
              <w:t>3(2)</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BE0055" w14:textId="77777777" w:rsidR="00EB6564" w:rsidRDefault="00EB6564">
            <w:pPr>
              <w:pStyle w:val="06cTABLETEXT"/>
              <w:jc w:val="center"/>
            </w:pPr>
            <w:r>
              <w:t>Not Met</w:t>
            </w:r>
          </w:p>
        </w:tc>
      </w:tr>
      <w:tr w:rsidR="00EB6564" w14:paraId="219665F3" w14:textId="77777777" w:rsidTr="008B4D97">
        <w:trPr>
          <w:gridAfter w:val="1"/>
          <w:wAfter w:w="29"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DB1112" w14:textId="77777777" w:rsidR="00EB6564" w:rsidRDefault="00EB6564">
            <w:pPr>
              <w:pStyle w:val="06cTABLETEXT"/>
            </w:pPr>
            <w:r>
              <w:t>Dandenong</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2AD2B4" w14:textId="77777777" w:rsidR="00EB6564" w:rsidRDefault="00EB6564">
            <w:pPr>
              <w:pStyle w:val="06cTABLETEXT"/>
              <w:jc w:val="center"/>
            </w:pPr>
            <w:r>
              <w:t>3(1)</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FE22445" w14:textId="77777777" w:rsidR="00EB6564" w:rsidRDefault="00EB6564">
            <w:pPr>
              <w:pStyle w:val="06cTABLETEXT"/>
              <w:jc w:val="center"/>
            </w:pPr>
            <w:r>
              <w:t>Not Met</w:t>
            </w:r>
          </w:p>
        </w:tc>
      </w:tr>
      <w:tr w:rsidR="00EB6564" w14:paraId="3DCEE9D5" w14:textId="77777777" w:rsidTr="008B4D97">
        <w:trPr>
          <w:gridAfter w:val="1"/>
          <w:wAfter w:w="29"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D1F0EC" w14:textId="77777777" w:rsidR="00EB6564" w:rsidRDefault="00EB6564">
            <w:pPr>
              <w:pStyle w:val="06cTABLETEXT"/>
            </w:pPr>
            <w:r>
              <w:t>Footscray</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1458D1" w14:textId="77777777" w:rsidR="00EB6564" w:rsidRDefault="00EB6564">
            <w:pPr>
              <w:pStyle w:val="06cTABLETEXT"/>
              <w:jc w:val="center"/>
            </w:pPr>
            <w:r>
              <w:t>1</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9FFD8D" w14:textId="77777777" w:rsidR="00EB6564" w:rsidRDefault="00EB6564">
            <w:pPr>
              <w:pStyle w:val="06cTABLETEXT"/>
              <w:jc w:val="center"/>
            </w:pPr>
            <w:r>
              <w:t>Not Met</w:t>
            </w:r>
          </w:p>
        </w:tc>
      </w:tr>
      <w:tr w:rsidR="00EB6564" w14:paraId="5C5FB72C" w14:textId="77777777" w:rsidTr="008B4D97">
        <w:trPr>
          <w:gridAfter w:val="1"/>
          <w:wAfter w:w="29"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5ED6187" w14:textId="77777777" w:rsidR="00EB6564" w:rsidRDefault="00EB6564">
            <w:pPr>
              <w:pStyle w:val="06cTABLETEXT"/>
            </w:pPr>
            <w:r>
              <w:t>Geelong South</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C34705" w14:textId="77777777" w:rsidR="00EB6564" w:rsidRDefault="00EB6564">
            <w:pPr>
              <w:pStyle w:val="06cTABLETEXT"/>
              <w:jc w:val="center"/>
            </w:pPr>
            <w:r>
              <w:t>6(1)</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884F86" w14:textId="77777777" w:rsidR="00EB6564" w:rsidRDefault="00EB6564">
            <w:pPr>
              <w:pStyle w:val="06cTABLETEXT"/>
              <w:jc w:val="center"/>
            </w:pPr>
            <w:r>
              <w:t>Not Met</w:t>
            </w:r>
          </w:p>
        </w:tc>
      </w:tr>
      <w:tr w:rsidR="00EB6564" w14:paraId="6B16D0EB" w14:textId="77777777" w:rsidTr="008B4D97">
        <w:trPr>
          <w:gridAfter w:val="1"/>
          <w:wAfter w:w="29"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02F79D" w14:textId="77777777" w:rsidR="00EB6564" w:rsidRDefault="00EB6564">
            <w:pPr>
              <w:pStyle w:val="06cTABLETEXT"/>
            </w:pPr>
            <w:r>
              <w:t>Mooroolbark</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FE219B4" w14:textId="77777777" w:rsidR="00EB6564" w:rsidRDefault="00EB6564">
            <w:pPr>
              <w:pStyle w:val="06cTABLETEXT"/>
              <w:jc w:val="center"/>
            </w:pPr>
            <w:r>
              <w:t>1(1)</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00D5CB" w14:textId="77777777" w:rsidR="00EB6564" w:rsidRDefault="00EB6564">
            <w:pPr>
              <w:pStyle w:val="06cTABLETEXT"/>
              <w:jc w:val="center"/>
            </w:pPr>
            <w:r>
              <w:t>Not Met</w:t>
            </w:r>
          </w:p>
        </w:tc>
      </w:tr>
      <w:tr w:rsidR="00EB6564" w14:paraId="67DA6688" w14:textId="77777777" w:rsidTr="008B4D97">
        <w:trPr>
          <w:gridAfter w:val="1"/>
          <w:wAfter w:w="29"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59B118" w14:textId="77777777" w:rsidR="00EB6564" w:rsidRDefault="00EB6564">
            <w:pPr>
              <w:pStyle w:val="06cTABLETEXT"/>
            </w:pPr>
            <w:r>
              <w:t>Traralgon</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EBCAF3" w14:textId="77777777" w:rsidR="00EB6564" w:rsidRDefault="00EB6564">
            <w:pPr>
              <w:pStyle w:val="06cTABLETEXT"/>
              <w:jc w:val="center"/>
            </w:pPr>
            <w:r>
              <w:t>1(1)</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D58EF7" w14:textId="77777777" w:rsidR="00EB6564" w:rsidRDefault="00EB6564">
            <w:pPr>
              <w:pStyle w:val="06cTABLETEXT"/>
              <w:jc w:val="center"/>
            </w:pPr>
            <w:r>
              <w:t>Not Met</w:t>
            </w:r>
          </w:p>
        </w:tc>
      </w:tr>
    </w:tbl>
    <w:p w14:paraId="47BE1B88" w14:textId="77777777" w:rsidR="00EB6564" w:rsidRDefault="00EB6564" w:rsidP="00EB6564">
      <w:pPr>
        <w:pStyle w:val="07FOOTNOTES"/>
      </w:pPr>
      <w:r>
        <w:t xml:space="preserve">() </w:t>
      </w:r>
      <w:r>
        <w:tab/>
        <w:t>One or more exceedance/s attributed to jurisdiction-</w:t>
      </w:r>
      <w:proofErr w:type="spellStart"/>
      <w:r>
        <w:t>authorised</w:t>
      </w:r>
      <w:proofErr w:type="spellEnd"/>
      <w:r>
        <w:t xml:space="preserve"> hazard reduction burning and is considered an exceptional event for the purpose of assessing compliance with the goal</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668"/>
        <w:gridCol w:w="1454"/>
        <w:gridCol w:w="3592"/>
        <w:gridCol w:w="17"/>
      </w:tblGrid>
      <w:tr w:rsidR="00EB6564" w14:paraId="08CE56A2" w14:textId="77777777" w:rsidTr="00134EA2">
        <w:trPr>
          <w:trHeight w:val="60"/>
          <w:tblHeader/>
        </w:trPr>
        <w:tc>
          <w:tcPr>
            <w:tcW w:w="1701" w:type="dxa"/>
            <w:gridSpan w:val="2"/>
            <w:vMerge w:val="restart"/>
            <w:tcMar>
              <w:top w:w="85" w:type="dxa"/>
              <w:left w:w="85" w:type="dxa"/>
              <w:bottom w:w="85" w:type="dxa"/>
              <w:right w:w="85" w:type="dxa"/>
            </w:tcMar>
          </w:tcPr>
          <w:p w14:paraId="381A04B0" w14:textId="77777777" w:rsidR="00EB6564" w:rsidRDefault="00EB6564" w:rsidP="00134EA2">
            <w:pPr>
              <w:pStyle w:val="CHEMICALCHEMTABLES"/>
              <w:spacing w:after="0" w:line="240" w:lineRule="auto"/>
            </w:pPr>
            <w:r>
              <w:t>PM</w:t>
            </w:r>
            <w:r>
              <w:rPr>
                <w:vertAlign w:val="subscript"/>
              </w:rPr>
              <w:t>2.5</w:t>
            </w:r>
          </w:p>
        </w:tc>
        <w:tc>
          <w:tcPr>
            <w:tcW w:w="5731" w:type="dxa"/>
            <w:gridSpan w:val="4"/>
            <w:tcMar>
              <w:top w:w="85" w:type="dxa"/>
              <w:left w:w="85" w:type="dxa"/>
              <w:bottom w:w="85" w:type="dxa"/>
              <w:right w:w="85" w:type="dxa"/>
            </w:tcMar>
          </w:tcPr>
          <w:p w14:paraId="5932B172" w14:textId="77777777" w:rsidR="00EB6564" w:rsidRDefault="00EB6564" w:rsidP="00134EA2">
            <w:pPr>
              <w:pStyle w:val="CHEMICALfullnameCHEMTABLES"/>
              <w:spacing w:after="0" w:line="240" w:lineRule="auto"/>
            </w:pPr>
            <w:r>
              <w:t>Particles as PM</w:t>
            </w:r>
            <w:r>
              <w:rPr>
                <w:vertAlign w:val="subscript"/>
              </w:rPr>
              <w:t>2.5</w:t>
            </w:r>
          </w:p>
        </w:tc>
      </w:tr>
      <w:tr w:rsidR="00EB6564" w14:paraId="5FC87851" w14:textId="77777777" w:rsidTr="00134EA2">
        <w:trPr>
          <w:trHeight w:val="60"/>
          <w:tblHeader/>
        </w:trPr>
        <w:tc>
          <w:tcPr>
            <w:tcW w:w="1701" w:type="dxa"/>
            <w:gridSpan w:val="2"/>
            <w:vMerge/>
          </w:tcPr>
          <w:p w14:paraId="6EDE2DC3" w14:textId="77777777" w:rsidR="00EB6564" w:rsidRDefault="00EB6564" w:rsidP="00134EA2">
            <w:pPr>
              <w:pStyle w:val="NoParagraphStyle"/>
              <w:spacing w:line="240" w:lineRule="auto"/>
              <w:textAlignment w:val="auto"/>
              <w:rPr>
                <w:rFonts w:ascii="Calibri" w:hAnsi="Calibri" w:cs="Calibri"/>
                <w:color w:val="auto"/>
              </w:rPr>
            </w:pPr>
          </w:p>
        </w:tc>
        <w:tc>
          <w:tcPr>
            <w:tcW w:w="5731" w:type="dxa"/>
            <w:gridSpan w:val="4"/>
            <w:tcMar>
              <w:top w:w="85" w:type="dxa"/>
              <w:left w:w="85" w:type="dxa"/>
              <w:bottom w:w="85" w:type="dxa"/>
              <w:right w:w="85" w:type="dxa"/>
            </w:tcMar>
          </w:tcPr>
          <w:p w14:paraId="5C8E726C" w14:textId="77777777" w:rsidR="00EB6564" w:rsidRDefault="00EB6564" w:rsidP="00134EA2">
            <w:pPr>
              <w:pStyle w:val="NEPMstandardCHEMTABLES"/>
              <w:spacing w:after="0" w:line="240" w:lineRule="auto"/>
            </w:pPr>
            <w:r>
              <w:t>(NEPM standard 1 day = 25 µg/m</w:t>
            </w:r>
            <w:r>
              <w:rPr>
                <w:vertAlign w:val="superscript"/>
              </w:rPr>
              <w:t>3</w:t>
            </w:r>
            <w:r>
              <w:t>, 1 year = 8 µg/m</w:t>
            </w:r>
            <w:r>
              <w:rPr>
                <w:vertAlign w:val="superscript"/>
              </w:rPr>
              <w:t>3</w:t>
            </w:r>
            <w:r>
              <w:t>)</w:t>
            </w:r>
          </w:p>
        </w:tc>
      </w:tr>
      <w:tr w:rsidR="00EB6564" w14:paraId="7285412A" w14:textId="77777777" w:rsidTr="00134EA2">
        <w:trPr>
          <w:trHeight w:hRule="exact" w:val="113"/>
        </w:trPr>
        <w:tc>
          <w:tcPr>
            <w:tcW w:w="1701" w:type="dxa"/>
            <w:gridSpan w:val="2"/>
            <w:tcMar>
              <w:top w:w="85" w:type="dxa"/>
              <w:left w:w="85" w:type="dxa"/>
              <w:bottom w:w="85" w:type="dxa"/>
              <w:right w:w="85" w:type="dxa"/>
            </w:tcMar>
          </w:tcPr>
          <w:p w14:paraId="28BCA886" w14:textId="77777777" w:rsidR="00EB6564" w:rsidRDefault="00EB6564" w:rsidP="00134EA2">
            <w:pPr>
              <w:pStyle w:val="NoParagraphStyle"/>
              <w:spacing w:line="240" w:lineRule="auto"/>
              <w:textAlignment w:val="auto"/>
              <w:rPr>
                <w:rFonts w:ascii="Calibri" w:hAnsi="Calibri" w:cs="Calibri"/>
                <w:color w:val="auto"/>
              </w:rPr>
            </w:pPr>
          </w:p>
        </w:tc>
        <w:tc>
          <w:tcPr>
            <w:tcW w:w="5731" w:type="dxa"/>
            <w:gridSpan w:val="4"/>
            <w:tcMar>
              <w:top w:w="85" w:type="dxa"/>
              <w:left w:w="85" w:type="dxa"/>
              <w:bottom w:w="85" w:type="dxa"/>
              <w:right w:w="85" w:type="dxa"/>
            </w:tcMar>
          </w:tcPr>
          <w:p w14:paraId="6899E223" w14:textId="77777777" w:rsidR="00EB6564" w:rsidRDefault="00EB6564" w:rsidP="00134EA2">
            <w:pPr>
              <w:pStyle w:val="NoParagraphStyle"/>
              <w:spacing w:line="240" w:lineRule="auto"/>
              <w:textAlignment w:val="auto"/>
              <w:rPr>
                <w:rFonts w:ascii="Calibri" w:hAnsi="Calibri" w:cs="Calibri"/>
                <w:color w:val="auto"/>
              </w:rPr>
            </w:pPr>
          </w:p>
        </w:tc>
      </w:tr>
      <w:tr w:rsidR="00EB6564" w14:paraId="19F70D58" w14:textId="77777777" w:rsidTr="00134EA2">
        <w:trPr>
          <w:gridBefore w:val="1"/>
          <w:gridAfter w:val="1"/>
          <w:wBefore w:w="8" w:type="dxa"/>
          <w:wAfter w:w="17" w:type="dxa"/>
          <w:trHeight w:val="60"/>
          <w:tblHeader/>
        </w:trPr>
        <w:tc>
          <w:tcPr>
            <w:tcW w:w="2361" w:type="dxa"/>
            <w:gridSpan w:val="2"/>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450BD20" w14:textId="77777777" w:rsidR="00EB6564" w:rsidRDefault="00EB6564">
            <w:pPr>
              <w:pStyle w:val="06bTABLEHEADERROW"/>
            </w:pPr>
            <w:r>
              <w:t>Station</w:t>
            </w:r>
          </w:p>
        </w:tc>
        <w:tc>
          <w:tcPr>
            <w:tcW w:w="5046"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8741FDB" w14:textId="77777777" w:rsidR="00EB6564" w:rsidRDefault="00EB6564">
            <w:pPr>
              <w:pStyle w:val="06bTABLEHEADERROW"/>
              <w:jc w:val="center"/>
            </w:pPr>
            <w:r>
              <w:t>1 year</w:t>
            </w:r>
          </w:p>
        </w:tc>
      </w:tr>
      <w:tr w:rsidR="00EB6564" w14:paraId="6E136D5D" w14:textId="77777777" w:rsidTr="00134EA2">
        <w:trPr>
          <w:gridBefore w:val="1"/>
          <w:gridAfter w:val="1"/>
          <w:wBefore w:w="8" w:type="dxa"/>
          <w:wAfter w:w="17" w:type="dxa"/>
          <w:trHeight w:val="60"/>
          <w:tblHeader/>
        </w:trPr>
        <w:tc>
          <w:tcPr>
            <w:tcW w:w="2361" w:type="dxa"/>
            <w:gridSpan w:val="2"/>
            <w:vMerge/>
            <w:tcBorders>
              <w:top w:val="single" w:sz="8" w:space="0" w:color="FFFFFF"/>
              <w:left w:val="single" w:sz="4" w:space="0" w:color="FFFFFF"/>
              <w:bottom w:val="single" w:sz="8" w:space="0" w:color="FFFFFF"/>
              <w:right w:val="single" w:sz="4" w:space="0" w:color="FFFFFF"/>
            </w:tcBorders>
          </w:tcPr>
          <w:p w14:paraId="35C7BB51" w14:textId="77777777" w:rsidR="00EB6564" w:rsidRDefault="00EB6564">
            <w:pPr>
              <w:pStyle w:val="NoParagraphStyle"/>
              <w:spacing w:line="240" w:lineRule="auto"/>
              <w:textAlignment w:val="auto"/>
              <w:rPr>
                <w:rFonts w:ascii="Calibri" w:hAnsi="Calibri" w:cs="Calibri"/>
                <w:color w:val="auto"/>
              </w:rPr>
            </w:pPr>
          </w:p>
        </w:tc>
        <w:tc>
          <w:tcPr>
            <w:tcW w:w="1454"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A69DDCE" w14:textId="77777777" w:rsidR="00EB6564" w:rsidRDefault="00EB6564">
            <w:pPr>
              <w:pStyle w:val="06bTABLEHEADERROW"/>
              <w:jc w:val="center"/>
            </w:pPr>
            <w:r>
              <w:t>Number of exceedances (days)</w:t>
            </w:r>
          </w:p>
        </w:tc>
        <w:tc>
          <w:tcPr>
            <w:tcW w:w="3592"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A6EF755" w14:textId="3C0BCCCE" w:rsidR="00EB6564" w:rsidRDefault="00EB6564">
            <w:pPr>
              <w:pStyle w:val="06bTABLEHEADERROW"/>
              <w:jc w:val="center"/>
            </w:pPr>
            <w:r>
              <w:t>Annual average (</w:t>
            </w:r>
            <w:r w:rsidR="00B3345B">
              <w:t>µ</w:t>
            </w:r>
            <w:r>
              <w:t>g/m</w:t>
            </w:r>
            <w:r>
              <w:rPr>
                <w:vertAlign w:val="superscript"/>
              </w:rPr>
              <w:t>3</w:t>
            </w:r>
            <w:r>
              <w:t>)</w:t>
            </w:r>
          </w:p>
        </w:tc>
      </w:tr>
      <w:tr w:rsidR="00EB6564" w14:paraId="131AC6D7" w14:textId="77777777" w:rsidTr="00134EA2">
        <w:trPr>
          <w:gridBefore w:val="1"/>
          <w:gridAfter w:val="1"/>
          <w:wBefore w:w="8" w:type="dxa"/>
          <w:wAfter w:w="17" w:type="dxa"/>
          <w:trHeight w:val="60"/>
        </w:trPr>
        <w:tc>
          <w:tcPr>
            <w:tcW w:w="2361"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5781CB" w14:textId="77777777" w:rsidR="00EB6564" w:rsidRDefault="00EB6564">
            <w:pPr>
              <w:pStyle w:val="06cTABLETEXT"/>
            </w:pPr>
            <w:r>
              <w:t>Alphington (</w:t>
            </w:r>
            <w:proofErr w:type="spellStart"/>
            <w:r>
              <w:t>Partisol</w:t>
            </w:r>
            <w:proofErr w:type="spellEnd"/>
            <w:r>
              <w:t>)</w:t>
            </w:r>
          </w:p>
        </w:tc>
        <w:tc>
          <w:tcPr>
            <w:tcW w:w="14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1B3013" w14:textId="77777777" w:rsidR="00EB6564" w:rsidRDefault="00EB6564">
            <w:pPr>
              <w:pStyle w:val="06cTABLETEXT"/>
              <w:jc w:val="center"/>
            </w:pPr>
            <w:r>
              <w:t>1(1)</w:t>
            </w:r>
          </w:p>
        </w:tc>
        <w:tc>
          <w:tcPr>
            <w:tcW w:w="35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0100EF6" w14:textId="77777777" w:rsidR="00EB6564" w:rsidRDefault="00EB6564">
            <w:pPr>
              <w:pStyle w:val="06cTABLETEXT"/>
              <w:jc w:val="center"/>
            </w:pPr>
            <w:r>
              <w:t>7.6</w:t>
            </w:r>
          </w:p>
        </w:tc>
      </w:tr>
      <w:tr w:rsidR="00EB6564" w14:paraId="077EA79B" w14:textId="77777777" w:rsidTr="00134EA2">
        <w:trPr>
          <w:gridBefore w:val="1"/>
          <w:gridAfter w:val="1"/>
          <w:wBefore w:w="8" w:type="dxa"/>
          <w:wAfter w:w="17" w:type="dxa"/>
          <w:trHeight w:val="60"/>
        </w:trPr>
        <w:tc>
          <w:tcPr>
            <w:tcW w:w="2361"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4AE6EC" w14:textId="77777777" w:rsidR="00EB6564" w:rsidRDefault="00EB6564">
            <w:pPr>
              <w:pStyle w:val="06cTABLETEXT"/>
            </w:pPr>
            <w:r>
              <w:t>Alphington (BAM)</w:t>
            </w:r>
          </w:p>
        </w:tc>
        <w:tc>
          <w:tcPr>
            <w:tcW w:w="14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89A3C8" w14:textId="77777777" w:rsidR="00EB6564" w:rsidRDefault="00EB6564">
            <w:pPr>
              <w:pStyle w:val="06cTABLETEXT"/>
              <w:jc w:val="center"/>
            </w:pPr>
            <w:r>
              <w:t>8(3)</w:t>
            </w:r>
          </w:p>
        </w:tc>
        <w:tc>
          <w:tcPr>
            <w:tcW w:w="35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C5D0467" w14:textId="77777777" w:rsidR="00EB6564" w:rsidRDefault="00EB6564">
            <w:pPr>
              <w:pStyle w:val="06cTABLETEXT"/>
              <w:jc w:val="center"/>
            </w:pPr>
            <w:r>
              <w:t>7.9</w:t>
            </w:r>
          </w:p>
        </w:tc>
      </w:tr>
      <w:tr w:rsidR="00EB6564" w14:paraId="3A9F3DF1" w14:textId="77777777" w:rsidTr="00134EA2">
        <w:trPr>
          <w:gridBefore w:val="1"/>
          <w:gridAfter w:val="1"/>
          <w:wBefore w:w="8" w:type="dxa"/>
          <w:wAfter w:w="17" w:type="dxa"/>
          <w:trHeight w:val="60"/>
        </w:trPr>
        <w:tc>
          <w:tcPr>
            <w:tcW w:w="2361"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F0A407" w14:textId="77777777" w:rsidR="00EB6564" w:rsidRDefault="00EB6564">
            <w:pPr>
              <w:pStyle w:val="06cTABLETEXT"/>
            </w:pPr>
            <w:r>
              <w:t>Footscray (</w:t>
            </w:r>
            <w:proofErr w:type="spellStart"/>
            <w:r>
              <w:t>Partisol</w:t>
            </w:r>
            <w:proofErr w:type="spellEnd"/>
            <w:r>
              <w:t>)</w:t>
            </w:r>
          </w:p>
        </w:tc>
        <w:tc>
          <w:tcPr>
            <w:tcW w:w="14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AD1554B" w14:textId="77777777" w:rsidR="00EB6564" w:rsidRDefault="00EB6564">
            <w:pPr>
              <w:pStyle w:val="06cTABLETEXT"/>
              <w:jc w:val="center"/>
            </w:pPr>
            <w:r>
              <w:t>1(1)</w:t>
            </w:r>
          </w:p>
        </w:tc>
        <w:tc>
          <w:tcPr>
            <w:tcW w:w="35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BC1F34A" w14:textId="77777777" w:rsidR="00EB6564" w:rsidRDefault="00EB6564">
            <w:pPr>
              <w:pStyle w:val="06cTABLETEXT"/>
              <w:jc w:val="center"/>
            </w:pPr>
            <w:r>
              <w:t>7.1</w:t>
            </w:r>
          </w:p>
        </w:tc>
      </w:tr>
      <w:tr w:rsidR="00EB6564" w14:paraId="5D820F5C" w14:textId="77777777" w:rsidTr="00134EA2">
        <w:trPr>
          <w:gridBefore w:val="1"/>
          <w:gridAfter w:val="1"/>
          <w:wBefore w:w="8" w:type="dxa"/>
          <w:wAfter w:w="17" w:type="dxa"/>
          <w:trHeight w:val="60"/>
        </w:trPr>
        <w:tc>
          <w:tcPr>
            <w:tcW w:w="2361"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181B26" w14:textId="77777777" w:rsidR="00EB6564" w:rsidRDefault="00EB6564">
            <w:pPr>
              <w:pStyle w:val="06cTABLETEXT"/>
            </w:pPr>
            <w:r>
              <w:t>Footscray (BAM)</w:t>
            </w:r>
          </w:p>
        </w:tc>
        <w:tc>
          <w:tcPr>
            <w:tcW w:w="14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D6370D" w14:textId="77777777" w:rsidR="00EB6564" w:rsidRDefault="00EB6564">
            <w:pPr>
              <w:pStyle w:val="06cTABLETEXT"/>
              <w:jc w:val="center"/>
            </w:pPr>
            <w:r>
              <w:t>5(3)</w:t>
            </w:r>
          </w:p>
        </w:tc>
        <w:tc>
          <w:tcPr>
            <w:tcW w:w="35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0ADB0C" w14:textId="77777777" w:rsidR="00EB6564" w:rsidRDefault="00EB6564">
            <w:pPr>
              <w:pStyle w:val="06cTABLETEXT"/>
              <w:jc w:val="center"/>
            </w:pPr>
            <w:r>
              <w:t>7.7</w:t>
            </w:r>
          </w:p>
        </w:tc>
      </w:tr>
      <w:tr w:rsidR="00EB6564" w14:paraId="4FA068FE" w14:textId="77777777" w:rsidTr="00134EA2">
        <w:trPr>
          <w:gridBefore w:val="1"/>
          <w:gridAfter w:val="1"/>
          <w:wBefore w:w="8" w:type="dxa"/>
          <w:wAfter w:w="17" w:type="dxa"/>
          <w:trHeight w:val="60"/>
        </w:trPr>
        <w:tc>
          <w:tcPr>
            <w:tcW w:w="2361"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941882" w14:textId="77777777" w:rsidR="00EB6564" w:rsidRDefault="00EB6564">
            <w:pPr>
              <w:pStyle w:val="06cTABLETEXT"/>
            </w:pPr>
            <w:r>
              <w:t>Geelong (BAM)</w:t>
            </w:r>
          </w:p>
        </w:tc>
        <w:tc>
          <w:tcPr>
            <w:tcW w:w="14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7D1623" w14:textId="77777777" w:rsidR="00EB6564" w:rsidRDefault="00EB6564">
            <w:pPr>
              <w:pStyle w:val="06cTABLETEXT"/>
              <w:jc w:val="center"/>
            </w:pPr>
            <w:r>
              <w:t>1</w:t>
            </w:r>
          </w:p>
        </w:tc>
        <w:tc>
          <w:tcPr>
            <w:tcW w:w="35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C6E734" w14:textId="77777777" w:rsidR="00EB6564" w:rsidRDefault="00EB6564">
            <w:pPr>
              <w:pStyle w:val="06cTABLETEXT"/>
              <w:jc w:val="center"/>
            </w:pPr>
            <w:r>
              <w:t>6.5</w:t>
            </w:r>
          </w:p>
        </w:tc>
      </w:tr>
      <w:tr w:rsidR="00EB6564" w14:paraId="364AF199" w14:textId="77777777" w:rsidTr="00134EA2">
        <w:trPr>
          <w:gridBefore w:val="1"/>
          <w:gridAfter w:val="1"/>
          <w:wBefore w:w="8" w:type="dxa"/>
          <w:wAfter w:w="17" w:type="dxa"/>
          <w:trHeight w:val="60"/>
        </w:trPr>
        <w:tc>
          <w:tcPr>
            <w:tcW w:w="2361"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7E8AD77" w14:textId="77777777" w:rsidR="00EB6564" w:rsidRDefault="00EB6564">
            <w:pPr>
              <w:pStyle w:val="06cTABLETEXT"/>
            </w:pPr>
            <w:r>
              <w:t>Traralgon (BAM)</w:t>
            </w:r>
          </w:p>
        </w:tc>
        <w:tc>
          <w:tcPr>
            <w:tcW w:w="14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539C3A" w14:textId="77777777" w:rsidR="00EB6564" w:rsidRDefault="00EB6564">
            <w:pPr>
              <w:pStyle w:val="06cTABLETEXT"/>
              <w:jc w:val="center"/>
            </w:pPr>
            <w:r>
              <w:t>2</w:t>
            </w:r>
          </w:p>
        </w:tc>
        <w:tc>
          <w:tcPr>
            <w:tcW w:w="35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69D296C" w14:textId="77777777" w:rsidR="00EB6564" w:rsidRDefault="00EB6564">
            <w:pPr>
              <w:pStyle w:val="06cTABLETEXT"/>
              <w:jc w:val="center"/>
            </w:pPr>
            <w:r>
              <w:t>8.1</w:t>
            </w:r>
          </w:p>
        </w:tc>
      </w:tr>
    </w:tbl>
    <w:p w14:paraId="0687F1A8" w14:textId="0F6B3314" w:rsidR="00EB6564" w:rsidRDefault="00EB6564" w:rsidP="00EB6564">
      <w:pPr>
        <w:pStyle w:val="07FOOTNOTES"/>
      </w:pPr>
      <w:proofErr w:type="gramStart"/>
      <w:r>
        <w:t>( )</w:t>
      </w:r>
      <w:proofErr w:type="gramEnd"/>
      <w:r>
        <w:t xml:space="preserve"> </w:t>
      </w:r>
      <w:r>
        <w:tab/>
        <w:t>number of exceedances attributed to jurisdiction-</w:t>
      </w:r>
      <w:proofErr w:type="spellStart"/>
      <w:r>
        <w:t>authorised</w:t>
      </w:r>
      <w:proofErr w:type="spellEnd"/>
      <w:r>
        <w:t xml:space="preserve"> hazard reduction burning and is considered an exceptional </w:t>
      </w:r>
      <w:r>
        <w:tab/>
        <w:t>event for the purpose of assessing compliance with the goal</w:t>
      </w:r>
    </w:p>
    <w:p w14:paraId="1E93456F" w14:textId="12DB6B86" w:rsidR="00134EA2" w:rsidRDefault="00134EA2">
      <w:pPr>
        <w:rPr>
          <w:rFonts w:ascii="Calibri" w:hAnsi="Calibri" w:cs="Calibri"/>
          <w:color w:val="000000"/>
          <w:sz w:val="14"/>
          <w:szCs w:val="14"/>
          <w:lang w:val="en-US"/>
        </w:rPr>
      </w:pPr>
      <w:r>
        <w:br w:type="page"/>
      </w:r>
    </w:p>
    <w:p w14:paraId="64B1DB8D" w14:textId="77777777" w:rsidR="00EB6564" w:rsidRPr="009408AB" w:rsidRDefault="00EB6564" w:rsidP="00CB0DA6">
      <w:pPr>
        <w:pStyle w:val="Heading2"/>
      </w:pPr>
      <w:bookmarkStart w:id="28" w:name="_Toc58254382"/>
      <w:r w:rsidRPr="009408AB">
        <w:lastRenderedPageBreak/>
        <w:t>Queensland</w:t>
      </w:r>
      <w:bookmarkEnd w:id="28"/>
    </w:p>
    <w:p w14:paraId="16409933" w14:textId="77777777" w:rsidR="00EB6564" w:rsidRDefault="00EB6564" w:rsidP="00276A45">
      <w:pPr>
        <w:pStyle w:val="05BODYTEXT"/>
        <w:keepNext/>
        <w:spacing w:line="240" w:lineRule="auto"/>
        <w:rPr>
          <w:rStyle w:val="Hyperlink"/>
        </w:rPr>
      </w:pPr>
      <w:r>
        <w:rPr>
          <w:rStyle w:val="ITALIC"/>
        </w:rPr>
        <w:t>Report to the NEPC on the implementation of the National Environment Protection (Ambient Air Quality) Measure for Queensland by Leeanne Enoch MP, Minister for Environment and the Great Barrier Reef, Minister for Science, and Minister for the Arts for the reporting year ended 30 June 2019.</w:t>
      </w:r>
    </w:p>
    <w:p w14:paraId="4741FF5C" w14:textId="77777777" w:rsidR="00EB6564" w:rsidRDefault="00EB6564" w:rsidP="00276A45">
      <w:pPr>
        <w:pStyle w:val="02HEADING2"/>
        <w:spacing w:line="240" w:lineRule="auto"/>
        <w:rPr>
          <w:rFonts w:ascii="Times" w:hAnsi="Times" w:cs="Times"/>
          <w:caps w:val="0"/>
          <w:sz w:val="16"/>
          <w:szCs w:val="16"/>
        </w:rPr>
      </w:pPr>
      <w:r>
        <w:t>Part 1—Implementation of the NEPM and any significant issues</w:t>
      </w:r>
    </w:p>
    <w:p w14:paraId="49EE515A" w14:textId="77777777" w:rsidR="00EB6564" w:rsidRDefault="00EB6564" w:rsidP="00EB6564">
      <w:pPr>
        <w:pStyle w:val="05bDOTPOINTS"/>
      </w:pPr>
      <w:r>
        <w:t>•</w:t>
      </w:r>
      <w:r>
        <w:tab/>
        <w:t>The Ambient Air Quality NEPM (AAQ NEPM) specifies the reporting year as the year ending on 31 December and the results reported in this report are for the year ending on 31 December 2018 in accordance with the NEPM.</w:t>
      </w:r>
    </w:p>
    <w:p w14:paraId="56B3B6DF" w14:textId="77777777" w:rsidR="00EB6564" w:rsidRDefault="00EB6564" w:rsidP="00EB6564">
      <w:pPr>
        <w:pStyle w:val="05bDOTPOINTS"/>
      </w:pPr>
      <w:r>
        <w:t>•</w:t>
      </w:r>
      <w:r>
        <w:tab/>
        <w:t xml:space="preserve">In Queensland, the AAQ NEPM is implemented under the </w:t>
      </w:r>
      <w:r>
        <w:rPr>
          <w:rStyle w:val="ITALIC"/>
        </w:rPr>
        <w:t>Environmental Protection Act 1994</w:t>
      </w:r>
      <w:r>
        <w:t xml:space="preserve"> (EP Act), the Environmental Protection Regulation 2008, and the Environmental Protection (Air) Policy 2008, with the NEPM standards incorporated as air quality objectives.</w:t>
      </w:r>
    </w:p>
    <w:p w14:paraId="477B664C" w14:textId="77777777" w:rsidR="00EB6564" w:rsidRDefault="00EB6564" w:rsidP="00EB6564">
      <w:pPr>
        <w:pStyle w:val="05bDOTPOINTS"/>
      </w:pPr>
      <w:r>
        <w:t>•</w:t>
      </w:r>
      <w:r>
        <w:tab/>
        <w:t xml:space="preserve">In 2018, monitoring was conducted in five of the ten regions identified in the Monitoring Plan: South East Queensland, Gladstone, Mackay, Townsville and Mount Isa. Twelve of the nineteen sites nominated in the monitoring plan, and two additional reporting sites, were operational. Monitoring at four of the seven remaining sites concluded prior to 2018 due to completion of campaign monitoring or site closure following termination of the monitoring site lease by the property owner. </w:t>
      </w:r>
    </w:p>
    <w:p w14:paraId="641050EB" w14:textId="77777777" w:rsidR="00EB6564" w:rsidRDefault="00EB6564" w:rsidP="00EB6564">
      <w:pPr>
        <w:pStyle w:val="05bDOTPOINTS"/>
      </w:pPr>
      <w:r>
        <w:t>•</w:t>
      </w:r>
      <w:r>
        <w:tab/>
        <w:t>A new monitoring site at Southport on the Gold Coast in South East Queensland was established in February 2018. Pollutants monitored at this site include nitrogen dioxide, ozone, PM</w:t>
      </w:r>
      <w:r>
        <w:rPr>
          <w:vertAlign w:val="subscript"/>
        </w:rPr>
        <w:t>10</w:t>
      </w:r>
      <w:r>
        <w:t xml:space="preserve"> and PM</w:t>
      </w:r>
      <w:r>
        <w:rPr>
          <w:vertAlign w:val="subscript"/>
        </w:rPr>
        <w:t>2.5</w:t>
      </w:r>
      <w:r>
        <w:t xml:space="preserve">. </w:t>
      </w:r>
    </w:p>
    <w:p w14:paraId="60FD2302" w14:textId="77777777" w:rsidR="00EB6564" w:rsidRDefault="00EB6564" w:rsidP="00EB6564">
      <w:pPr>
        <w:pStyle w:val="05bDOTPOINTS"/>
      </w:pPr>
      <w:r>
        <w:t>•</w:t>
      </w:r>
      <w:r>
        <w:tab/>
        <w:t>Collection of PM</w:t>
      </w:r>
      <w:r>
        <w:rPr>
          <w:vertAlign w:val="subscript"/>
        </w:rPr>
        <w:t>2.5</w:t>
      </w:r>
      <w:r>
        <w:t xml:space="preserve"> data using Tapered Element Oscillating Microbalance (TEOM) instrumentation with Filter Dynamics Measurement System (FDMS) continued at three sites in South East Queensland (Rocklea, Springwood and Southport) and one site in Gladstone (South Gladstone) during 2018. </w:t>
      </w:r>
    </w:p>
    <w:p w14:paraId="6A34E32F" w14:textId="77777777" w:rsidR="00EB6564" w:rsidRDefault="00EB6564" w:rsidP="00EB6564">
      <w:pPr>
        <w:pStyle w:val="05bDOTPOINTS"/>
      </w:pPr>
      <w:r>
        <w:t>•</w:t>
      </w:r>
      <w:r>
        <w:tab/>
        <w:t>Collection of PM</w:t>
      </w:r>
      <w:r>
        <w:rPr>
          <w:vertAlign w:val="subscript"/>
        </w:rPr>
        <w:t>2.5</w:t>
      </w:r>
      <w:r>
        <w:t xml:space="preserve"> data using Teledyne Advanced Pollution Instrumentation (TAPI) T640X optical particle spectrometer continued at Townsville North Ward site during 2018. </w:t>
      </w:r>
    </w:p>
    <w:p w14:paraId="09FC6BA7" w14:textId="77777777" w:rsidR="00EB6564" w:rsidRDefault="00EB6564" w:rsidP="00EB6564">
      <w:pPr>
        <w:pStyle w:val="02HEADING2"/>
      </w:pPr>
      <w:r>
        <w:t>Part 2—Assessment of NEPM effectiveness</w:t>
      </w:r>
    </w:p>
    <w:p w14:paraId="33BA9686" w14:textId="77777777" w:rsidR="00EB6564" w:rsidRDefault="00EB6564" w:rsidP="00EB6564">
      <w:pPr>
        <w:pStyle w:val="05bDOTPOINTS"/>
      </w:pPr>
      <w:r>
        <w:t>•</w:t>
      </w:r>
      <w:r>
        <w:tab/>
        <w:t xml:space="preserve">The results of Queensland’s ambient air quality monitoring in 2018 indicate that the goal of the AAQ NEPM was met for all pollutants at all monitoring stations where there was sufficient data capture to assess compliance, except for </w:t>
      </w:r>
      <w:proofErr w:type="spellStart"/>
      <w:r>
        <w:t>sulfur</w:t>
      </w:r>
      <w:proofErr w:type="spellEnd"/>
      <w:r>
        <w:t xml:space="preserve"> dioxide in Mount Isa and PM</w:t>
      </w:r>
      <w:r>
        <w:rPr>
          <w:vertAlign w:val="subscript"/>
        </w:rPr>
        <w:t>10</w:t>
      </w:r>
      <w:r>
        <w:t xml:space="preserve"> in West Mackay and Mount Isa. </w:t>
      </w:r>
    </w:p>
    <w:p w14:paraId="182D56A4" w14:textId="77777777" w:rsidR="00EB6564" w:rsidRDefault="00EB6564" w:rsidP="00EB6564">
      <w:pPr>
        <w:pStyle w:val="05bDOTPOINTS"/>
      </w:pPr>
      <w:r>
        <w:t>•</w:t>
      </w:r>
      <w:r>
        <w:tab/>
        <w:t>One exceedance of the AAQ NEPM ozone one-hour and four-hour standards occurred at the Flinders View monitoring site in South East Queensland due to the presence of added ozone precursor pollutant emissions from vegetation fires during meteorological conditions conducive to ozone formation. However, the AAQ NEPM goals were met as one exceedance day per year is allowed.</w:t>
      </w:r>
    </w:p>
    <w:p w14:paraId="1E61A1C1" w14:textId="77777777" w:rsidR="00EB6564" w:rsidRDefault="00EB6564" w:rsidP="00EB6564">
      <w:pPr>
        <w:pStyle w:val="05bDOTPOINTS"/>
      </w:pPr>
      <w:r>
        <w:t>•</w:t>
      </w:r>
      <w:r>
        <w:tab/>
        <w:t xml:space="preserve">Although industrial emission sources in Mount Isa have significantly reduced total </w:t>
      </w:r>
      <w:proofErr w:type="spellStart"/>
      <w:r>
        <w:t>sulfur</w:t>
      </w:r>
      <w:proofErr w:type="spellEnd"/>
      <w:r>
        <w:t xml:space="preserve"> dioxide emissions to air in recent years through capture and conversion to sulfuric acid and improved monitoring and process control feedback mechanisms, compliance with the AAQ NEPM </w:t>
      </w:r>
      <w:proofErr w:type="spellStart"/>
      <w:r>
        <w:t>sulfur</w:t>
      </w:r>
      <w:proofErr w:type="spellEnd"/>
      <w:r>
        <w:t xml:space="preserve"> dioxide one-hour standard continues to be impacted by the operation of the copper smelter that was constructed prior to the development of the AAQ NEPM.</w:t>
      </w:r>
    </w:p>
    <w:p w14:paraId="22872A3A" w14:textId="77777777" w:rsidR="00EB6564" w:rsidRDefault="00EB6564" w:rsidP="00EB6564">
      <w:pPr>
        <w:pStyle w:val="05bDOTPOINTS"/>
      </w:pPr>
      <w:r>
        <w:t>•</w:t>
      </w:r>
      <w:r>
        <w:tab/>
        <w:t xml:space="preserve">The environmental authority for the site allows the operation of the copper smelter to continue until 2022. While still progressively reducing emissions to air at the site, the environmental authority allows for one-hour average </w:t>
      </w:r>
      <w:proofErr w:type="spellStart"/>
      <w:r>
        <w:t>sulfur</w:t>
      </w:r>
      <w:proofErr w:type="spellEnd"/>
      <w:r>
        <w:t xml:space="preserve"> dioxide concentrations in excess of the AAQ NEPM standard. As a result, exceedances of the AAQ NEPM standard for one-hour average </w:t>
      </w:r>
      <w:proofErr w:type="spellStart"/>
      <w:r>
        <w:t>sulfur</w:t>
      </w:r>
      <w:proofErr w:type="spellEnd"/>
      <w:r>
        <w:t xml:space="preserve"> dioxide concentrations occurred at the Menzies and The Gap monitoring sites in Mount Isa due to industrial emissions in 2018.</w:t>
      </w:r>
    </w:p>
    <w:p w14:paraId="366BC6FE" w14:textId="77777777" w:rsidR="00EB6564" w:rsidRDefault="00EB6564" w:rsidP="00EB6564">
      <w:pPr>
        <w:pStyle w:val="05bDOTPOINTS"/>
      </w:pPr>
      <w:r>
        <w:t>•</w:t>
      </w:r>
      <w:r>
        <w:tab/>
        <w:t xml:space="preserve">There </w:t>
      </w:r>
      <w:proofErr w:type="gramStart"/>
      <w:r>
        <w:t>were</w:t>
      </w:r>
      <w:proofErr w:type="gramEnd"/>
      <w:r>
        <w:t xml:space="preserve"> a total of 47 exceedances of the AAQ NEPM PM</w:t>
      </w:r>
      <w:r>
        <w:rPr>
          <w:vertAlign w:val="subscript"/>
        </w:rPr>
        <w:t>10</w:t>
      </w:r>
      <w:r>
        <w:t xml:space="preserve"> 24-hour standard across Queensland monitoring sites during 2018. All but three of these exceedances were directly attributed to an exceptional event (emissions from a bushfire or jurisdiction authorised hazard reduction burning, or continental scale windblown dust) and were excluded from reporting of compliance with the 24-hour AAQ NEPM goal as required by clause 18 of the NEPM. </w:t>
      </w:r>
    </w:p>
    <w:p w14:paraId="5FBDC288" w14:textId="77777777" w:rsidR="00EB6564" w:rsidRDefault="00EB6564" w:rsidP="00EB6564">
      <w:pPr>
        <w:pStyle w:val="05bDOTPOINTS"/>
      </w:pPr>
      <w:r>
        <w:t>•</w:t>
      </w:r>
      <w:r>
        <w:tab/>
        <w:t>Two exceedances of the PM</w:t>
      </w:r>
      <w:r>
        <w:rPr>
          <w:vertAlign w:val="subscript"/>
        </w:rPr>
        <w:t>10</w:t>
      </w:r>
      <w:r>
        <w:t xml:space="preserve"> 24-hour standard at the West Mackay monitoring site and one PM</w:t>
      </w:r>
      <w:r>
        <w:rPr>
          <w:vertAlign w:val="subscript"/>
        </w:rPr>
        <w:t>10</w:t>
      </w:r>
      <w:r>
        <w:t xml:space="preserve"> 24-hour exceedance at The Gap monitoring site in Mount Isa could not be conclusively demonstrated to have been caused by an exceptional event as defined in the AAQ NEPM, although available information suggests that windblown dust or smoke from a vegetation fire was the likely PM</w:t>
      </w:r>
      <w:r>
        <w:rPr>
          <w:vertAlign w:val="subscript"/>
        </w:rPr>
        <w:t>10</w:t>
      </w:r>
      <w:r>
        <w:t xml:space="preserve"> source. </w:t>
      </w:r>
    </w:p>
    <w:p w14:paraId="0DDCC775" w14:textId="77777777" w:rsidR="00EB6564" w:rsidRDefault="00EB6564" w:rsidP="00EB6564">
      <w:pPr>
        <w:pStyle w:val="05bDOTPOINTS"/>
      </w:pPr>
      <w:r>
        <w:t>•</w:t>
      </w:r>
      <w:r>
        <w:tab/>
        <w:t xml:space="preserve">There </w:t>
      </w:r>
      <w:proofErr w:type="gramStart"/>
      <w:r>
        <w:t>were</w:t>
      </w:r>
      <w:proofErr w:type="gramEnd"/>
      <w:r>
        <w:t xml:space="preserve"> a total of 17 exceedances of the AAQ NEPM PM</w:t>
      </w:r>
      <w:r>
        <w:rPr>
          <w:vertAlign w:val="subscript"/>
        </w:rPr>
        <w:t>2.5</w:t>
      </w:r>
      <w:r>
        <w:t xml:space="preserve"> 24-hour standard across Queensland during 2018. All the PM</w:t>
      </w:r>
      <w:r>
        <w:rPr>
          <w:vertAlign w:val="subscript"/>
        </w:rPr>
        <w:t>2.5</w:t>
      </w:r>
      <w:r>
        <w:t xml:space="preserve"> exceedances were directly attributed to an exceptional event (emissions from a bushfire or jurisdiction authorised hazard reduction burning) and were excluded from reporting of compliance with the 24-hour AAQ NEPM goal as required by clause 18 of the </w:t>
      </w:r>
      <w:proofErr w:type="gramStart"/>
      <w:r>
        <w:t>NEPM .</w:t>
      </w:r>
      <w:proofErr w:type="gramEnd"/>
    </w:p>
    <w:p w14:paraId="69DC8421" w14:textId="77777777" w:rsidR="00EB6564" w:rsidRDefault="00EB6564" w:rsidP="00EB6564">
      <w:pPr>
        <w:pStyle w:val="05BODYTEXT"/>
      </w:pPr>
      <w:r>
        <w:t>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the standard for a pollutant is exceeded on no more than a specified number of days in a calendar year (one day per year for all pollutants except PM</w:t>
      </w:r>
      <w:r>
        <w:rPr>
          <w:vertAlign w:val="subscript"/>
        </w:rPr>
        <w:t>10</w:t>
      </w:r>
      <w:r>
        <w:t xml:space="preserve"> and PM</w:t>
      </w:r>
      <w:r>
        <w:rPr>
          <w:vertAlign w:val="subscript"/>
        </w:rPr>
        <w:t>2.5</w:t>
      </w:r>
      <w:r>
        <w:t>), is the result of an exceptional event (PM</w:t>
      </w:r>
      <w:r>
        <w:rPr>
          <w:vertAlign w:val="subscript"/>
        </w:rPr>
        <w:t>10</w:t>
      </w:r>
      <w:r>
        <w:t xml:space="preserve"> and PM</w:t>
      </w:r>
      <w:r>
        <w:rPr>
          <w:vertAlign w:val="subscript"/>
        </w:rPr>
        <w:t>2.5</w:t>
      </w:r>
      <w:r>
        <w:t xml:space="preserve">) and at least 75% of data is captured in each quarter. </w:t>
      </w:r>
    </w:p>
    <w:p w14:paraId="4BC5E1C5" w14:textId="63E674FD" w:rsidR="00EB6564" w:rsidRDefault="00EB6564" w:rsidP="00EB6564">
      <w:pPr>
        <w:pStyle w:val="05BODYTEXT"/>
      </w:pPr>
      <w:r>
        <w:lastRenderedPageBreak/>
        <w:t xml:space="preserve">The data are presented in greater detail in the Queensland 2018 air monitoring report available at </w:t>
      </w:r>
      <w:hyperlink r:id="rId43" w:history="1">
        <w:r w:rsidRPr="00276A45">
          <w:rPr>
            <w:rStyle w:val="Hyperlink"/>
            <w:color w:val="4472C4" w:themeColor="accent1"/>
            <w:u w:val="single"/>
          </w:rPr>
          <w:t>www.qld.gov.au/environment/pollution/monitoring/air-reports</w:t>
        </w:r>
      </w:hyperlink>
    </w:p>
    <w:p w14:paraId="01731F1B" w14:textId="24DC87F5" w:rsidR="00EB6564" w:rsidRDefault="00EB6564" w:rsidP="00EB6564">
      <w:pPr>
        <w:pStyle w:val="05BODYTEXT"/>
        <w:spacing w:after="340"/>
        <w:rPr>
          <w:rStyle w:val="Hyperlink"/>
        </w:rPr>
      </w:pPr>
      <w:r>
        <w:t xml:space="preserve">The monitoring plan for Queensland is available from </w:t>
      </w:r>
      <w:hyperlink r:id="rId44" w:history="1">
        <w:r w:rsidRPr="00276A45">
          <w:rPr>
            <w:rStyle w:val="Hyperlink"/>
            <w:color w:val="4472C4" w:themeColor="accent1"/>
            <w:u w:val="single"/>
          </w:rPr>
          <w:t>www.qld.gov.au/environment/pollution/monitoring/air-reports</w:t>
        </w:r>
      </w:hyperlink>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668"/>
        <w:gridCol w:w="1454"/>
        <w:gridCol w:w="3592"/>
        <w:gridCol w:w="17"/>
      </w:tblGrid>
      <w:tr w:rsidR="00EB6564" w14:paraId="11126D1B" w14:textId="77777777" w:rsidTr="00134EA2">
        <w:trPr>
          <w:trHeight w:val="60"/>
          <w:tblHeader/>
        </w:trPr>
        <w:tc>
          <w:tcPr>
            <w:tcW w:w="1701" w:type="dxa"/>
            <w:gridSpan w:val="2"/>
            <w:vMerge w:val="restart"/>
            <w:tcMar>
              <w:top w:w="85" w:type="dxa"/>
              <w:left w:w="85" w:type="dxa"/>
              <w:bottom w:w="85" w:type="dxa"/>
              <w:right w:w="85" w:type="dxa"/>
            </w:tcMar>
          </w:tcPr>
          <w:p w14:paraId="30AD8699" w14:textId="77777777" w:rsidR="00EB6564" w:rsidRDefault="00EB6564" w:rsidP="00134EA2">
            <w:pPr>
              <w:pStyle w:val="CHEMICALCHEMTABLES"/>
              <w:spacing w:after="0" w:line="240" w:lineRule="auto"/>
            </w:pPr>
            <w:r>
              <w:t>CO</w:t>
            </w:r>
          </w:p>
        </w:tc>
        <w:tc>
          <w:tcPr>
            <w:tcW w:w="5731" w:type="dxa"/>
            <w:gridSpan w:val="4"/>
            <w:tcMar>
              <w:top w:w="85" w:type="dxa"/>
              <w:left w:w="85" w:type="dxa"/>
              <w:bottom w:w="85" w:type="dxa"/>
              <w:right w:w="85" w:type="dxa"/>
            </w:tcMar>
          </w:tcPr>
          <w:p w14:paraId="0C115C66" w14:textId="77777777" w:rsidR="00EB6564" w:rsidRDefault="00EB6564" w:rsidP="00134EA2">
            <w:pPr>
              <w:pStyle w:val="CHEMICALfullnameCHEMTABLES"/>
              <w:spacing w:after="0" w:line="240" w:lineRule="auto"/>
            </w:pPr>
            <w:r>
              <w:t>Carbon monoxide</w:t>
            </w:r>
          </w:p>
        </w:tc>
      </w:tr>
      <w:tr w:rsidR="00EB6564" w14:paraId="5E7AA2A0" w14:textId="77777777" w:rsidTr="00134EA2">
        <w:trPr>
          <w:trHeight w:val="60"/>
          <w:tblHeader/>
        </w:trPr>
        <w:tc>
          <w:tcPr>
            <w:tcW w:w="1701" w:type="dxa"/>
            <w:gridSpan w:val="2"/>
            <w:vMerge/>
          </w:tcPr>
          <w:p w14:paraId="0AF05331" w14:textId="77777777" w:rsidR="00EB6564" w:rsidRDefault="00EB6564" w:rsidP="00134EA2">
            <w:pPr>
              <w:pStyle w:val="NoParagraphStyle"/>
              <w:spacing w:line="240" w:lineRule="auto"/>
              <w:textAlignment w:val="auto"/>
              <w:rPr>
                <w:rFonts w:ascii="Calibri" w:hAnsi="Calibri" w:cs="Calibri"/>
                <w:color w:val="auto"/>
              </w:rPr>
            </w:pPr>
          </w:p>
        </w:tc>
        <w:tc>
          <w:tcPr>
            <w:tcW w:w="5731" w:type="dxa"/>
            <w:gridSpan w:val="4"/>
            <w:tcMar>
              <w:top w:w="85" w:type="dxa"/>
              <w:left w:w="85" w:type="dxa"/>
              <w:bottom w:w="85" w:type="dxa"/>
              <w:right w:w="85" w:type="dxa"/>
            </w:tcMar>
          </w:tcPr>
          <w:p w14:paraId="40B442FC" w14:textId="77777777" w:rsidR="00EB6564" w:rsidRDefault="00EB6564" w:rsidP="00134EA2">
            <w:pPr>
              <w:pStyle w:val="NEPMstandardCHEMTABLES"/>
              <w:spacing w:after="0" w:line="240" w:lineRule="auto"/>
            </w:pPr>
            <w:r>
              <w:t>(NEPM standard 8 hours = 9.0ppm)</w:t>
            </w:r>
          </w:p>
        </w:tc>
      </w:tr>
      <w:tr w:rsidR="00EB6564" w14:paraId="4E2786F3" w14:textId="77777777" w:rsidTr="00134EA2">
        <w:trPr>
          <w:trHeight w:hRule="exact" w:val="113"/>
        </w:trPr>
        <w:tc>
          <w:tcPr>
            <w:tcW w:w="1701" w:type="dxa"/>
            <w:gridSpan w:val="2"/>
            <w:tcMar>
              <w:top w:w="85" w:type="dxa"/>
              <w:left w:w="85" w:type="dxa"/>
              <w:bottom w:w="85" w:type="dxa"/>
              <w:right w:w="85" w:type="dxa"/>
            </w:tcMar>
          </w:tcPr>
          <w:p w14:paraId="21BDAF3D" w14:textId="77777777" w:rsidR="00EB6564" w:rsidRDefault="00EB6564" w:rsidP="00134EA2">
            <w:pPr>
              <w:pStyle w:val="NoParagraphStyle"/>
              <w:spacing w:line="240" w:lineRule="auto"/>
              <w:textAlignment w:val="auto"/>
              <w:rPr>
                <w:rFonts w:ascii="Calibri" w:hAnsi="Calibri" w:cs="Calibri"/>
                <w:color w:val="auto"/>
              </w:rPr>
            </w:pPr>
          </w:p>
        </w:tc>
        <w:tc>
          <w:tcPr>
            <w:tcW w:w="5731" w:type="dxa"/>
            <w:gridSpan w:val="4"/>
            <w:tcMar>
              <w:top w:w="85" w:type="dxa"/>
              <w:left w:w="85" w:type="dxa"/>
              <w:bottom w:w="85" w:type="dxa"/>
              <w:right w:w="85" w:type="dxa"/>
            </w:tcMar>
          </w:tcPr>
          <w:p w14:paraId="04F88C35" w14:textId="77777777" w:rsidR="00EB6564" w:rsidRDefault="00EB6564" w:rsidP="00134EA2">
            <w:pPr>
              <w:pStyle w:val="NoParagraphStyle"/>
              <w:spacing w:line="240" w:lineRule="auto"/>
              <w:textAlignment w:val="auto"/>
              <w:rPr>
                <w:rFonts w:ascii="Calibri" w:hAnsi="Calibri" w:cs="Calibri"/>
                <w:color w:val="auto"/>
              </w:rPr>
            </w:pPr>
          </w:p>
        </w:tc>
      </w:tr>
      <w:tr w:rsidR="00EB6564" w14:paraId="2DB9275D" w14:textId="77777777" w:rsidTr="00134EA2">
        <w:trPr>
          <w:gridBefore w:val="1"/>
          <w:gridAfter w:val="1"/>
          <w:wBefore w:w="8" w:type="dxa"/>
          <w:wAfter w:w="17" w:type="dxa"/>
          <w:trHeight w:val="60"/>
          <w:tblHeader/>
        </w:trPr>
        <w:tc>
          <w:tcPr>
            <w:tcW w:w="2361"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03C039F" w14:textId="77777777" w:rsidR="00EB6564" w:rsidRDefault="00EB6564">
            <w:pPr>
              <w:pStyle w:val="06bTABLEHEADERROW"/>
            </w:pPr>
            <w:r>
              <w:t>Station</w:t>
            </w:r>
          </w:p>
        </w:tc>
        <w:tc>
          <w:tcPr>
            <w:tcW w:w="145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963D815" w14:textId="77777777" w:rsidR="00EB6564" w:rsidRDefault="00EB6564">
            <w:pPr>
              <w:pStyle w:val="06bTABLEHEADERROW"/>
              <w:jc w:val="center"/>
            </w:pPr>
            <w:r>
              <w:t>Number of exceedances</w:t>
            </w:r>
          </w:p>
        </w:tc>
        <w:tc>
          <w:tcPr>
            <w:tcW w:w="3592"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66577FD" w14:textId="77777777" w:rsidR="00EB6564" w:rsidRDefault="00EB6564">
            <w:pPr>
              <w:pStyle w:val="06bTABLEHEADERROW"/>
              <w:jc w:val="center"/>
            </w:pPr>
            <w:r>
              <w:t>NEPM goal compliance</w:t>
            </w:r>
          </w:p>
        </w:tc>
      </w:tr>
      <w:tr w:rsidR="00EB6564" w14:paraId="1A7F623D" w14:textId="77777777" w:rsidTr="00134EA2">
        <w:trPr>
          <w:gridBefore w:val="1"/>
          <w:gridAfter w:val="1"/>
          <w:wBefore w:w="8" w:type="dxa"/>
          <w:wAfter w:w="17" w:type="dxa"/>
          <w:trHeight w:val="60"/>
        </w:trPr>
        <w:tc>
          <w:tcPr>
            <w:tcW w:w="7407" w:type="dxa"/>
            <w:gridSpan w:val="4"/>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327D767" w14:textId="77777777" w:rsidR="00EB6564" w:rsidRDefault="00EB6564">
            <w:pPr>
              <w:pStyle w:val="06cTABLETEXT"/>
            </w:pPr>
            <w:r>
              <w:rPr>
                <w:rStyle w:val="BOLD"/>
              </w:rPr>
              <w:t>South East Queensland</w:t>
            </w:r>
          </w:p>
        </w:tc>
      </w:tr>
      <w:tr w:rsidR="00EB6564" w14:paraId="29F4FF9F" w14:textId="77777777" w:rsidTr="00134EA2">
        <w:trPr>
          <w:gridBefore w:val="1"/>
          <w:gridAfter w:val="1"/>
          <w:wBefore w:w="8" w:type="dxa"/>
          <w:wAfter w:w="17" w:type="dxa"/>
          <w:trHeight w:val="60"/>
        </w:trPr>
        <w:tc>
          <w:tcPr>
            <w:tcW w:w="2361"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3E86D24" w14:textId="77777777" w:rsidR="00EB6564" w:rsidRDefault="00EB6564">
            <w:pPr>
              <w:pStyle w:val="06cTABLETEXT"/>
            </w:pPr>
            <w:r>
              <w:t>Woolloongabba</w:t>
            </w:r>
          </w:p>
        </w:tc>
        <w:tc>
          <w:tcPr>
            <w:tcW w:w="145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6AFD3A6" w14:textId="77777777" w:rsidR="00EB6564" w:rsidRDefault="00EB6564">
            <w:pPr>
              <w:pStyle w:val="06cTABLETEXT"/>
              <w:jc w:val="center"/>
            </w:pPr>
            <w:r>
              <w:t>0</w:t>
            </w:r>
          </w:p>
        </w:tc>
        <w:tc>
          <w:tcPr>
            <w:tcW w:w="359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2574B6A" w14:textId="77777777" w:rsidR="00EB6564" w:rsidRDefault="00EB6564">
            <w:pPr>
              <w:pStyle w:val="06cTABLETEXT"/>
              <w:jc w:val="center"/>
            </w:pPr>
            <w:r>
              <w:t>Met</w:t>
            </w:r>
          </w:p>
        </w:tc>
      </w:tr>
    </w:tbl>
    <w:p w14:paraId="76D32E84" w14:textId="77777777" w:rsidR="00EB6564" w:rsidRDefault="00EB6564" w:rsidP="00EB6564">
      <w:pPr>
        <w:pStyle w:val="05BODYTEXT"/>
      </w:pP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2C03C7F0" w14:textId="77777777" w:rsidTr="00134EA2">
        <w:trPr>
          <w:trHeight w:val="60"/>
          <w:tblHeader/>
        </w:trPr>
        <w:tc>
          <w:tcPr>
            <w:tcW w:w="1701" w:type="dxa"/>
            <w:vMerge w:val="restart"/>
            <w:tcMar>
              <w:top w:w="85" w:type="dxa"/>
              <w:left w:w="85" w:type="dxa"/>
              <w:bottom w:w="85" w:type="dxa"/>
              <w:right w:w="85" w:type="dxa"/>
            </w:tcMar>
          </w:tcPr>
          <w:p w14:paraId="1EAC87E6" w14:textId="77777777" w:rsidR="00EB6564" w:rsidRDefault="00EB6564" w:rsidP="00134EA2">
            <w:pPr>
              <w:pStyle w:val="CHEMICALCHEMTABLES"/>
              <w:spacing w:after="0" w:line="240" w:lineRule="auto"/>
            </w:pPr>
            <w:r>
              <w:t>NO</w:t>
            </w:r>
            <w:r>
              <w:rPr>
                <w:vertAlign w:val="subscript"/>
              </w:rPr>
              <w:t>2</w:t>
            </w:r>
          </w:p>
        </w:tc>
        <w:tc>
          <w:tcPr>
            <w:tcW w:w="5731" w:type="dxa"/>
            <w:tcMar>
              <w:top w:w="85" w:type="dxa"/>
              <w:left w:w="85" w:type="dxa"/>
              <w:bottom w:w="85" w:type="dxa"/>
              <w:right w:w="85" w:type="dxa"/>
            </w:tcMar>
          </w:tcPr>
          <w:p w14:paraId="5BE64577" w14:textId="77777777" w:rsidR="00EB6564" w:rsidRDefault="00EB6564" w:rsidP="00134EA2">
            <w:pPr>
              <w:pStyle w:val="CHEMICALfullnameCHEMTABLES"/>
              <w:spacing w:after="0" w:line="240" w:lineRule="auto"/>
            </w:pPr>
            <w:r>
              <w:t>Nitrogen dioxide</w:t>
            </w:r>
          </w:p>
        </w:tc>
      </w:tr>
      <w:tr w:rsidR="00EB6564" w14:paraId="2170F13F" w14:textId="77777777" w:rsidTr="00134EA2">
        <w:trPr>
          <w:trHeight w:val="60"/>
          <w:tblHeader/>
        </w:trPr>
        <w:tc>
          <w:tcPr>
            <w:tcW w:w="1701" w:type="dxa"/>
            <w:vMerge/>
          </w:tcPr>
          <w:p w14:paraId="281A16A2"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0BE31388" w14:textId="77777777" w:rsidR="00EB6564" w:rsidRDefault="00EB6564" w:rsidP="00134EA2">
            <w:pPr>
              <w:pStyle w:val="NEPMstandardCHEMTABLES"/>
              <w:spacing w:after="0" w:line="240" w:lineRule="auto"/>
            </w:pPr>
            <w:r>
              <w:t>(NEPM standard: 1 hour = 0.12ppm, 1 year = 0.03ppm)</w:t>
            </w:r>
          </w:p>
        </w:tc>
      </w:tr>
      <w:tr w:rsidR="00EB6564" w14:paraId="211C3A39" w14:textId="77777777" w:rsidTr="00134EA2">
        <w:trPr>
          <w:trHeight w:hRule="exact" w:val="113"/>
        </w:trPr>
        <w:tc>
          <w:tcPr>
            <w:tcW w:w="1701" w:type="dxa"/>
            <w:tcMar>
              <w:top w:w="85" w:type="dxa"/>
              <w:left w:w="85" w:type="dxa"/>
              <w:bottom w:w="85" w:type="dxa"/>
              <w:right w:w="85" w:type="dxa"/>
            </w:tcMar>
          </w:tcPr>
          <w:p w14:paraId="04E3B124"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2E0F6ED9" w14:textId="77777777" w:rsidR="00EB6564" w:rsidRDefault="00EB6564" w:rsidP="00134EA2">
            <w:pPr>
              <w:pStyle w:val="NoParagraphStyle"/>
              <w:spacing w:line="240" w:lineRule="auto"/>
              <w:textAlignment w:val="auto"/>
              <w:rPr>
                <w:rFonts w:ascii="Calibri" w:hAnsi="Calibri" w:cs="Calibri"/>
                <w:color w:val="auto"/>
              </w:rPr>
            </w:pPr>
          </w:p>
        </w:tc>
      </w:tr>
    </w:tbl>
    <w:p w14:paraId="52F269CF"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1481"/>
        <w:gridCol w:w="1482"/>
        <w:gridCol w:w="1481"/>
        <w:gridCol w:w="1481"/>
        <w:gridCol w:w="1482"/>
      </w:tblGrid>
      <w:tr w:rsidR="00EB6564" w14:paraId="36AA666B" w14:textId="77777777">
        <w:trPr>
          <w:trHeight w:val="60"/>
          <w:tblHeader/>
        </w:trPr>
        <w:tc>
          <w:tcPr>
            <w:tcW w:w="1481"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8D20084" w14:textId="77777777" w:rsidR="00EB6564" w:rsidRDefault="00EB6564">
            <w:pPr>
              <w:pStyle w:val="06bTABLEHEADERROW"/>
            </w:pPr>
            <w:r>
              <w:t>Station</w:t>
            </w:r>
          </w:p>
        </w:tc>
        <w:tc>
          <w:tcPr>
            <w:tcW w:w="2963"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B6AAB61" w14:textId="77777777" w:rsidR="00EB6564" w:rsidRDefault="00EB6564">
            <w:pPr>
              <w:pStyle w:val="06bTABLEHEADERROW"/>
              <w:jc w:val="center"/>
            </w:pPr>
            <w:r>
              <w:t>1 hour</w:t>
            </w:r>
          </w:p>
        </w:tc>
        <w:tc>
          <w:tcPr>
            <w:tcW w:w="2963"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63DA9DC" w14:textId="77777777" w:rsidR="00EB6564" w:rsidRDefault="00EB6564">
            <w:pPr>
              <w:pStyle w:val="06bTABLEHEADERROW"/>
              <w:jc w:val="center"/>
            </w:pPr>
            <w:r>
              <w:t>1 year</w:t>
            </w:r>
          </w:p>
        </w:tc>
      </w:tr>
      <w:tr w:rsidR="00EB6564" w14:paraId="3633766E" w14:textId="77777777" w:rsidTr="008B4D97">
        <w:trPr>
          <w:trHeight w:val="60"/>
          <w:tblHeader/>
        </w:trPr>
        <w:tc>
          <w:tcPr>
            <w:tcW w:w="1481" w:type="dxa"/>
            <w:vMerge/>
            <w:tcBorders>
              <w:top w:val="single" w:sz="8" w:space="0" w:color="FFFFFF"/>
              <w:left w:val="single" w:sz="4" w:space="0" w:color="FFFFFF"/>
              <w:bottom w:val="single" w:sz="4" w:space="0" w:color="FFFFFF"/>
              <w:right w:val="single" w:sz="4" w:space="0" w:color="FFFFFF"/>
            </w:tcBorders>
          </w:tcPr>
          <w:p w14:paraId="4227D656" w14:textId="77777777" w:rsidR="00EB6564" w:rsidRDefault="00EB6564">
            <w:pPr>
              <w:pStyle w:val="NoParagraphStyle"/>
              <w:spacing w:line="240" w:lineRule="auto"/>
              <w:textAlignment w:val="auto"/>
              <w:rPr>
                <w:rFonts w:ascii="Calibri" w:hAnsi="Calibri" w:cs="Calibri"/>
                <w:color w:val="auto"/>
              </w:rPr>
            </w:pPr>
          </w:p>
        </w:tc>
        <w:tc>
          <w:tcPr>
            <w:tcW w:w="1482"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D567551" w14:textId="77777777" w:rsidR="00EB6564" w:rsidRDefault="00EB6564">
            <w:pPr>
              <w:pStyle w:val="06bTABLEHEADERROW"/>
              <w:jc w:val="center"/>
            </w:pPr>
            <w:r>
              <w:t>Number of exceedances</w:t>
            </w:r>
          </w:p>
        </w:tc>
        <w:tc>
          <w:tcPr>
            <w:tcW w:w="1481"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8DF5042" w14:textId="77777777" w:rsidR="00EB6564" w:rsidRDefault="00EB6564">
            <w:pPr>
              <w:pStyle w:val="06bTABLEHEADERROW"/>
              <w:jc w:val="center"/>
            </w:pPr>
            <w:r>
              <w:t>NEPM goal compliance</w:t>
            </w:r>
          </w:p>
        </w:tc>
        <w:tc>
          <w:tcPr>
            <w:tcW w:w="1481"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A16D7C8" w14:textId="77777777" w:rsidR="00EB6564" w:rsidRDefault="00EB6564">
            <w:pPr>
              <w:pStyle w:val="06bTABLEHEADERROW"/>
              <w:jc w:val="center"/>
            </w:pPr>
            <w:r>
              <w:t>Annual average (ppm)</w:t>
            </w:r>
          </w:p>
        </w:tc>
        <w:tc>
          <w:tcPr>
            <w:tcW w:w="1482"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1960EB66" w14:textId="77777777" w:rsidR="00EB6564" w:rsidRDefault="00EB6564">
            <w:pPr>
              <w:pStyle w:val="06bTABLEHEADERROW"/>
              <w:jc w:val="center"/>
            </w:pPr>
            <w:r>
              <w:t>NEPM goal compliance</w:t>
            </w:r>
          </w:p>
        </w:tc>
      </w:tr>
      <w:tr w:rsidR="00EB6564" w14:paraId="65F15167" w14:textId="77777777" w:rsidTr="008B4D97">
        <w:trPr>
          <w:trHeight w:val="60"/>
        </w:trPr>
        <w:tc>
          <w:tcPr>
            <w:tcW w:w="740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6F5333A6" w14:textId="77777777" w:rsidR="00EB6564" w:rsidRDefault="00EB6564">
            <w:pPr>
              <w:pStyle w:val="06cTABLETEXT"/>
            </w:pPr>
            <w:r>
              <w:rPr>
                <w:rStyle w:val="BOLD"/>
              </w:rPr>
              <w:t>South East Queensland</w:t>
            </w:r>
          </w:p>
        </w:tc>
      </w:tr>
      <w:tr w:rsidR="00EB6564" w14:paraId="54B8F6C8" w14:textId="77777777" w:rsidTr="008B4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5CCBE0C" w14:textId="77777777" w:rsidR="00EB6564" w:rsidRDefault="00EB6564">
            <w:pPr>
              <w:pStyle w:val="06cTABLETEXT"/>
            </w:pPr>
            <w:r>
              <w:t>Mountain Creek</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A3C633"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7F7657A"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FCAFB8" w14:textId="77777777" w:rsidR="00EB6564" w:rsidRDefault="00EB6564">
            <w:pPr>
              <w:pStyle w:val="06cTABLETEXT"/>
              <w:jc w:val="center"/>
            </w:pPr>
            <w:r>
              <w:t>0.004</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0EDFABD" w14:textId="77777777" w:rsidR="00EB6564" w:rsidRDefault="00EB6564">
            <w:pPr>
              <w:pStyle w:val="06cTABLETEXT"/>
              <w:jc w:val="center"/>
            </w:pPr>
            <w:r>
              <w:t>Met</w:t>
            </w:r>
          </w:p>
        </w:tc>
      </w:tr>
      <w:tr w:rsidR="00EB6564" w14:paraId="621BDC99" w14:textId="77777777" w:rsidTr="008B4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6E0337E" w14:textId="77777777" w:rsidR="00EB6564" w:rsidRDefault="00EB6564">
            <w:pPr>
              <w:pStyle w:val="06cTABLETEXT"/>
            </w:pPr>
            <w:r>
              <w:t>Deception Bay</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22444A2"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469EF36"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F0AEE45" w14:textId="77777777" w:rsidR="00EB6564" w:rsidRDefault="00EB6564">
            <w:pPr>
              <w:pStyle w:val="06cTABLETEXT"/>
              <w:jc w:val="center"/>
            </w:pPr>
            <w:r>
              <w:t>0.005</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1638617" w14:textId="77777777" w:rsidR="00EB6564" w:rsidRDefault="00EB6564">
            <w:pPr>
              <w:pStyle w:val="06cTABLETEXT"/>
              <w:jc w:val="center"/>
            </w:pPr>
            <w:r>
              <w:t>Met</w:t>
            </w:r>
          </w:p>
        </w:tc>
      </w:tr>
      <w:tr w:rsidR="00EB6564" w14:paraId="5CED5193" w14:textId="77777777" w:rsidTr="008B4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1EAB4EB" w14:textId="77777777" w:rsidR="00EB6564" w:rsidRDefault="00EB6564">
            <w:pPr>
              <w:pStyle w:val="06cTABLETEXT"/>
            </w:pPr>
            <w:r>
              <w:t>Rocklea</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42B90CA"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5E3AB3"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7FEAA0A" w14:textId="77777777" w:rsidR="00EB6564" w:rsidRDefault="00EB6564">
            <w:pPr>
              <w:pStyle w:val="06cTABLETEXT"/>
              <w:jc w:val="center"/>
            </w:pPr>
            <w:r>
              <w:t>0.007</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FCE0046" w14:textId="77777777" w:rsidR="00EB6564" w:rsidRDefault="00EB6564">
            <w:pPr>
              <w:pStyle w:val="06cTABLETEXT"/>
              <w:jc w:val="center"/>
            </w:pPr>
            <w:r>
              <w:t>Met</w:t>
            </w:r>
          </w:p>
        </w:tc>
      </w:tr>
      <w:tr w:rsidR="00EB6564" w14:paraId="5E98923E" w14:textId="77777777" w:rsidTr="008B4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75F4D92" w14:textId="77777777" w:rsidR="00EB6564" w:rsidRDefault="00EB6564">
            <w:pPr>
              <w:pStyle w:val="06cTABLETEXT"/>
            </w:pPr>
            <w:r>
              <w:t>Springwood</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E2F935C"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235088A"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79560FD" w14:textId="77777777" w:rsidR="00EB6564" w:rsidRDefault="00EB6564">
            <w:pPr>
              <w:pStyle w:val="06cTABLETEXT"/>
              <w:jc w:val="center"/>
            </w:pPr>
            <w:r>
              <w:t>0.006</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8B68EFF" w14:textId="77777777" w:rsidR="00EB6564" w:rsidRDefault="00EB6564">
            <w:pPr>
              <w:pStyle w:val="06cTABLETEXT"/>
              <w:jc w:val="center"/>
            </w:pPr>
            <w:r>
              <w:t>Met</w:t>
            </w:r>
          </w:p>
        </w:tc>
      </w:tr>
      <w:tr w:rsidR="00EB6564" w14:paraId="557DC075" w14:textId="77777777" w:rsidTr="008B4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E2F4AEA" w14:textId="77777777" w:rsidR="00EB6564" w:rsidRDefault="00EB6564">
            <w:pPr>
              <w:pStyle w:val="06cTABLETEXT"/>
            </w:pPr>
            <w:r>
              <w:t>Southport</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759A630"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549353C" w14:textId="77777777" w:rsidR="00EB6564" w:rsidRDefault="00EB6564">
            <w:pPr>
              <w:pStyle w:val="06cTABLETEXT"/>
              <w:jc w:val="center"/>
            </w:pPr>
            <w:r>
              <w:t>ND*</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48C28AC" w14:textId="77777777" w:rsidR="00EB6564" w:rsidRDefault="00EB6564">
            <w:pPr>
              <w:pStyle w:val="06cTABLETEXT"/>
              <w:jc w:val="center"/>
            </w:pPr>
            <w:r>
              <w:t>0.005</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0011B36" w14:textId="77777777" w:rsidR="00EB6564" w:rsidRDefault="00EB6564">
            <w:pPr>
              <w:pStyle w:val="06cTABLETEXT"/>
              <w:jc w:val="center"/>
            </w:pPr>
            <w:r>
              <w:t>ND*</w:t>
            </w:r>
          </w:p>
        </w:tc>
      </w:tr>
      <w:tr w:rsidR="00EB6564" w14:paraId="6A42E3AB" w14:textId="77777777" w:rsidTr="008B4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44D1A2D" w14:textId="77777777" w:rsidR="00EB6564" w:rsidRDefault="00EB6564">
            <w:pPr>
              <w:pStyle w:val="06cTABLETEXT"/>
            </w:pPr>
            <w:r>
              <w:t>Flinders View</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CF209BD"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C6C65E2"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58D8138" w14:textId="77777777" w:rsidR="00EB6564" w:rsidRDefault="00EB6564">
            <w:pPr>
              <w:pStyle w:val="06cTABLETEXT"/>
              <w:jc w:val="center"/>
            </w:pPr>
            <w:r>
              <w:t>0.008</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A30D52" w14:textId="77777777" w:rsidR="00EB6564" w:rsidRDefault="00EB6564">
            <w:pPr>
              <w:pStyle w:val="06cTABLETEXT"/>
              <w:jc w:val="center"/>
            </w:pPr>
            <w:r>
              <w:t>Met</w:t>
            </w:r>
          </w:p>
        </w:tc>
      </w:tr>
      <w:tr w:rsidR="00EB6564" w14:paraId="60308601" w14:textId="77777777" w:rsidTr="008B4D97">
        <w:trPr>
          <w:trHeight w:val="60"/>
        </w:trPr>
        <w:tc>
          <w:tcPr>
            <w:tcW w:w="740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23251201" w14:textId="77777777" w:rsidR="00EB6564" w:rsidRDefault="00EB6564">
            <w:pPr>
              <w:pStyle w:val="06cTABLETEXT"/>
            </w:pPr>
            <w:r>
              <w:rPr>
                <w:rStyle w:val="BOLD"/>
              </w:rPr>
              <w:t>Gladstone</w:t>
            </w:r>
          </w:p>
        </w:tc>
      </w:tr>
      <w:tr w:rsidR="00EB6564" w14:paraId="5154BED3" w14:textId="77777777" w:rsidTr="008B4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091C5CE" w14:textId="77777777" w:rsidR="00EB6564" w:rsidRDefault="00EB6564">
            <w:pPr>
              <w:pStyle w:val="06cTABLETEXT"/>
            </w:pPr>
            <w:r>
              <w:t>South Gladstone</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35E49D3"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3430343"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CE0F27C" w14:textId="77777777" w:rsidR="00EB6564" w:rsidRDefault="00EB6564">
            <w:pPr>
              <w:pStyle w:val="06cTABLETEXT"/>
              <w:jc w:val="center"/>
            </w:pPr>
            <w:r>
              <w:t>0.005</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CC37462" w14:textId="77777777" w:rsidR="00EB6564" w:rsidRDefault="00EB6564">
            <w:pPr>
              <w:pStyle w:val="06cTABLETEXT"/>
              <w:jc w:val="center"/>
            </w:pPr>
            <w:r>
              <w:t>Met</w:t>
            </w:r>
          </w:p>
        </w:tc>
      </w:tr>
      <w:tr w:rsidR="00EB6564" w14:paraId="1C86EC1E" w14:textId="77777777" w:rsidTr="008B4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B297BB8" w14:textId="77777777" w:rsidR="00EB6564" w:rsidRDefault="00EB6564">
            <w:pPr>
              <w:pStyle w:val="06cTABLETEXT"/>
            </w:pPr>
            <w:r>
              <w:t>Townsville</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17C1E3B" w14:textId="77777777" w:rsidR="00EB6564" w:rsidRDefault="00EB6564">
            <w:pPr>
              <w:pStyle w:val="NoParagraphStyle"/>
              <w:spacing w:line="240" w:lineRule="auto"/>
              <w:textAlignment w:val="auto"/>
              <w:rPr>
                <w:rFonts w:ascii="Calibri" w:hAnsi="Calibri" w:cs="Calibri"/>
                <w:color w:val="auto"/>
              </w:rPr>
            </w:pP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1A095D9" w14:textId="77777777" w:rsidR="00EB6564" w:rsidRDefault="00EB6564">
            <w:pPr>
              <w:pStyle w:val="NoParagraphStyle"/>
              <w:spacing w:line="240" w:lineRule="auto"/>
              <w:textAlignment w:val="auto"/>
              <w:rPr>
                <w:rFonts w:ascii="Calibri" w:hAnsi="Calibri" w:cs="Calibri"/>
                <w:color w:val="auto"/>
              </w:rPr>
            </w:pP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8A18C90" w14:textId="77777777" w:rsidR="00EB6564" w:rsidRDefault="00EB6564">
            <w:pPr>
              <w:pStyle w:val="NoParagraphStyle"/>
              <w:spacing w:line="240" w:lineRule="auto"/>
              <w:textAlignment w:val="auto"/>
              <w:rPr>
                <w:rFonts w:ascii="Calibri" w:hAnsi="Calibri" w:cs="Calibri"/>
                <w:color w:val="auto"/>
              </w:rPr>
            </w:pP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89A24EA" w14:textId="77777777" w:rsidR="00EB6564" w:rsidRDefault="00EB6564">
            <w:pPr>
              <w:pStyle w:val="NoParagraphStyle"/>
              <w:spacing w:line="240" w:lineRule="auto"/>
              <w:textAlignment w:val="auto"/>
              <w:rPr>
                <w:rFonts w:ascii="Calibri" w:hAnsi="Calibri" w:cs="Calibri"/>
                <w:color w:val="auto"/>
              </w:rPr>
            </w:pPr>
          </w:p>
        </w:tc>
      </w:tr>
      <w:tr w:rsidR="00EB6564" w14:paraId="47D7E506" w14:textId="77777777" w:rsidTr="008B4D97">
        <w:trPr>
          <w:trHeight w:val="60"/>
        </w:trPr>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F1CFCD5" w14:textId="77777777" w:rsidR="00EB6564" w:rsidRDefault="00EB6564">
            <w:pPr>
              <w:pStyle w:val="06cTABLETEXT"/>
            </w:pPr>
            <w:r>
              <w:t>North Ward</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1C7197"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C3E6B38" w14:textId="77777777" w:rsidR="00EB6564" w:rsidRDefault="00EB6564">
            <w:pPr>
              <w:pStyle w:val="06cTABLETEXT"/>
              <w:jc w:val="center"/>
            </w:pPr>
            <w:r>
              <w:t>ND†</w:t>
            </w:r>
          </w:p>
        </w:tc>
        <w:tc>
          <w:tcPr>
            <w:tcW w:w="14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1A43A7A" w14:textId="77777777" w:rsidR="00EB6564" w:rsidRDefault="00EB6564">
            <w:pPr>
              <w:pStyle w:val="06cTABLETEXT"/>
              <w:jc w:val="center"/>
            </w:pPr>
            <w:r>
              <w:t>0.002</w:t>
            </w:r>
          </w:p>
        </w:tc>
        <w:tc>
          <w:tcPr>
            <w:tcW w:w="148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464532D" w14:textId="77777777" w:rsidR="00EB6564" w:rsidRDefault="00EB6564">
            <w:pPr>
              <w:pStyle w:val="06cTABLETEXT"/>
              <w:jc w:val="center"/>
            </w:pPr>
            <w:r>
              <w:t>ND†</w:t>
            </w:r>
          </w:p>
        </w:tc>
      </w:tr>
    </w:tbl>
    <w:p w14:paraId="2416FC59" w14:textId="77777777" w:rsidR="00EB6564" w:rsidRDefault="00EB6564" w:rsidP="008B4D97">
      <w:pPr>
        <w:pStyle w:val="07FOOTNOTES"/>
        <w:spacing w:after="0"/>
      </w:pPr>
      <w:r>
        <w:t>ND = Not demonstrated.</w:t>
      </w:r>
    </w:p>
    <w:p w14:paraId="20DBADF0" w14:textId="77777777" w:rsidR="00EB6564" w:rsidRDefault="00EB6564" w:rsidP="008B4D97">
      <w:pPr>
        <w:pStyle w:val="07FOOTNOTES"/>
        <w:spacing w:after="0"/>
      </w:pPr>
      <w:r>
        <w:t>*</w:t>
      </w:r>
      <w:r>
        <w:tab/>
        <w:t>Not demonstrated due to insufficient data (</w:t>
      </w:r>
      <w:proofErr w:type="gramStart"/>
      <w:r>
        <w:t>i.e.</w:t>
      </w:r>
      <w:proofErr w:type="gramEnd"/>
      <w:r>
        <w:t xml:space="preserve"> less than 75 per cent) in one or more quarters due to monitoring not commencing until 23 February 2018.</w:t>
      </w:r>
    </w:p>
    <w:p w14:paraId="26AC8E3B" w14:textId="77777777" w:rsidR="00EB6564" w:rsidRDefault="00EB6564" w:rsidP="00EB6564">
      <w:pPr>
        <w:pStyle w:val="07FOOTNOTES"/>
      </w:pPr>
      <w:r>
        <w:t xml:space="preserve">† </w:t>
      </w:r>
      <w:r>
        <w:tab/>
        <w:t>Not demonstrated due to insufficient data (</w:t>
      </w:r>
      <w:proofErr w:type="gramStart"/>
      <w:r>
        <w:t>i.e.</w:t>
      </w:r>
      <w:proofErr w:type="gramEnd"/>
      <w:r>
        <w:t xml:space="preserve"> less than 75 per cent) in one or more quarters due to extended monitoring equipment outages.</w:t>
      </w:r>
    </w:p>
    <w:p w14:paraId="44D93032" w14:textId="77777777" w:rsidR="00EB6564" w:rsidRDefault="00EB6564" w:rsidP="00EB6564">
      <w:pPr>
        <w:pStyle w:val="07FOOTNOTES"/>
      </w:pP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7CFBD183" w14:textId="77777777" w:rsidTr="00134EA2">
        <w:trPr>
          <w:trHeight w:val="60"/>
          <w:tblHeader/>
        </w:trPr>
        <w:tc>
          <w:tcPr>
            <w:tcW w:w="1701" w:type="dxa"/>
            <w:vMerge w:val="restart"/>
            <w:tcMar>
              <w:top w:w="85" w:type="dxa"/>
              <w:left w:w="85" w:type="dxa"/>
              <w:bottom w:w="85" w:type="dxa"/>
              <w:right w:w="85" w:type="dxa"/>
            </w:tcMar>
          </w:tcPr>
          <w:p w14:paraId="5B1AC1EF" w14:textId="77777777" w:rsidR="00EB6564" w:rsidRDefault="00EB6564" w:rsidP="00134EA2">
            <w:pPr>
              <w:pStyle w:val="CHEMICALCHEMTABLES"/>
              <w:keepNext/>
              <w:spacing w:after="0" w:line="240" w:lineRule="auto"/>
            </w:pPr>
            <w:r>
              <w:lastRenderedPageBreak/>
              <w:t>O</w:t>
            </w:r>
            <w:r>
              <w:rPr>
                <w:vertAlign w:val="subscript"/>
              </w:rPr>
              <w:t>3</w:t>
            </w:r>
          </w:p>
        </w:tc>
        <w:tc>
          <w:tcPr>
            <w:tcW w:w="5731" w:type="dxa"/>
            <w:tcMar>
              <w:top w:w="85" w:type="dxa"/>
              <w:left w:w="85" w:type="dxa"/>
              <w:bottom w:w="85" w:type="dxa"/>
              <w:right w:w="85" w:type="dxa"/>
            </w:tcMar>
          </w:tcPr>
          <w:p w14:paraId="2C8ECA83" w14:textId="77777777" w:rsidR="00EB6564" w:rsidRDefault="00EB6564" w:rsidP="00134EA2">
            <w:pPr>
              <w:pStyle w:val="CHEMICALfullnameCHEMTABLES"/>
              <w:keepNext/>
              <w:spacing w:after="0" w:line="240" w:lineRule="auto"/>
            </w:pPr>
            <w:r>
              <w:t>Ozone</w:t>
            </w:r>
          </w:p>
        </w:tc>
      </w:tr>
      <w:tr w:rsidR="00EB6564" w14:paraId="295D8E62" w14:textId="77777777" w:rsidTr="00134EA2">
        <w:trPr>
          <w:trHeight w:val="60"/>
          <w:tblHeader/>
        </w:trPr>
        <w:tc>
          <w:tcPr>
            <w:tcW w:w="1701" w:type="dxa"/>
            <w:vMerge/>
          </w:tcPr>
          <w:p w14:paraId="63A18B32"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4765D9B3" w14:textId="77777777" w:rsidR="00EB6564" w:rsidRDefault="00EB6564" w:rsidP="00134EA2">
            <w:pPr>
              <w:pStyle w:val="05BODYTEXT"/>
              <w:keepNext/>
              <w:spacing w:after="0" w:line="240" w:lineRule="auto"/>
            </w:pPr>
            <w:r>
              <w:t>(NEPM standard: 1 hour = 0.10ppm, 4 hours = 0.08ppm)</w:t>
            </w:r>
          </w:p>
        </w:tc>
      </w:tr>
      <w:tr w:rsidR="00EB6564" w14:paraId="4B3886CC" w14:textId="77777777" w:rsidTr="00134EA2">
        <w:trPr>
          <w:trHeight w:hRule="exact" w:val="113"/>
        </w:trPr>
        <w:tc>
          <w:tcPr>
            <w:tcW w:w="1701" w:type="dxa"/>
            <w:tcMar>
              <w:top w:w="85" w:type="dxa"/>
              <w:left w:w="85" w:type="dxa"/>
              <w:bottom w:w="85" w:type="dxa"/>
              <w:right w:w="85" w:type="dxa"/>
            </w:tcMar>
          </w:tcPr>
          <w:p w14:paraId="052BFDBA"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03B17DEC" w14:textId="77777777" w:rsidR="00EB6564" w:rsidRDefault="00EB6564" w:rsidP="00134EA2">
            <w:pPr>
              <w:pStyle w:val="NoParagraphStyle"/>
              <w:keepNext/>
              <w:spacing w:line="240" w:lineRule="auto"/>
              <w:textAlignment w:val="auto"/>
              <w:rPr>
                <w:rFonts w:ascii="Calibri" w:hAnsi="Calibri" w:cs="Calibri"/>
                <w:color w:val="auto"/>
              </w:rPr>
            </w:pPr>
          </w:p>
        </w:tc>
      </w:tr>
    </w:tbl>
    <w:p w14:paraId="52982590" w14:textId="77777777" w:rsidR="00EB6564" w:rsidRDefault="00EB6564" w:rsidP="008B4D97">
      <w:pPr>
        <w:pStyle w:val="05BODYTEXT"/>
        <w:keepN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1483"/>
        <w:gridCol w:w="1484"/>
        <w:gridCol w:w="1483"/>
        <w:gridCol w:w="1483"/>
        <w:gridCol w:w="1484"/>
      </w:tblGrid>
      <w:tr w:rsidR="00EB6564" w14:paraId="4434A947" w14:textId="77777777">
        <w:trPr>
          <w:trHeight w:val="6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1E5DCE8" w14:textId="77777777" w:rsidR="00EB6564" w:rsidRDefault="00EB6564" w:rsidP="008B4D97">
            <w:pPr>
              <w:pStyle w:val="06bTABLEHEADERROW"/>
              <w:spacing w:line="240" w:lineRule="auto"/>
            </w:pPr>
            <w:r>
              <w:t>Station</w:t>
            </w:r>
          </w:p>
        </w:tc>
        <w:tc>
          <w:tcPr>
            <w:tcW w:w="2967"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A5870B8" w14:textId="77777777" w:rsidR="00EB6564" w:rsidRDefault="00EB6564" w:rsidP="008B4D97">
            <w:pPr>
              <w:pStyle w:val="06bTABLEHEADERROW"/>
              <w:spacing w:line="240" w:lineRule="auto"/>
              <w:jc w:val="center"/>
            </w:pPr>
            <w:r>
              <w:t>1 hour</w:t>
            </w:r>
          </w:p>
        </w:tc>
        <w:tc>
          <w:tcPr>
            <w:tcW w:w="2967"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DE924C7" w14:textId="77777777" w:rsidR="00EB6564" w:rsidRDefault="00EB6564" w:rsidP="008B4D97">
            <w:pPr>
              <w:pStyle w:val="06bTABLEHEADERROW"/>
              <w:spacing w:line="240" w:lineRule="auto"/>
              <w:jc w:val="center"/>
            </w:pPr>
            <w:r>
              <w:t xml:space="preserve">4 </w:t>
            </w:r>
            <w:proofErr w:type="gramStart"/>
            <w:r>
              <w:t>hour</w:t>
            </w:r>
            <w:proofErr w:type="gramEnd"/>
          </w:p>
        </w:tc>
      </w:tr>
      <w:tr w:rsidR="00EB6564" w14:paraId="654CE658" w14:textId="77777777" w:rsidTr="00134EA2">
        <w:trPr>
          <w:trHeight w:val="60"/>
          <w:tblHeader/>
        </w:trPr>
        <w:tc>
          <w:tcPr>
            <w:tcW w:w="1483" w:type="dxa"/>
            <w:vMerge/>
            <w:tcBorders>
              <w:top w:val="single" w:sz="8" w:space="0" w:color="FFFFFF"/>
              <w:left w:val="single" w:sz="4" w:space="0" w:color="FFFFFF"/>
              <w:bottom w:val="single" w:sz="4" w:space="0" w:color="FFFFFF"/>
              <w:right w:val="single" w:sz="4" w:space="0" w:color="FFFFFF"/>
            </w:tcBorders>
          </w:tcPr>
          <w:p w14:paraId="334EF178" w14:textId="77777777" w:rsidR="00EB6564" w:rsidRDefault="00EB6564" w:rsidP="008B4D97">
            <w:pPr>
              <w:pStyle w:val="NoParagraphStyle"/>
              <w:keepNext/>
              <w:spacing w:line="240" w:lineRule="auto"/>
              <w:textAlignment w:val="auto"/>
              <w:rPr>
                <w:rFonts w:ascii="Calibri" w:hAnsi="Calibri" w:cs="Calibri"/>
                <w:color w:val="auto"/>
              </w:rPr>
            </w:pPr>
          </w:p>
        </w:tc>
        <w:tc>
          <w:tcPr>
            <w:tcW w:w="1484" w:type="dxa"/>
            <w:tcBorders>
              <w:top w:val="single" w:sz="8"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69258EA" w14:textId="77777777" w:rsidR="00EB6564" w:rsidRDefault="00EB6564" w:rsidP="008B4D97">
            <w:pPr>
              <w:pStyle w:val="06bTABLEHEADERROW"/>
              <w:spacing w:line="240" w:lineRule="auto"/>
              <w:jc w:val="center"/>
            </w:pPr>
            <w:r>
              <w:t>Number of exceedances</w:t>
            </w:r>
          </w:p>
        </w:tc>
        <w:tc>
          <w:tcPr>
            <w:tcW w:w="1483" w:type="dxa"/>
            <w:tcBorders>
              <w:top w:val="single" w:sz="8"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769FE6B" w14:textId="77777777" w:rsidR="00EB6564" w:rsidRDefault="00EB6564" w:rsidP="008B4D97">
            <w:pPr>
              <w:pStyle w:val="06bTABLEHEADERROW"/>
              <w:spacing w:line="240" w:lineRule="auto"/>
              <w:jc w:val="center"/>
            </w:pPr>
            <w:r>
              <w:t>NEPM goal compliance</w:t>
            </w:r>
          </w:p>
        </w:tc>
        <w:tc>
          <w:tcPr>
            <w:tcW w:w="1483" w:type="dxa"/>
            <w:tcBorders>
              <w:top w:val="single" w:sz="8"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85240FC" w14:textId="77777777" w:rsidR="00EB6564" w:rsidRDefault="00EB6564" w:rsidP="008B4D97">
            <w:pPr>
              <w:pStyle w:val="06bTABLEHEADERROW"/>
              <w:spacing w:line="240" w:lineRule="auto"/>
              <w:jc w:val="center"/>
            </w:pPr>
            <w:r>
              <w:t>Number of exceedances</w:t>
            </w:r>
          </w:p>
        </w:tc>
        <w:tc>
          <w:tcPr>
            <w:tcW w:w="1484" w:type="dxa"/>
            <w:tcBorders>
              <w:top w:val="single" w:sz="8"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693F5E3" w14:textId="77777777" w:rsidR="00EB6564" w:rsidRDefault="00EB6564" w:rsidP="008B4D97">
            <w:pPr>
              <w:pStyle w:val="06bTABLEHEADERROW"/>
              <w:spacing w:line="240" w:lineRule="auto"/>
              <w:jc w:val="center"/>
            </w:pPr>
            <w:r>
              <w:t>NEPM goal compliance</w:t>
            </w:r>
          </w:p>
        </w:tc>
      </w:tr>
      <w:tr w:rsidR="00EB6564" w14:paraId="3F1958D7" w14:textId="77777777" w:rsidTr="00134EA2">
        <w:trPr>
          <w:trHeight w:val="60"/>
        </w:trPr>
        <w:tc>
          <w:tcPr>
            <w:tcW w:w="741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522DB8DA" w14:textId="77777777" w:rsidR="00EB6564" w:rsidRDefault="00EB6564" w:rsidP="008B4D97">
            <w:pPr>
              <w:pStyle w:val="06cTABLETEXT"/>
              <w:keepNext/>
              <w:spacing w:line="240" w:lineRule="auto"/>
            </w:pPr>
            <w:r>
              <w:rPr>
                <w:rStyle w:val="BOLD"/>
              </w:rPr>
              <w:t>South East Queensland</w:t>
            </w:r>
          </w:p>
        </w:tc>
      </w:tr>
      <w:tr w:rsidR="00EB6564" w14:paraId="0607657B" w14:textId="77777777" w:rsidTr="00134EA2">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71FB2F" w14:textId="77777777" w:rsidR="00EB6564" w:rsidRDefault="00EB6564" w:rsidP="008B4D97">
            <w:pPr>
              <w:pStyle w:val="06cTABLETEXT"/>
              <w:keepNext/>
              <w:spacing w:line="240" w:lineRule="auto"/>
            </w:pPr>
            <w:r>
              <w:t>Mountain Creek</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1BE1411" w14:textId="77777777" w:rsidR="00EB6564" w:rsidRDefault="00EB6564" w:rsidP="008B4D97">
            <w:pPr>
              <w:pStyle w:val="06cTABLETEXT"/>
              <w:keepNext/>
              <w:spacing w:line="240" w:lineRule="auto"/>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414896C" w14:textId="77777777" w:rsidR="00EB6564" w:rsidRDefault="00EB6564" w:rsidP="008B4D97">
            <w:pPr>
              <w:pStyle w:val="06cTABLETEXT"/>
              <w:keepNext/>
              <w:spacing w:line="240" w:lineRule="auto"/>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2E8C561" w14:textId="77777777" w:rsidR="00EB6564" w:rsidRDefault="00EB6564" w:rsidP="008B4D97">
            <w:pPr>
              <w:pStyle w:val="06cTABLETEXT"/>
              <w:keepNext/>
              <w:spacing w:line="240" w:lineRule="auto"/>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E90F94" w14:textId="77777777" w:rsidR="00EB6564" w:rsidRDefault="00EB6564" w:rsidP="008B4D97">
            <w:pPr>
              <w:pStyle w:val="06cTABLETEXT"/>
              <w:keepNext/>
              <w:spacing w:line="240" w:lineRule="auto"/>
              <w:jc w:val="center"/>
            </w:pPr>
            <w:r>
              <w:t>Met</w:t>
            </w:r>
          </w:p>
        </w:tc>
      </w:tr>
      <w:tr w:rsidR="00EB6564" w14:paraId="77DA25B1" w14:textId="77777777" w:rsidTr="00134EA2">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4CCC273" w14:textId="77777777" w:rsidR="00EB6564" w:rsidRDefault="00EB6564" w:rsidP="008B4D97">
            <w:pPr>
              <w:pStyle w:val="06cTABLETEXT"/>
              <w:keepNext/>
              <w:spacing w:line="240" w:lineRule="auto"/>
            </w:pPr>
            <w:r>
              <w:t>Deception Bay</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E4C9A69" w14:textId="77777777" w:rsidR="00EB6564" w:rsidRDefault="00EB6564" w:rsidP="008B4D97">
            <w:pPr>
              <w:pStyle w:val="06cTABLETEXT"/>
              <w:keepNext/>
              <w:spacing w:line="240" w:lineRule="auto"/>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BCC5F72" w14:textId="77777777" w:rsidR="00EB6564" w:rsidRDefault="00EB6564" w:rsidP="008B4D97">
            <w:pPr>
              <w:pStyle w:val="06cTABLETEXT"/>
              <w:keepNext/>
              <w:spacing w:line="240" w:lineRule="auto"/>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A76862F" w14:textId="77777777" w:rsidR="00EB6564" w:rsidRDefault="00EB6564" w:rsidP="008B4D97">
            <w:pPr>
              <w:pStyle w:val="06cTABLETEXT"/>
              <w:keepNext/>
              <w:spacing w:line="240" w:lineRule="auto"/>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0696F5" w14:textId="77777777" w:rsidR="00EB6564" w:rsidRDefault="00EB6564" w:rsidP="008B4D97">
            <w:pPr>
              <w:pStyle w:val="06cTABLETEXT"/>
              <w:keepNext/>
              <w:spacing w:line="240" w:lineRule="auto"/>
              <w:jc w:val="center"/>
            </w:pPr>
            <w:r>
              <w:t>Met</w:t>
            </w:r>
          </w:p>
        </w:tc>
      </w:tr>
      <w:tr w:rsidR="00EB6564" w14:paraId="0CBFC1D2" w14:textId="77777777" w:rsidTr="00134EA2">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6E4FEB3" w14:textId="77777777" w:rsidR="00EB6564" w:rsidRDefault="00EB6564" w:rsidP="008B4D97">
            <w:pPr>
              <w:pStyle w:val="06cTABLETEXT"/>
              <w:keepNext/>
              <w:spacing w:line="240" w:lineRule="auto"/>
            </w:pPr>
            <w:r>
              <w:t>Rocklea</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A0BD533" w14:textId="77777777" w:rsidR="00EB6564" w:rsidRDefault="00EB6564" w:rsidP="008B4D97">
            <w:pPr>
              <w:pStyle w:val="06cTABLETEXT"/>
              <w:keepNext/>
              <w:spacing w:line="240" w:lineRule="auto"/>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2FEB388" w14:textId="77777777" w:rsidR="00EB6564" w:rsidRDefault="00EB6564" w:rsidP="008B4D97">
            <w:pPr>
              <w:pStyle w:val="06cTABLETEXT"/>
              <w:keepNext/>
              <w:spacing w:line="240" w:lineRule="auto"/>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03A567B" w14:textId="77777777" w:rsidR="00EB6564" w:rsidRDefault="00EB6564" w:rsidP="008B4D97">
            <w:pPr>
              <w:pStyle w:val="06cTABLETEXT"/>
              <w:keepNext/>
              <w:spacing w:line="240" w:lineRule="auto"/>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91459A4" w14:textId="77777777" w:rsidR="00EB6564" w:rsidRDefault="00EB6564" w:rsidP="008B4D97">
            <w:pPr>
              <w:pStyle w:val="06cTABLETEXT"/>
              <w:keepNext/>
              <w:spacing w:line="240" w:lineRule="auto"/>
              <w:jc w:val="center"/>
            </w:pPr>
            <w:r>
              <w:t>Met</w:t>
            </w:r>
          </w:p>
        </w:tc>
      </w:tr>
      <w:tr w:rsidR="00EB6564" w14:paraId="2574F376" w14:textId="77777777" w:rsidTr="00134EA2">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37B5594" w14:textId="77777777" w:rsidR="00EB6564" w:rsidRDefault="00EB6564" w:rsidP="008B4D97">
            <w:pPr>
              <w:pStyle w:val="06cTABLETEXT"/>
              <w:keepNext/>
              <w:spacing w:line="240" w:lineRule="auto"/>
            </w:pPr>
            <w:r>
              <w:t>Springwood</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D8EE2C3" w14:textId="77777777" w:rsidR="00EB6564" w:rsidRDefault="00EB6564" w:rsidP="008B4D97">
            <w:pPr>
              <w:pStyle w:val="06cTABLETEXT"/>
              <w:keepNext/>
              <w:spacing w:line="240" w:lineRule="auto"/>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D9E1E12" w14:textId="77777777" w:rsidR="00EB6564" w:rsidRDefault="00EB6564" w:rsidP="008B4D97">
            <w:pPr>
              <w:pStyle w:val="06cTABLETEXT"/>
              <w:keepNext/>
              <w:spacing w:line="240" w:lineRule="auto"/>
              <w:jc w:val="center"/>
            </w:pPr>
            <w:r>
              <w:t>ND†</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5F45A1B" w14:textId="77777777" w:rsidR="00EB6564" w:rsidRDefault="00EB6564" w:rsidP="008B4D97">
            <w:pPr>
              <w:pStyle w:val="06cTABLETEXT"/>
              <w:keepNext/>
              <w:spacing w:line="240" w:lineRule="auto"/>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A316ED1" w14:textId="77777777" w:rsidR="00EB6564" w:rsidRDefault="00EB6564" w:rsidP="008B4D97">
            <w:pPr>
              <w:pStyle w:val="06cTABLETEXT"/>
              <w:keepNext/>
              <w:spacing w:line="240" w:lineRule="auto"/>
              <w:jc w:val="center"/>
            </w:pPr>
            <w:r>
              <w:t>ND†</w:t>
            </w:r>
          </w:p>
        </w:tc>
      </w:tr>
      <w:tr w:rsidR="00EB6564" w14:paraId="1A6EB4EF" w14:textId="77777777" w:rsidTr="00134EA2">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2ACBDCD" w14:textId="77777777" w:rsidR="00EB6564" w:rsidRDefault="00EB6564" w:rsidP="008B4D97">
            <w:pPr>
              <w:pStyle w:val="06cTABLETEXT"/>
              <w:keepNext/>
              <w:spacing w:line="240" w:lineRule="auto"/>
            </w:pPr>
            <w:r>
              <w:t>Southport</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7FA2357" w14:textId="77777777" w:rsidR="00EB6564" w:rsidRDefault="00EB6564" w:rsidP="008B4D97">
            <w:pPr>
              <w:pStyle w:val="06cTABLETEXT"/>
              <w:keepNext/>
              <w:spacing w:line="240" w:lineRule="auto"/>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22A671F" w14:textId="77777777" w:rsidR="00EB6564" w:rsidRDefault="00EB6564" w:rsidP="008B4D97">
            <w:pPr>
              <w:pStyle w:val="06cTABLETEXT"/>
              <w:keepNext/>
              <w:spacing w:line="240" w:lineRule="auto"/>
              <w:jc w:val="center"/>
            </w:pPr>
            <w:r>
              <w:t>ND‡</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FC2D1AC" w14:textId="77777777" w:rsidR="00EB6564" w:rsidRDefault="00EB6564" w:rsidP="008B4D97">
            <w:pPr>
              <w:pStyle w:val="06cTABLETEXT"/>
              <w:keepNext/>
              <w:spacing w:line="240" w:lineRule="auto"/>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FF2A346" w14:textId="77777777" w:rsidR="00EB6564" w:rsidRDefault="00EB6564" w:rsidP="008B4D97">
            <w:pPr>
              <w:pStyle w:val="06cTABLETEXT"/>
              <w:keepNext/>
              <w:spacing w:line="240" w:lineRule="auto"/>
              <w:jc w:val="center"/>
            </w:pPr>
            <w:r>
              <w:t>ND‡</w:t>
            </w:r>
          </w:p>
        </w:tc>
      </w:tr>
      <w:tr w:rsidR="00EB6564" w14:paraId="468FF97B" w14:textId="77777777" w:rsidTr="00134EA2">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41FFC15" w14:textId="77777777" w:rsidR="00EB6564" w:rsidRDefault="00EB6564" w:rsidP="008B4D97">
            <w:pPr>
              <w:pStyle w:val="06cTABLETEXT"/>
              <w:keepNext/>
              <w:spacing w:line="240" w:lineRule="auto"/>
            </w:pPr>
            <w:r>
              <w:t>Flinders View</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A168180" w14:textId="77777777" w:rsidR="00EB6564" w:rsidRDefault="00EB6564" w:rsidP="008B4D97">
            <w:pPr>
              <w:pStyle w:val="06cTABLETEXT"/>
              <w:keepNext/>
              <w:spacing w:line="240" w:lineRule="auto"/>
              <w:jc w:val="center"/>
            </w:pPr>
            <w:r>
              <w:t>1</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C72FD77" w14:textId="77777777" w:rsidR="00EB6564" w:rsidRDefault="00EB6564" w:rsidP="008B4D97">
            <w:pPr>
              <w:pStyle w:val="06cTABLETEXT"/>
              <w:keepNext/>
              <w:spacing w:line="240" w:lineRule="auto"/>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272A2B5" w14:textId="77777777" w:rsidR="00EB6564" w:rsidRDefault="00EB6564" w:rsidP="008B4D97">
            <w:pPr>
              <w:pStyle w:val="06cTABLETEXT"/>
              <w:keepNext/>
              <w:spacing w:line="240" w:lineRule="auto"/>
              <w:jc w:val="center"/>
            </w:pPr>
            <w:r>
              <w:t>1</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2D8E9D9" w14:textId="77777777" w:rsidR="00EB6564" w:rsidRDefault="00EB6564" w:rsidP="008B4D97">
            <w:pPr>
              <w:pStyle w:val="06cTABLETEXT"/>
              <w:keepNext/>
              <w:spacing w:line="240" w:lineRule="auto"/>
              <w:jc w:val="center"/>
            </w:pPr>
            <w:r>
              <w:t>Met*</w:t>
            </w:r>
          </w:p>
        </w:tc>
      </w:tr>
    </w:tbl>
    <w:p w14:paraId="138929CB" w14:textId="77777777" w:rsidR="00EB6564" w:rsidRDefault="00EB6564" w:rsidP="002A5286">
      <w:pPr>
        <w:pStyle w:val="07FOOTNOTES"/>
        <w:spacing w:after="0"/>
      </w:pPr>
      <w:r>
        <w:t>ND = Not demonstrated.</w:t>
      </w:r>
    </w:p>
    <w:p w14:paraId="10151263" w14:textId="77777777" w:rsidR="00EB6564" w:rsidRDefault="00EB6564" w:rsidP="002A5286">
      <w:pPr>
        <w:pStyle w:val="07FOOTNOTES"/>
        <w:spacing w:after="0"/>
      </w:pPr>
      <w:r>
        <w:t xml:space="preserve">† </w:t>
      </w:r>
      <w:r>
        <w:tab/>
        <w:t>Not demonstrated due to insufficient data (</w:t>
      </w:r>
      <w:proofErr w:type="gramStart"/>
      <w:r>
        <w:t>i.e.</w:t>
      </w:r>
      <w:proofErr w:type="gramEnd"/>
      <w:r>
        <w:t xml:space="preserve"> less than 75 per cent) in one or more quarters due to extended monitoring equipment outages.</w:t>
      </w:r>
    </w:p>
    <w:p w14:paraId="136F17F0" w14:textId="77777777" w:rsidR="00EB6564" w:rsidRDefault="00EB6564" w:rsidP="002A5286">
      <w:pPr>
        <w:pStyle w:val="07FOOTNOTES"/>
        <w:spacing w:after="0"/>
      </w:pPr>
      <w:r>
        <w:t xml:space="preserve">‡ </w:t>
      </w:r>
      <w:r>
        <w:tab/>
        <w:t>Not demonstrated due to insufficient data (</w:t>
      </w:r>
      <w:proofErr w:type="gramStart"/>
      <w:r>
        <w:t>i.e.</w:t>
      </w:r>
      <w:proofErr w:type="gramEnd"/>
      <w:r>
        <w:t xml:space="preserve"> less than 75 per cent) in one or more quarters due to monitoring not commencing until 23 February 2018.</w:t>
      </w:r>
    </w:p>
    <w:p w14:paraId="27F61FF7" w14:textId="77777777" w:rsidR="00EB6564" w:rsidRDefault="00EB6564" w:rsidP="00EB6564">
      <w:pPr>
        <w:pStyle w:val="07FOOTNOTES"/>
      </w:pPr>
      <w:r>
        <w:t xml:space="preserve">* </w:t>
      </w:r>
      <w:r>
        <w:tab/>
        <w:t>AAQ NEPM goal states standards are not to be exceeded on more than one day per year.</w:t>
      </w: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4D3D9F01" w14:textId="77777777" w:rsidTr="00134EA2">
        <w:trPr>
          <w:trHeight w:val="60"/>
          <w:tblHeader/>
        </w:trPr>
        <w:tc>
          <w:tcPr>
            <w:tcW w:w="1701" w:type="dxa"/>
            <w:vMerge w:val="restart"/>
            <w:tcMar>
              <w:top w:w="85" w:type="dxa"/>
              <w:left w:w="85" w:type="dxa"/>
              <w:bottom w:w="85" w:type="dxa"/>
              <w:right w:w="85" w:type="dxa"/>
            </w:tcMar>
          </w:tcPr>
          <w:p w14:paraId="168EB0FA" w14:textId="77777777" w:rsidR="00EB6564" w:rsidRDefault="00EB6564" w:rsidP="00134EA2">
            <w:pPr>
              <w:pStyle w:val="CHEMICALCHEMTABLES"/>
              <w:spacing w:after="0" w:line="240" w:lineRule="auto"/>
            </w:pPr>
            <w:r>
              <w:t>SO</w:t>
            </w:r>
            <w:r>
              <w:rPr>
                <w:vertAlign w:val="subscript"/>
              </w:rPr>
              <w:t>2</w:t>
            </w:r>
          </w:p>
        </w:tc>
        <w:tc>
          <w:tcPr>
            <w:tcW w:w="5731" w:type="dxa"/>
            <w:tcMar>
              <w:top w:w="85" w:type="dxa"/>
              <w:left w:w="85" w:type="dxa"/>
              <w:bottom w:w="85" w:type="dxa"/>
              <w:right w:w="85" w:type="dxa"/>
            </w:tcMar>
          </w:tcPr>
          <w:p w14:paraId="7B281F17" w14:textId="77777777" w:rsidR="00EB6564" w:rsidRDefault="00EB6564" w:rsidP="00134EA2">
            <w:pPr>
              <w:pStyle w:val="CHEMICALfullnameCHEMTABLES"/>
              <w:spacing w:after="0" w:line="240" w:lineRule="auto"/>
            </w:pPr>
            <w:r>
              <w:t>Sulfur dioxide</w:t>
            </w:r>
          </w:p>
        </w:tc>
      </w:tr>
      <w:tr w:rsidR="00EB6564" w14:paraId="62E90624" w14:textId="77777777" w:rsidTr="00134EA2">
        <w:trPr>
          <w:trHeight w:val="60"/>
          <w:tblHeader/>
        </w:trPr>
        <w:tc>
          <w:tcPr>
            <w:tcW w:w="1701" w:type="dxa"/>
            <w:vMerge/>
          </w:tcPr>
          <w:p w14:paraId="5009C7B3"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223EEBCE" w14:textId="77777777" w:rsidR="00EB6564" w:rsidRDefault="00EB6564" w:rsidP="00134EA2">
            <w:pPr>
              <w:pStyle w:val="NEPMstandardCHEMTABLES"/>
              <w:spacing w:after="0" w:line="240" w:lineRule="auto"/>
            </w:pPr>
            <w:r>
              <w:t>(NEPM standard: 1 hour = 0.20ppm, 1 day = 0.08ppm, 1 year = 0.02ppm)</w:t>
            </w:r>
          </w:p>
        </w:tc>
      </w:tr>
      <w:tr w:rsidR="00EB6564" w14:paraId="7B0F8A87" w14:textId="77777777" w:rsidTr="00134EA2">
        <w:trPr>
          <w:trHeight w:hRule="exact" w:val="113"/>
        </w:trPr>
        <w:tc>
          <w:tcPr>
            <w:tcW w:w="1701" w:type="dxa"/>
            <w:tcMar>
              <w:top w:w="85" w:type="dxa"/>
              <w:left w:w="85" w:type="dxa"/>
              <w:bottom w:w="85" w:type="dxa"/>
              <w:right w:w="85" w:type="dxa"/>
            </w:tcMar>
          </w:tcPr>
          <w:p w14:paraId="209D77C9"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5409124A" w14:textId="77777777" w:rsidR="00EB6564" w:rsidRDefault="00EB6564" w:rsidP="00134EA2">
            <w:pPr>
              <w:pStyle w:val="NoParagraphStyle"/>
              <w:spacing w:line="240" w:lineRule="auto"/>
              <w:textAlignment w:val="auto"/>
              <w:rPr>
                <w:rFonts w:ascii="Calibri" w:hAnsi="Calibri" w:cs="Calibri"/>
                <w:color w:val="auto"/>
              </w:rPr>
            </w:pPr>
          </w:p>
        </w:tc>
      </w:tr>
    </w:tbl>
    <w:p w14:paraId="1E426198" w14:textId="77777777" w:rsidR="00EB6564" w:rsidRDefault="00EB6564" w:rsidP="00134EA2">
      <w:pPr>
        <w:pStyle w:val="05BODYT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1060"/>
        <w:gridCol w:w="1059"/>
        <w:gridCol w:w="1060"/>
        <w:gridCol w:w="1059"/>
        <w:gridCol w:w="1060"/>
        <w:gridCol w:w="1059"/>
        <w:gridCol w:w="1060"/>
      </w:tblGrid>
      <w:tr w:rsidR="00EB6564" w14:paraId="6AE48C45" w14:textId="77777777">
        <w:trPr>
          <w:trHeight w:val="60"/>
          <w:tblHeader/>
        </w:trPr>
        <w:tc>
          <w:tcPr>
            <w:tcW w:w="1060"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3A6C421" w14:textId="77777777" w:rsidR="00EB6564" w:rsidRDefault="00EB6564">
            <w:pPr>
              <w:pStyle w:val="06bTABLEHEADERROW"/>
            </w:pPr>
            <w:r>
              <w:t>Station</w:t>
            </w:r>
          </w:p>
        </w:tc>
        <w:tc>
          <w:tcPr>
            <w:tcW w:w="2119"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5FBF23DE" w14:textId="77777777" w:rsidR="00EB6564" w:rsidRDefault="00EB6564">
            <w:pPr>
              <w:pStyle w:val="06bTABLEHEADERROW"/>
              <w:jc w:val="center"/>
            </w:pPr>
            <w:r>
              <w:t>1 hour</w:t>
            </w:r>
          </w:p>
        </w:tc>
        <w:tc>
          <w:tcPr>
            <w:tcW w:w="2119"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42CFDB7B" w14:textId="77777777" w:rsidR="00EB6564" w:rsidRDefault="00EB6564">
            <w:pPr>
              <w:pStyle w:val="06bTABLEHEADERROW"/>
              <w:jc w:val="center"/>
            </w:pPr>
            <w:r>
              <w:t>1 day</w:t>
            </w:r>
          </w:p>
        </w:tc>
        <w:tc>
          <w:tcPr>
            <w:tcW w:w="2119"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3B23E3BD" w14:textId="77777777" w:rsidR="00EB6564" w:rsidRDefault="00EB6564">
            <w:pPr>
              <w:pStyle w:val="06bTABLEHEADERROW"/>
              <w:jc w:val="center"/>
            </w:pPr>
            <w:r>
              <w:t>1 year</w:t>
            </w:r>
          </w:p>
        </w:tc>
      </w:tr>
      <w:tr w:rsidR="00EB6564" w14:paraId="5D4F80D8" w14:textId="77777777" w:rsidTr="008B4D97">
        <w:trPr>
          <w:trHeight w:val="60"/>
          <w:tblHeader/>
        </w:trPr>
        <w:tc>
          <w:tcPr>
            <w:tcW w:w="1060" w:type="dxa"/>
            <w:vMerge/>
            <w:tcBorders>
              <w:top w:val="single" w:sz="8" w:space="0" w:color="FFFFFF"/>
              <w:left w:val="single" w:sz="4" w:space="0" w:color="FFFFFF"/>
              <w:bottom w:val="single" w:sz="4" w:space="0" w:color="FFFFFF"/>
              <w:right w:val="single" w:sz="4" w:space="0" w:color="FFFFFF"/>
            </w:tcBorders>
          </w:tcPr>
          <w:p w14:paraId="5CE61F43" w14:textId="77777777" w:rsidR="00EB6564" w:rsidRDefault="00EB6564">
            <w:pPr>
              <w:pStyle w:val="NoParagraphStyle"/>
              <w:spacing w:line="240" w:lineRule="auto"/>
              <w:textAlignment w:val="auto"/>
              <w:rPr>
                <w:rFonts w:ascii="Calibri" w:hAnsi="Calibri" w:cs="Calibri"/>
                <w:color w:val="auto"/>
              </w:rPr>
            </w:pPr>
          </w:p>
        </w:tc>
        <w:tc>
          <w:tcPr>
            <w:tcW w:w="1059" w:type="dxa"/>
            <w:tcBorders>
              <w:top w:val="single" w:sz="8"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034A3246" w14:textId="77777777" w:rsidR="00EB6564" w:rsidRDefault="00EB6564">
            <w:pPr>
              <w:pStyle w:val="06bTABLEHEADERROW"/>
              <w:jc w:val="center"/>
            </w:pPr>
            <w:r>
              <w:t>Number of exceedances</w:t>
            </w:r>
          </w:p>
        </w:tc>
        <w:tc>
          <w:tcPr>
            <w:tcW w:w="1060" w:type="dxa"/>
            <w:tcBorders>
              <w:top w:val="single" w:sz="8"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50774E3E" w14:textId="77777777" w:rsidR="00EB6564" w:rsidRDefault="00EB6564">
            <w:pPr>
              <w:pStyle w:val="06bTABLEHEADERROW"/>
              <w:jc w:val="center"/>
            </w:pPr>
            <w:r>
              <w:t>NEPM goal compliance</w:t>
            </w:r>
          </w:p>
        </w:tc>
        <w:tc>
          <w:tcPr>
            <w:tcW w:w="1059" w:type="dxa"/>
            <w:tcBorders>
              <w:top w:val="single" w:sz="8"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0C017DD1" w14:textId="77777777" w:rsidR="00EB6564" w:rsidRDefault="00EB6564">
            <w:pPr>
              <w:pStyle w:val="06bTABLEHEADERROW"/>
              <w:jc w:val="center"/>
            </w:pPr>
            <w:r>
              <w:t>Number of exceedances</w:t>
            </w:r>
          </w:p>
        </w:tc>
        <w:tc>
          <w:tcPr>
            <w:tcW w:w="1060" w:type="dxa"/>
            <w:tcBorders>
              <w:top w:val="single" w:sz="8"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30446483" w14:textId="77777777" w:rsidR="00EB6564" w:rsidRDefault="00EB6564">
            <w:pPr>
              <w:pStyle w:val="06bTABLEHEADERROW"/>
              <w:jc w:val="center"/>
            </w:pPr>
            <w:r>
              <w:t>NEPM goal compliance</w:t>
            </w:r>
          </w:p>
        </w:tc>
        <w:tc>
          <w:tcPr>
            <w:tcW w:w="1059" w:type="dxa"/>
            <w:tcBorders>
              <w:top w:val="single" w:sz="8"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4AD0C829" w14:textId="77777777" w:rsidR="00EB6564" w:rsidRDefault="00EB6564">
            <w:pPr>
              <w:pStyle w:val="06bTABLEHEADERROW"/>
              <w:jc w:val="center"/>
            </w:pPr>
            <w:r>
              <w:t>Annual average (ppm)</w:t>
            </w:r>
          </w:p>
        </w:tc>
        <w:tc>
          <w:tcPr>
            <w:tcW w:w="1060" w:type="dxa"/>
            <w:tcBorders>
              <w:top w:val="single" w:sz="8"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469BAD2D" w14:textId="77777777" w:rsidR="00EB6564" w:rsidRDefault="00EB6564">
            <w:pPr>
              <w:pStyle w:val="06bTABLEHEADERROW"/>
              <w:jc w:val="center"/>
            </w:pPr>
            <w:r>
              <w:t>NEPM goal compliance</w:t>
            </w:r>
          </w:p>
        </w:tc>
      </w:tr>
      <w:tr w:rsidR="00EB6564" w14:paraId="2A114EB6" w14:textId="77777777" w:rsidTr="008B4D97">
        <w:trPr>
          <w:trHeight w:val="60"/>
        </w:trPr>
        <w:tc>
          <w:tcPr>
            <w:tcW w:w="7417" w:type="dxa"/>
            <w:gridSpan w:val="7"/>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E0ED514" w14:textId="77777777" w:rsidR="00EB6564" w:rsidRDefault="00EB6564">
            <w:pPr>
              <w:pStyle w:val="06cTABLETEXT"/>
            </w:pPr>
            <w:r>
              <w:rPr>
                <w:rStyle w:val="BOLD"/>
              </w:rPr>
              <w:t>South East Queensland</w:t>
            </w:r>
          </w:p>
        </w:tc>
      </w:tr>
      <w:tr w:rsidR="00EB6564" w14:paraId="16B5C92E" w14:textId="77777777" w:rsidTr="008B4D97">
        <w:trPr>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5056BEA" w14:textId="77777777" w:rsidR="00EB6564" w:rsidRDefault="00EB6564">
            <w:pPr>
              <w:pStyle w:val="06cTABLETEXT"/>
            </w:pPr>
            <w:r>
              <w:t>Springwood</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6C09DB01"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51239DE3" w14:textId="77777777" w:rsidR="00EB6564" w:rsidRDefault="00EB6564">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5E6CF64A"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15315325" w14:textId="77777777" w:rsidR="00EB6564" w:rsidRDefault="00EB6564">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204F7940" w14:textId="77777777" w:rsidR="00EB6564" w:rsidRDefault="00EB6564">
            <w:pPr>
              <w:pStyle w:val="06cTABLETEXT"/>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23EB58AE" w14:textId="77777777" w:rsidR="00EB6564" w:rsidRDefault="00EB6564">
            <w:pPr>
              <w:pStyle w:val="06cTABLETEXT"/>
              <w:jc w:val="center"/>
            </w:pPr>
            <w:r>
              <w:t>Met</w:t>
            </w:r>
          </w:p>
        </w:tc>
      </w:tr>
      <w:tr w:rsidR="00EB6564" w14:paraId="00862D04" w14:textId="77777777" w:rsidTr="008B4D97">
        <w:trPr>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6F3A581" w14:textId="77777777" w:rsidR="00EB6564" w:rsidRDefault="00EB6564">
            <w:pPr>
              <w:pStyle w:val="06cTABLETEXT"/>
            </w:pPr>
            <w:r>
              <w:t>Flinders View</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5C211DC1"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7D7F516C" w14:textId="77777777" w:rsidR="00EB6564" w:rsidRDefault="00EB6564">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1863940C"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3F3354EB" w14:textId="77777777" w:rsidR="00EB6564" w:rsidRDefault="00EB6564">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2F4D9CEE" w14:textId="77777777" w:rsidR="00EB6564" w:rsidRDefault="00EB6564">
            <w:pPr>
              <w:pStyle w:val="06cTABLETEXT"/>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4F8A1CF8" w14:textId="77777777" w:rsidR="00EB6564" w:rsidRDefault="00EB6564">
            <w:pPr>
              <w:pStyle w:val="06cTABLETEXT"/>
              <w:jc w:val="center"/>
            </w:pPr>
            <w:r>
              <w:t>Met</w:t>
            </w:r>
          </w:p>
        </w:tc>
      </w:tr>
      <w:tr w:rsidR="00EB6564" w14:paraId="32303B0B" w14:textId="77777777" w:rsidTr="008B4D97">
        <w:trPr>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6799A8A" w14:textId="77777777" w:rsidR="00EB6564" w:rsidRDefault="00EB6564">
            <w:pPr>
              <w:pStyle w:val="06cTABLETEXT"/>
            </w:pPr>
            <w:r>
              <w:t>Gladstone</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722A80CA" w14:textId="77777777" w:rsidR="00EB6564" w:rsidRDefault="00EB6564">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639BB6D3" w14:textId="77777777" w:rsidR="00EB6564" w:rsidRDefault="00EB6564">
            <w:pPr>
              <w:pStyle w:val="NoParagraphStyle"/>
              <w:spacing w:line="240" w:lineRule="auto"/>
              <w:textAlignment w:val="auto"/>
              <w:rPr>
                <w:rFonts w:ascii="Calibri" w:hAnsi="Calibri" w:cs="Calibri"/>
                <w:color w:val="auto"/>
              </w:rPr>
            </w:pP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67C196CA" w14:textId="77777777" w:rsidR="00EB6564" w:rsidRDefault="00EB6564">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08C2B0EF" w14:textId="77777777" w:rsidR="00EB6564" w:rsidRDefault="00EB6564">
            <w:pPr>
              <w:pStyle w:val="NoParagraphStyle"/>
              <w:spacing w:line="240" w:lineRule="auto"/>
              <w:textAlignment w:val="auto"/>
              <w:rPr>
                <w:rFonts w:ascii="Calibri" w:hAnsi="Calibri" w:cs="Calibri"/>
                <w:color w:val="auto"/>
              </w:rPr>
            </w:pP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300A635E" w14:textId="77777777" w:rsidR="00EB6564" w:rsidRDefault="00EB6564">
            <w:pPr>
              <w:pStyle w:val="NoParagraphStyle"/>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1992DCE0" w14:textId="77777777" w:rsidR="00EB6564" w:rsidRDefault="00EB6564">
            <w:pPr>
              <w:pStyle w:val="NoParagraphStyle"/>
              <w:spacing w:line="240" w:lineRule="auto"/>
              <w:textAlignment w:val="auto"/>
              <w:rPr>
                <w:rFonts w:ascii="Calibri" w:hAnsi="Calibri" w:cs="Calibri"/>
                <w:color w:val="auto"/>
              </w:rPr>
            </w:pPr>
          </w:p>
        </w:tc>
      </w:tr>
      <w:tr w:rsidR="00EB6564" w14:paraId="31622ED4" w14:textId="77777777" w:rsidTr="008B4D97">
        <w:trPr>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F55DB46" w14:textId="77777777" w:rsidR="00EB6564" w:rsidRDefault="00EB6564">
            <w:pPr>
              <w:pStyle w:val="06cTABLETEXT"/>
            </w:pPr>
            <w:r>
              <w:t>South Gladstone</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1BCA1B2C"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33811B83" w14:textId="77777777" w:rsidR="00EB6564" w:rsidRDefault="00EB6564">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7B0930BA"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2A9F3BFE" w14:textId="77777777" w:rsidR="00EB6564" w:rsidRDefault="00EB6564">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39CD52D2" w14:textId="77777777" w:rsidR="00EB6564" w:rsidRDefault="00EB6564">
            <w:pPr>
              <w:pStyle w:val="06cTABLETEXT"/>
              <w:jc w:val="center"/>
            </w:pPr>
            <w:r>
              <w:t>0.002</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14EF0A13" w14:textId="77777777" w:rsidR="00EB6564" w:rsidRDefault="00EB6564">
            <w:pPr>
              <w:pStyle w:val="06cTABLETEXT"/>
              <w:jc w:val="center"/>
            </w:pPr>
            <w:r>
              <w:t>Met</w:t>
            </w:r>
          </w:p>
        </w:tc>
      </w:tr>
      <w:tr w:rsidR="00EB6564" w14:paraId="2D2E0F61" w14:textId="77777777" w:rsidTr="008B4D97">
        <w:trPr>
          <w:trHeight w:val="60"/>
        </w:trPr>
        <w:tc>
          <w:tcPr>
            <w:tcW w:w="7417" w:type="dxa"/>
            <w:gridSpan w:val="7"/>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1EAB5023" w14:textId="77777777" w:rsidR="00EB6564" w:rsidRDefault="00EB6564">
            <w:pPr>
              <w:pStyle w:val="06cTABLETEXT"/>
            </w:pPr>
            <w:r>
              <w:rPr>
                <w:rStyle w:val="BOLD"/>
              </w:rPr>
              <w:t>Townsville</w:t>
            </w:r>
          </w:p>
        </w:tc>
      </w:tr>
      <w:tr w:rsidR="00EB6564" w14:paraId="1BBA79A9" w14:textId="77777777" w:rsidTr="008B4D97">
        <w:trPr>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B10CCB6" w14:textId="77777777" w:rsidR="00EB6564" w:rsidRDefault="00EB6564">
            <w:pPr>
              <w:pStyle w:val="06cTABLETEXT"/>
            </w:pPr>
            <w:r>
              <w:t>North Ward</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2E8A3F1B"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08A3B23F" w14:textId="77777777" w:rsidR="00EB6564" w:rsidRDefault="00EB6564">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0AF9E0A6"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2F2BF7E7" w14:textId="77777777" w:rsidR="00EB6564" w:rsidRDefault="00EB6564">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44D22A37" w14:textId="77777777" w:rsidR="00EB6564" w:rsidRDefault="00EB6564">
            <w:pPr>
              <w:pStyle w:val="06cTABLETEXT"/>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4DAA5CE4" w14:textId="77777777" w:rsidR="00EB6564" w:rsidRDefault="00EB6564">
            <w:pPr>
              <w:pStyle w:val="06cTABLETEXT"/>
              <w:jc w:val="center"/>
            </w:pPr>
            <w:r>
              <w:t>Met</w:t>
            </w:r>
          </w:p>
        </w:tc>
      </w:tr>
      <w:tr w:rsidR="00EB6564" w14:paraId="7CA6EFE8" w14:textId="77777777" w:rsidTr="008B4D97">
        <w:trPr>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BDA1246" w14:textId="77777777" w:rsidR="00EB6564" w:rsidRDefault="00EB6564">
            <w:pPr>
              <w:pStyle w:val="06cTABLETEXT"/>
            </w:pPr>
            <w:r>
              <w:t>Stuart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57FBE504"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758D9F45" w14:textId="77777777" w:rsidR="00EB6564" w:rsidRDefault="00EB6564">
            <w:pPr>
              <w:pStyle w:val="06cTABLETEXT"/>
              <w:jc w:val="center"/>
            </w:pPr>
            <w:r>
              <w:t>ND*</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55240B95"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62DD3429" w14:textId="77777777" w:rsidR="00EB6564" w:rsidRDefault="00EB6564">
            <w:pPr>
              <w:pStyle w:val="06cTABLETEXT"/>
              <w:jc w:val="center"/>
            </w:pPr>
            <w:r>
              <w:t>ND*</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5B26EB59" w14:textId="77777777" w:rsidR="00EB6564" w:rsidRDefault="00EB6564">
            <w:pPr>
              <w:pStyle w:val="06cTABLETEXT"/>
              <w:jc w:val="center"/>
            </w:pPr>
            <w:r>
              <w:t>0.000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7F1FA918" w14:textId="77777777" w:rsidR="00EB6564" w:rsidRDefault="00EB6564">
            <w:pPr>
              <w:pStyle w:val="06cTABLETEXT"/>
              <w:jc w:val="center"/>
            </w:pPr>
            <w:r>
              <w:t>ND*</w:t>
            </w:r>
          </w:p>
        </w:tc>
      </w:tr>
      <w:tr w:rsidR="00EB6564" w14:paraId="000DCDB2" w14:textId="77777777" w:rsidTr="008B4D97">
        <w:trPr>
          <w:trHeight w:val="60"/>
        </w:trPr>
        <w:tc>
          <w:tcPr>
            <w:tcW w:w="7417" w:type="dxa"/>
            <w:gridSpan w:val="7"/>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2B4E9097" w14:textId="77777777" w:rsidR="00EB6564" w:rsidRDefault="00EB6564">
            <w:pPr>
              <w:pStyle w:val="06cTABLETEXT"/>
            </w:pPr>
            <w:r>
              <w:rPr>
                <w:rStyle w:val="BOLD"/>
              </w:rPr>
              <w:t>Mount Isa</w:t>
            </w:r>
          </w:p>
        </w:tc>
      </w:tr>
      <w:tr w:rsidR="00EB6564" w14:paraId="741895FD" w14:textId="77777777" w:rsidTr="008B4D97">
        <w:trPr>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C98DB2A" w14:textId="77777777" w:rsidR="00EB6564" w:rsidRDefault="00EB6564">
            <w:pPr>
              <w:pStyle w:val="06cTABLETEXT"/>
            </w:pPr>
            <w:r>
              <w:lastRenderedPageBreak/>
              <w:t>Menzies</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7F1CA842" w14:textId="77777777" w:rsidR="00EB6564" w:rsidRDefault="00EB6564">
            <w:pPr>
              <w:pStyle w:val="06cTABLETEXT"/>
              <w:jc w:val="center"/>
            </w:pPr>
            <w:r>
              <w:t>26</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096FD6D4" w14:textId="77777777" w:rsidR="00EB6564" w:rsidRDefault="00EB6564">
            <w:pPr>
              <w:pStyle w:val="06cTABLETEXT"/>
              <w:jc w:val="center"/>
            </w:pPr>
            <w:r>
              <w:t>Not 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22913765"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3806CFE5" w14:textId="77777777" w:rsidR="00EB6564" w:rsidRDefault="00EB6564">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7862527D" w14:textId="77777777" w:rsidR="00EB6564" w:rsidRDefault="00EB6564">
            <w:pPr>
              <w:pStyle w:val="06cTABLETEXT"/>
              <w:jc w:val="center"/>
            </w:pPr>
            <w:r>
              <w:t>0.006</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6F037E7E" w14:textId="77777777" w:rsidR="00EB6564" w:rsidRDefault="00EB6564">
            <w:pPr>
              <w:pStyle w:val="06cTABLETEXT"/>
              <w:jc w:val="center"/>
            </w:pPr>
            <w:r>
              <w:t>Met</w:t>
            </w:r>
          </w:p>
        </w:tc>
      </w:tr>
      <w:tr w:rsidR="00EB6564" w14:paraId="10EB030D" w14:textId="77777777" w:rsidTr="008B4D97">
        <w:trPr>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E3F129A" w14:textId="77777777" w:rsidR="00EB6564" w:rsidRDefault="00EB6564">
            <w:pPr>
              <w:pStyle w:val="06cTABLETEXT"/>
            </w:pPr>
            <w:r>
              <w:t>The Gap</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04B99C5A" w14:textId="77777777" w:rsidR="00EB6564" w:rsidRDefault="00EB6564">
            <w:pPr>
              <w:pStyle w:val="06cTABLETEXT"/>
              <w:jc w:val="center"/>
            </w:pPr>
            <w:r>
              <w:t>13</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5FAFECA7" w14:textId="77777777" w:rsidR="00EB6564" w:rsidRDefault="00EB6564">
            <w:pPr>
              <w:pStyle w:val="06cTABLETEXT"/>
              <w:jc w:val="center"/>
            </w:pPr>
            <w:r>
              <w:t>Not 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7B16B934"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31CBE75E" w14:textId="77777777" w:rsidR="00EB6564" w:rsidRDefault="00EB6564">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7677D524" w14:textId="77777777" w:rsidR="00EB6564" w:rsidRDefault="00EB6564">
            <w:pPr>
              <w:pStyle w:val="06cTABLETEXT"/>
              <w:jc w:val="center"/>
            </w:pPr>
            <w:r>
              <w:t>0.004</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6E38B7AB" w14:textId="77777777" w:rsidR="00EB6564" w:rsidRDefault="00EB6564">
            <w:pPr>
              <w:pStyle w:val="06cTABLETEXT"/>
              <w:jc w:val="center"/>
            </w:pPr>
            <w:r>
              <w:t>Met</w:t>
            </w:r>
          </w:p>
        </w:tc>
      </w:tr>
    </w:tbl>
    <w:p w14:paraId="226B2357" w14:textId="77777777" w:rsidR="00EB6564" w:rsidRDefault="00EB6564" w:rsidP="002A5286">
      <w:pPr>
        <w:pStyle w:val="07FOOTNOTES"/>
        <w:spacing w:after="0"/>
      </w:pPr>
      <w:r>
        <w:t>ND = Not demonstrated.</w:t>
      </w:r>
    </w:p>
    <w:p w14:paraId="0337846B" w14:textId="77777777" w:rsidR="00EB6564" w:rsidRDefault="00EB6564" w:rsidP="00EB6564">
      <w:pPr>
        <w:pStyle w:val="07FOOTNOTES"/>
      </w:pPr>
      <w:r>
        <w:t>*</w:t>
      </w:r>
      <w:r>
        <w:tab/>
        <w:t>Not demonstrated due to insufficient data (</w:t>
      </w:r>
      <w:proofErr w:type="gramStart"/>
      <w:r>
        <w:t>i.e.</w:t>
      </w:r>
      <w:proofErr w:type="gramEnd"/>
      <w:r>
        <w:t xml:space="preserve"> less than 75 per cent) in one or more quarters due to the closure of the monitoring station on 14 November 2018 following the sale of the property on which the station was located.</w:t>
      </w: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313E4B35" w14:textId="77777777" w:rsidTr="00134EA2">
        <w:trPr>
          <w:trHeight w:val="60"/>
          <w:tblHeader/>
        </w:trPr>
        <w:tc>
          <w:tcPr>
            <w:tcW w:w="1701" w:type="dxa"/>
            <w:vMerge w:val="restart"/>
            <w:tcMar>
              <w:top w:w="85" w:type="dxa"/>
              <w:left w:w="85" w:type="dxa"/>
              <w:bottom w:w="85" w:type="dxa"/>
              <w:right w:w="85" w:type="dxa"/>
            </w:tcMar>
          </w:tcPr>
          <w:p w14:paraId="03DFBF1D" w14:textId="77777777" w:rsidR="00EB6564" w:rsidRDefault="00EB6564" w:rsidP="00134EA2">
            <w:pPr>
              <w:pStyle w:val="CHEMICALCHEMTABLES"/>
              <w:spacing w:after="0" w:line="240" w:lineRule="auto"/>
            </w:pPr>
            <w:r>
              <w:t>Pb</w:t>
            </w:r>
          </w:p>
        </w:tc>
        <w:tc>
          <w:tcPr>
            <w:tcW w:w="5731" w:type="dxa"/>
            <w:tcMar>
              <w:top w:w="85" w:type="dxa"/>
              <w:left w:w="85" w:type="dxa"/>
              <w:bottom w:w="85" w:type="dxa"/>
              <w:right w:w="85" w:type="dxa"/>
            </w:tcMar>
          </w:tcPr>
          <w:p w14:paraId="39B35E88" w14:textId="77777777" w:rsidR="00EB6564" w:rsidRDefault="00EB6564" w:rsidP="00134EA2">
            <w:pPr>
              <w:pStyle w:val="CHEMICALfullnameCHEMTABLES"/>
              <w:spacing w:after="0" w:line="240" w:lineRule="auto"/>
            </w:pPr>
            <w:r>
              <w:t>Lead</w:t>
            </w:r>
          </w:p>
        </w:tc>
      </w:tr>
      <w:tr w:rsidR="00EB6564" w14:paraId="5FE34C7B" w14:textId="77777777" w:rsidTr="00134EA2">
        <w:trPr>
          <w:trHeight w:val="60"/>
          <w:tblHeader/>
        </w:trPr>
        <w:tc>
          <w:tcPr>
            <w:tcW w:w="1701" w:type="dxa"/>
            <w:vMerge/>
          </w:tcPr>
          <w:p w14:paraId="3DD80992"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23F3ED4C" w14:textId="77777777" w:rsidR="00EB6564" w:rsidRDefault="00EB6564" w:rsidP="00134EA2">
            <w:pPr>
              <w:pStyle w:val="NEPMstandardCHEMTABLES"/>
              <w:spacing w:after="0" w:line="240" w:lineRule="auto"/>
            </w:pPr>
            <w:r>
              <w:t>(NEPM standard 1 year = 0.50µg/m</w:t>
            </w:r>
            <w:r>
              <w:rPr>
                <w:vertAlign w:val="superscript"/>
              </w:rPr>
              <w:t>3</w:t>
            </w:r>
            <w:r>
              <w:t>)</w:t>
            </w:r>
          </w:p>
        </w:tc>
      </w:tr>
      <w:tr w:rsidR="00EB6564" w14:paraId="3F4B18E1" w14:textId="77777777" w:rsidTr="00134EA2">
        <w:trPr>
          <w:trHeight w:hRule="exact" w:val="113"/>
        </w:trPr>
        <w:tc>
          <w:tcPr>
            <w:tcW w:w="1701" w:type="dxa"/>
            <w:tcMar>
              <w:top w:w="85" w:type="dxa"/>
              <w:left w:w="85" w:type="dxa"/>
              <w:bottom w:w="85" w:type="dxa"/>
              <w:right w:w="85" w:type="dxa"/>
            </w:tcMar>
          </w:tcPr>
          <w:p w14:paraId="2DF9FCA7"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A5E50B5" w14:textId="77777777" w:rsidR="00EB6564" w:rsidRDefault="00EB6564" w:rsidP="00134EA2">
            <w:pPr>
              <w:pStyle w:val="NoParagraphStyle"/>
              <w:spacing w:line="240" w:lineRule="auto"/>
              <w:textAlignment w:val="auto"/>
              <w:rPr>
                <w:rFonts w:ascii="Calibri" w:hAnsi="Calibri" w:cs="Calibri"/>
                <w:color w:val="auto"/>
              </w:rPr>
            </w:pPr>
          </w:p>
        </w:tc>
      </w:tr>
    </w:tbl>
    <w:p w14:paraId="3F064382"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2472"/>
        <w:gridCol w:w="2473"/>
        <w:gridCol w:w="2472"/>
      </w:tblGrid>
      <w:tr w:rsidR="00EB6564" w14:paraId="5FACC7A3" w14:textId="77777777" w:rsidTr="008B4D97">
        <w:trPr>
          <w:trHeight w:val="60"/>
          <w:tblHeader/>
        </w:trPr>
        <w:tc>
          <w:tcPr>
            <w:tcW w:w="2472"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E58AEE9" w14:textId="77777777" w:rsidR="00EB6564" w:rsidRDefault="00EB6564">
            <w:pPr>
              <w:pStyle w:val="06bTABLEHEADERROW"/>
            </w:pPr>
            <w:r>
              <w:t>Station</w:t>
            </w:r>
          </w:p>
        </w:tc>
        <w:tc>
          <w:tcPr>
            <w:tcW w:w="247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B3B14EF" w14:textId="77777777" w:rsidR="00EB6564" w:rsidRDefault="00EB6564">
            <w:pPr>
              <w:pStyle w:val="06bTABLEHEADERROW"/>
              <w:jc w:val="center"/>
            </w:pPr>
            <w:r>
              <w:t>Annual average (µg/m</w:t>
            </w:r>
            <w:r>
              <w:rPr>
                <w:vertAlign w:val="superscript"/>
              </w:rPr>
              <w:t>3</w:t>
            </w:r>
            <w:r>
              <w:t>)</w:t>
            </w:r>
          </w:p>
        </w:tc>
        <w:tc>
          <w:tcPr>
            <w:tcW w:w="2472"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49EEB12" w14:textId="77777777" w:rsidR="00EB6564" w:rsidRDefault="00EB6564">
            <w:pPr>
              <w:pStyle w:val="06bTABLEHEADERROW"/>
              <w:jc w:val="center"/>
            </w:pPr>
            <w:r>
              <w:t>NEPM goal compliance</w:t>
            </w:r>
          </w:p>
        </w:tc>
      </w:tr>
      <w:tr w:rsidR="00EB6564" w14:paraId="278BAB31" w14:textId="77777777" w:rsidTr="008B4D9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0273979A" w14:textId="77777777" w:rsidR="00EB6564" w:rsidRDefault="00EB6564">
            <w:pPr>
              <w:pStyle w:val="06cTABLETEXT"/>
            </w:pPr>
            <w:r>
              <w:rPr>
                <w:rStyle w:val="BOLD"/>
              </w:rPr>
              <w:t>Townsville</w:t>
            </w:r>
          </w:p>
        </w:tc>
      </w:tr>
      <w:tr w:rsidR="00EB6564" w14:paraId="0120C77B" w14:textId="77777777" w:rsidTr="008B4D97">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4332BC7" w14:textId="77777777" w:rsidR="00EB6564" w:rsidRDefault="00EB6564">
            <w:pPr>
              <w:pStyle w:val="06cTABLETEXT"/>
            </w:pPr>
            <w:r>
              <w:t>Coast Guard</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A234BE2" w14:textId="77777777" w:rsidR="00EB6564" w:rsidRDefault="00EB6564">
            <w:pPr>
              <w:pStyle w:val="06cTABLETEXT"/>
              <w:jc w:val="center"/>
            </w:pPr>
            <w:r>
              <w:t>0.10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722E7BB" w14:textId="77777777" w:rsidR="00EB6564" w:rsidRDefault="00EB6564">
            <w:pPr>
              <w:pStyle w:val="06cTABLETEXT"/>
              <w:jc w:val="center"/>
            </w:pPr>
            <w:r>
              <w:t>Met</w:t>
            </w:r>
          </w:p>
        </w:tc>
      </w:tr>
      <w:tr w:rsidR="00EB6564" w14:paraId="21E7BD26" w14:textId="77777777" w:rsidTr="008B4D9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6191654A" w14:textId="77777777" w:rsidR="00EB6564" w:rsidRDefault="00EB6564">
            <w:pPr>
              <w:pStyle w:val="06cTABLETEXT"/>
            </w:pPr>
            <w:r>
              <w:rPr>
                <w:rStyle w:val="BOLD"/>
              </w:rPr>
              <w:t>Mount Isa</w:t>
            </w:r>
          </w:p>
        </w:tc>
      </w:tr>
      <w:tr w:rsidR="00EB6564" w14:paraId="5EB09DCF" w14:textId="77777777" w:rsidTr="008B4D97">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2502402" w14:textId="77777777" w:rsidR="00EB6564" w:rsidRDefault="00EB6564">
            <w:pPr>
              <w:pStyle w:val="06cTABLETEXT"/>
            </w:pPr>
            <w:r>
              <w:t>The Gap</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7824C52" w14:textId="77777777" w:rsidR="00EB6564" w:rsidRDefault="00EB6564">
            <w:pPr>
              <w:pStyle w:val="06cTABLETEXT"/>
              <w:jc w:val="center"/>
            </w:pPr>
            <w:r>
              <w:t>0.10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CB6DFB3" w14:textId="77777777" w:rsidR="00EB6564" w:rsidRDefault="00EB6564">
            <w:pPr>
              <w:pStyle w:val="06cTABLETEXT"/>
              <w:jc w:val="center"/>
            </w:pPr>
            <w:r>
              <w:t>Met</w:t>
            </w:r>
          </w:p>
        </w:tc>
      </w:tr>
    </w:tbl>
    <w:p w14:paraId="5CBDD887" w14:textId="77777777" w:rsidR="00EB6564" w:rsidRDefault="00EB6564" w:rsidP="00EB6564">
      <w:pPr>
        <w:pStyle w:val="05BODYTEXT"/>
      </w:pP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06B4D13B" w14:textId="77777777" w:rsidTr="00134EA2">
        <w:trPr>
          <w:trHeight w:val="60"/>
          <w:tblHeader/>
        </w:trPr>
        <w:tc>
          <w:tcPr>
            <w:tcW w:w="1701" w:type="dxa"/>
            <w:vMerge w:val="restart"/>
            <w:tcMar>
              <w:top w:w="85" w:type="dxa"/>
              <w:left w:w="85" w:type="dxa"/>
              <w:bottom w:w="85" w:type="dxa"/>
              <w:right w:w="85" w:type="dxa"/>
            </w:tcMar>
          </w:tcPr>
          <w:p w14:paraId="7A289A11" w14:textId="77777777" w:rsidR="00EB6564" w:rsidRDefault="00EB6564" w:rsidP="00134EA2">
            <w:pPr>
              <w:pStyle w:val="CHEMICALCHEMTABLES"/>
              <w:spacing w:after="0" w:line="240" w:lineRule="auto"/>
            </w:pPr>
            <w:r>
              <w:t>PM</w:t>
            </w:r>
            <w:r>
              <w:rPr>
                <w:vertAlign w:val="subscript"/>
              </w:rPr>
              <w:t>10</w:t>
            </w:r>
          </w:p>
        </w:tc>
        <w:tc>
          <w:tcPr>
            <w:tcW w:w="5731" w:type="dxa"/>
            <w:tcMar>
              <w:top w:w="85" w:type="dxa"/>
              <w:left w:w="85" w:type="dxa"/>
              <w:bottom w:w="85" w:type="dxa"/>
              <w:right w:w="85" w:type="dxa"/>
            </w:tcMar>
          </w:tcPr>
          <w:p w14:paraId="02AB7504" w14:textId="77777777" w:rsidR="00EB6564" w:rsidRDefault="00EB6564" w:rsidP="00134EA2">
            <w:pPr>
              <w:pStyle w:val="CHEMICALfullnameCHEMTABLES"/>
              <w:spacing w:after="0" w:line="240" w:lineRule="auto"/>
            </w:pPr>
            <w:r>
              <w:t>Particles as PM</w:t>
            </w:r>
            <w:r>
              <w:rPr>
                <w:vertAlign w:val="subscript"/>
              </w:rPr>
              <w:t>10</w:t>
            </w:r>
          </w:p>
        </w:tc>
      </w:tr>
      <w:tr w:rsidR="00EB6564" w14:paraId="30511675" w14:textId="77777777" w:rsidTr="00134EA2">
        <w:trPr>
          <w:trHeight w:val="60"/>
          <w:tblHeader/>
        </w:trPr>
        <w:tc>
          <w:tcPr>
            <w:tcW w:w="1701" w:type="dxa"/>
            <w:vMerge/>
          </w:tcPr>
          <w:p w14:paraId="61CB6F71"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547F3CEC" w14:textId="77777777" w:rsidR="00EB6564" w:rsidRDefault="00EB6564" w:rsidP="00134EA2">
            <w:pPr>
              <w:pStyle w:val="05BODYTEXT"/>
              <w:spacing w:after="0" w:line="240" w:lineRule="auto"/>
            </w:pPr>
            <w:r>
              <w:t>(NEPM standard 1 day = 50µg/m</w:t>
            </w:r>
            <w:r>
              <w:rPr>
                <w:vertAlign w:val="superscript"/>
              </w:rPr>
              <w:t>3</w:t>
            </w:r>
            <w:r>
              <w:t xml:space="preserve"> (excluding exceptional events), 1 year = 25µg/m</w:t>
            </w:r>
            <w:r>
              <w:rPr>
                <w:vertAlign w:val="superscript"/>
              </w:rPr>
              <w:t>3</w:t>
            </w:r>
            <w:r>
              <w:t>)</w:t>
            </w:r>
          </w:p>
        </w:tc>
      </w:tr>
      <w:tr w:rsidR="00EB6564" w14:paraId="27D51892" w14:textId="77777777" w:rsidTr="00134EA2">
        <w:trPr>
          <w:trHeight w:hRule="exact" w:val="113"/>
        </w:trPr>
        <w:tc>
          <w:tcPr>
            <w:tcW w:w="1701" w:type="dxa"/>
            <w:tcMar>
              <w:top w:w="85" w:type="dxa"/>
              <w:left w:w="85" w:type="dxa"/>
              <w:bottom w:w="85" w:type="dxa"/>
              <w:right w:w="85" w:type="dxa"/>
            </w:tcMar>
          </w:tcPr>
          <w:p w14:paraId="31D74F7C"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2C111EBE" w14:textId="77777777" w:rsidR="00EB6564" w:rsidRDefault="00EB6564" w:rsidP="00134EA2">
            <w:pPr>
              <w:pStyle w:val="NoParagraphStyle"/>
              <w:spacing w:line="240" w:lineRule="auto"/>
              <w:textAlignment w:val="auto"/>
              <w:rPr>
                <w:rFonts w:ascii="Calibri" w:hAnsi="Calibri" w:cs="Calibri"/>
                <w:color w:val="auto"/>
              </w:rPr>
            </w:pPr>
          </w:p>
        </w:tc>
      </w:tr>
    </w:tbl>
    <w:p w14:paraId="351C5FB3"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1483"/>
        <w:gridCol w:w="1484"/>
        <w:gridCol w:w="1483"/>
        <w:gridCol w:w="1483"/>
        <w:gridCol w:w="1484"/>
      </w:tblGrid>
      <w:tr w:rsidR="00EB6564" w14:paraId="328F40ED" w14:textId="77777777">
        <w:trPr>
          <w:trHeight w:val="6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C901485" w14:textId="77777777" w:rsidR="00EB6564" w:rsidRDefault="00EB6564">
            <w:pPr>
              <w:pStyle w:val="06bTABLEHEADERROW"/>
            </w:pPr>
            <w:r>
              <w:t>Station</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E6FF886" w14:textId="77777777" w:rsidR="00EB6564" w:rsidRDefault="00EB6564">
            <w:pPr>
              <w:pStyle w:val="06bTABLEHEADERROW"/>
              <w:jc w:val="center"/>
            </w:pPr>
            <w:r>
              <w:t>1 day</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89E0E17" w14:textId="77777777" w:rsidR="00EB6564" w:rsidRDefault="00EB6564">
            <w:pPr>
              <w:pStyle w:val="06bTABLEHEADERROW"/>
              <w:jc w:val="center"/>
            </w:pPr>
            <w:r>
              <w:t>1 year</w:t>
            </w:r>
          </w:p>
        </w:tc>
      </w:tr>
      <w:tr w:rsidR="00EB6564" w14:paraId="7F98FA8C" w14:textId="77777777" w:rsidTr="008B4D97">
        <w:trPr>
          <w:trHeight w:val="60"/>
          <w:tblHeader/>
        </w:trPr>
        <w:tc>
          <w:tcPr>
            <w:tcW w:w="1483" w:type="dxa"/>
            <w:vMerge/>
            <w:tcBorders>
              <w:top w:val="single" w:sz="8" w:space="0" w:color="FFFFFF"/>
              <w:left w:val="single" w:sz="4" w:space="0" w:color="FFFFFF"/>
              <w:bottom w:val="single" w:sz="4" w:space="0" w:color="FFFFFF"/>
              <w:right w:val="single" w:sz="4" w:space="0" w:color="FFFFFF"/>
            </w:tcBorders>
          </w:tcPr>
          <w:p w14:paraId="3CBAA342" w14:textId="77777777" w:rsidR="00EB6564" w:rsidRDefault="00EB6564">
            <w:pPr>
              <w:pStyle w:val="NoParagraphStyle"/>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F15E8AD" w14:textId="77777777" w:rsidR="00EB6564" w:rsidRDefault="00EB6564">
            <w:pPr>
              <w:pStyle w:val="06bTABLEHEADERROW"/>
              <w:jc w:val="center"/>
            </w:pPr>
            <w:r>
              <w:t>Number of exceedances (days)§</w:t>
            </w:r>
          </w:p>
        </w:tc>
        <w:tc>
          <w:tcPr>
            <w:tcW w:w="148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68C1C8C" w14:textId="77777777" w:rsidR="00EB6564" w:rsidRDefault="00EB6564">
            <w:pPr>
              <w:pStyle w:val="06bTABLEHEADERROW"/>
              <w:jc w:val="center"/>
            </w:pPr>
            <w:r>
              <w:t>NEPM goal compliance</w:t>
            </w:r>
          </w:p>
        </w:tc>
        <w:tc>
          <w:tcPr>
            <w:tcW w:w="148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8300FB0" w14:textId="77777777" w:rsidR="00EB6564" w:rsidRDefault="00EB6564">
            <w:pPr>
              <w:pStyle w:val="06bTABLEHEADERROW"/>
              <w:jc w:val="center"/>
            </w:pPr>
            <w:r>
              <w:t>Annual average (µg/m</w:t>
            </w:r>
            <w:r>
              <w:rPr>
                <w:vertAlign w:val="superscript"/>
              </w:rPr>
              <w:t>3</w:t>
            </w:r>
            <w:r>
              <w:t>)</w:t>
            </w:r>
          </w:p>
        </w:tc>
        <w:tc>
          <w:tcPr>
            <w:tcW w:w="148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6D68AD5" w14:textId="77777777" w:rsidR="00EB6564" w:rsidRDefault="00EB6564">
            <w:pPr>
              <w:pStyle w:val="06bTABLEHEADERROW"/>
              <w:jc w:val="center"/>
            </w:pPr>
            <w:r>
              <w:t>NEPM goal compliance</w:t>
            </w:r>
          </w:p>
        </w:tc>
      </w:tr>
      <w:tr w:rsidR="00EB6564" w14:paraId="255527A3" w14:textId="77777777" w:rsidTr="008B4D97">
        <w:trPr>
          <w:trHeight w:val="60"/>
        </w:trPr>
        <w:tc>
          <w:tcPr>
            <w:tcW w:w="741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2AD0BFA7" w14:textId="77777777" w:rsidR="00EB6564" w:rsidRDefault="00EB6564">
            <w:pPr>
              <w:pStyle w:val="06cTABLETEXT"/>
            </w:pPr>
            <w:r>
              <w:rPr>
                <w:rStyle w:val="BOLD"/>
              </w:rPr>
              <w:t>South East Queensland</w:t>
            </w:r>
          </w:p>
        </w:tc>
      </w:tr>
      <w:tr w:rsidR="00EB6564" w14:paraId="6863067B"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EDE5402" w14:textId="77777777" w:rsidR="00EB6564" w:rsidRDefault="00EB6564">
            <w:pPr>
              <w:pStyle w:val="06cTABLETEXT"/>
            </w:pPr>
            <w:r>
              <w:t>Mountain Creek+</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249A89E" w14:textId="77777777" w:rsidR="00EB6564" w:rsidRDefault="00EB6564">
            <w:pPr>
              <w:pStyle w:val="06cTABLETEXT"/>
              <w:jc w:val="center"/>
            </w:pPr>
            <w:r>
              <w:t>5 (5)</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ED691B6"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8A0C491" w14:textId="77777777" w:rsidR="00EB6564" w:rsidRDefault="00EB6564">
            <w:pPr>
              <w:pStyle w:val="06cTABLETEXT"/>
              <w:jc w:val="center"/>
            </w:pPr>
            <w:r>
              <w:t>19.6</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AA1B329" w14:textId="77777777" w:rsidR="00EB6564" w:rsidRDefault="00EB6564">
            <w:pPr>
              <w:pStyle w:val="06cTABLETEXT"/>
              <w:jc w:val="center"/>
            </w:pPr>
            <w:r>
              <w:t>Met</w:t>
            </w:r>
          </w:p>
        </w:tc>
      </w:tr>
      <w:tr w:rsidR="00EB6564" w14:paraId="6BA2D926"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9FC8DAD" w14:textId="77777777" w:rsidR="00EB6564" w:rsidRDefault="00EB6564">
            <w:pPr>
              <w:pStyle w:val="06cTABLETEXT"/>
            </w:pPr>
            <w:r>
              <w:t>Rocklea†</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8D3FC64" w14:textId="77777777" w:rsidR="00EB6564" w:rsidRDefault="00EB6564">
            <w:pPr>
              <w:pStyle w:val="06cTABLETEXT"/>
              <w:jc w:val="center"/>
            </w:pPr>
            <w:r>
              <w:t>5 (5)</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7865A4C"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8430AE0" w14:textId="77777777" w:rsidR="00EB6564" w:rsidRDefault="00EB6564">
            <w:pPr>
              <w:pStyle w:val="06cTABLETEXT"/>
              <w:jc w:val="center"/>
            </w:pPr>
            <w:r>
              <w:t>15.0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F04F11E" w14:textId="77777777" w:rsidR="00EB6564" w:rsidRDefault="00EB6564">
            <w:pPr>
              <w:pStyle w:val="06cTABLETEXT"/>
              <w:jc w:val="center"/>
            </w:pPr>
            <w:r>
              <w:t>Met</w:t>
            </w:r>
          </w:p>
        </w:tc>
      </w:tr>
      <w:tr w:rsidR="00EB6564" w14:paraId="48399C7E"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1716B0F" w14:textId="77777777" w:rsidR="00EB6564" w:rsidRDefault="00EB6564">
            <w:pPr>
              <w:pStyle w:val="06cTABLETEXT"/>
            </w:pPr>
            <w:r>
              <w:t>Springwood†</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724F9C9" w14:textId="77777777" w:rsidR="00EB6564" w:rsidRDefault="00EB6564">
            <w:pPr>
              <w:pStyle w:val="06cTABLETEXT"/>
              <w:jc w:val="center"/>
            </w:pPr>
            <w:r>
              <w:t>2 (2)</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08F7DF8"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BE066CA" w14:textId="77777777" w:rsidR="00EB6564" w:rsidRDefault="00EB6564">
            <w:pPr>
              <w:pStyle w:val="06cTABLETEXT"/>
              <w:jc w:val="center"/>
            </w:pPr>
            <w:r>
              <w:t>13.1</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D4291A" w14:textId="77777777" w:rsidR="00EB6564" w:rsidRDefault="00EB6564">
            <w:pPr>
              <w:pStyle w:val="06cTABLETEXT"/>
              <w:jc w:val="center"/>
            </w:pPr>
            <w:r>
              <w:t>Met</w:t>
            </w:r>
          </w:p>
        </w:tc>
      </w:tr>
      <w:tr w:rsidR="00EB6564" w14:paraId="146E5350"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53563A4" w14:textId="77777777" w:rsidR="00EB6564" w:rsidRDefault="00EB6564">
            <w:pPr>
              <w:pStyle w:val="06cTABLETEXT"/>
            </w:pPr>
            <w:r>
              <w:t>Southport†</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C3C6A90" w14:textId="77777777" w:rsidR="00EB6564" w:rsidRDefault="00EB6564">
            <w:pPr>
              <w:pStyle w:val="06cTABLETEXT"/>
              <w:jc w:val="center"/>
            </w:pPr>
            <w:r>
              <w:t>4 (4)</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4D0E3F0" w14:textId="77777777" w:rsidR="00EB6564" w:rsidRDefault="00EB6564">
            <w:pPr>
              <w:pStyle w:val="06cTABLETEXT"/>
              <w:jc w:val="center"/>
            </w:pPr>
            <w:r>
              <w:t>ND*</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CC54EEC" w14:textId="77777777" w:rsidR="00EB6564" w:rsidRDefault="00EB6564">
            <w:pPr>
              <w:pStyle w:val="06cTABLETEXT"/>
              <w:jc w:val="center"/>
            </w:pPr>
            <w:r>
              <w:t>15.8</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8717A51" w14:textId="77777777" w:rsidR="00EB6564" w:rsidRDefault="00EB6564">
            <w:pPr>
              <w:pStyle w:val="06cTABLETEXT"/>
              <w:jc w:val="center"/>
            </w:pPr>
            <w:r>
              <w:t>ND*</w:t>
            </w:r>
          </w:p>
        </w:tc>
      </w:tr>
      <w:tr w:rsidR="00EB6564" w14:paraId="1FB48E3B"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77EEE64" w14:textId="77777777" w:rsidR="00EB6564" w:rsidRDefault="00EB6564">
            <w:pPr>
              <w:pStyle w:val="06cTABLETEXT"/>
            </w:pPr>
            <w:r>
              <w:t>Flinders View+</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B8C535D" w14:textId="77777777" w:rsidR="00EB6564" w:rsidRDefault="00EB6564">
            <w:pPr>
              <w:pStyle w:val="06cTABLETEXT"/>
              <w:jc w:val="center"/>
            </w:pPr>
            <w:r>
              <w:t>6 (6)</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166D2E1"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0B4CF25" w14:textId="77777777" w:rsidR="00EB6564" w:rsidRDefault="00EB6564">
            <w:pPr>
              <w:pStyle w:val="06cTABLETEXT"/>
              <w:jc w:val="center"/>
            </w:pPr>
            <w:r>
              <w:t>20.0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37B63E8" w14:textId="77777777" w:rsidR="00EB6564" w:rsidRDefault="00EB6564">
            <w:pPr>
              <w:pStyle w:val="06cTABLETEXT"/>
              <w:jc w:val="center"/>
            </w:pPr>
            <w:r>
              <w:t>Met</w:t>
            </w:r>
          </w:p>
        </w:tc>
      </w:tr>
      <w:tr w:rsidR="00EB6564" w14:paraId="1D885082"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CC12F55" w14:textId="77777777" w:rsidR="00EB6564" w:rsidRDefault="00EB6564">
            <w:pPr>
              <w:pStyle w:val="06cTABLETEXT"/>
            </w:pPr>
            <w:r>
              <w:t>Gladstone</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41B36C" w14:textId="77777777" w:rsidR="00EB6564" w:rsidRDefault="00EB6564">
            <w:pPr>
              <w:pStyle w:val="NoParagraphStyle"/>
              <w:spacing w:line="240" w:lineRule="auto"/>
              <w:textAlignment w:val="auto"/>
              <w:rPr>
                <w:rFonts w:ascii="Calibri" w:hAnsi="Calibri" w:cs="Calibri"/>
                <w:color w:val="auto"/>
              </w:rPr>
            </w:pP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58D08E1" w14:textId="77777777" w:rsidR="00EB6564" w:rsidRDefault="00EB6564">
            <w:pPr>
              <w:pStyle w:val="NoParagraphStyle"/>
              <w:spacing w:line="240" w:lineRule="auto"/>
              <w:textAlignment w:val="auto"/>
              <w:rPr>
                <w:rFonts w:ascii="Calibri" w:hAnsi="Calibri" w:cs="Calibri"/>
                <w:color w:val="auto"/>
              </w:rPr>
            </w:pP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E9A86FE" w14:textId="77777777" w:rsidR="00EB6564" w:rsidRDefault="00EB6564">
            <w:pPr>
              <w:pStyle w:val="NoParagraphStyle"/>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9397D4A" w14:textId="77777777" w:rsidR="00EB6564" w:rsidRDefault="00EB6564">
            <w:pPr>
              <w:pStyle w:val="NoParagraphStyle"/>
              <w:spacing w:line="240" w:lineRule="auto"/>
              <w:textAlignment w:val="auto"/>
              <w:rPr>
                <w:rFonts w:ascii="Calibri" w:hAnsi="Calibri" w:cs="Calibri"/>
                <w:color w:val="auto"/>
              </w:rPr>
            </w:pPr>
          </w:p>
        </w:tc>
      </w:tr>
      <w:tr w:rsidR="00EB6564" w14:paraId="3D2EC850"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1854FCA" w14:textId="77777777" w:rsidR="00EB6564" w:rsidRDefault="00EB6564">
            <w:pPr>
              <w:pStyle w:val="06cTABLETEXT"/>
            </w:pPr>
            <w:r>
              <w:t>South Gladstone†</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252B394" w14:textId="77777777" w:rsidR="00EB6564" w:rsidRDefault="00EB6564">
            <w:pPr>
              <w:pStyle w:val="06cTABLETEXT"/>
              <w:jc w:val="center"/>
            </w:pPr>
            <w:r>
              <w:t>5 (5)</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9BFFB45"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5178358" w14:textId="77777777" w:rsidR="00EB6564" w:rsidRDefault="00EB6564">
            <w:pPr>
              <w:pStyle w:val="06cTABLETEXT"/>
              <w:jc w:val="center"/>
            </w:pPr>
            <w:r>
              <w:t>13.9</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216BBC9" w14:textId="77777777" w:rsidR="00EB6564" w:rsidRDefault="00EB6564">
            <w:pPr>
              <w:pStyle w:val="06cTABLETEXT"/>
              <w:jc w:val="center"/>
            </w:pPr>
            <w:r>
              <w:t>Met</w:t>
            </w:r>
          </w:p>
        </w:tc>
      </w:tr>
      <w:tr w:rsidR="00EB6564" w14:paraId="702DF7A4" w14:textId="77777777" w:rsidTr="008B4D97">
        <w:trPr>
          <w:trHeight w:val="60"/>
        </w:trPr>
        <w:tc>
          <w:tcPr>
            <w:tcW w:w="741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6C78B0B" w14:textId="77777777" w:rsidR="00EB6564" w:rsidRDefault="00EB6564">
            <w:pPr>
              <w:pStyle w:val="06cTABLETEXT"/>
            </w:pPr>
            <w:r>
              <w:rPr>
                <w:rStyle w:val="BOLD"/>
              </w:rPr>
              <w:lastRenderedPageBreak/>
              <w:t>Mackay</w:t>
            </w:r>
          </w:p>
        </w:tc>
      </w:tr>
      <w:tr w:rsidR="00EB6564" w14:paraId="52066B0E"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E8235D5" w14:textId="77777777" w:rsidR="00EB6564" w:rsidRDefault="00EB6564">
            <w:pPr>
              <w:pStyle w:val="06cTABLETEXT"/>
            </w:pPr>
            <w:r>
              <w:t>West Mackay+</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457EB8B" w14:textId="77777777" w:rsidR="00EB6564" w:rsidRDefault="00EB6564">
            <w:pPr>
              <w:pStyle w:val="06cTABLETEXT"/>
              <w:jc w:val="center"/>
            </w:pPr>
            <w:r>
              <w:t>5 (3)</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BF4120E" w14:textId="77777777" w:rsidR="00EB6564" w:rsidRDefault="00EB6564">
            <w:pPr>
              <w:pStyle w:val="06cTABLETEXT"/>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D6585C4" w14:textId="77777777" w:rsidR="00EB6564" w:rsidRDefault="00EB6564">
            <w:pPr>
              <w:pStyle w:val="06cTABLETEXT"/>
              <w:jc w:val="center"/>
            </w:pPr>
            <w:r>
              <w:t>22.4</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AC99282" w14:textId="77777777" w:rsidR="00EB6564" w:rsidRDefault="00EB6564">
            <w:pPr>
              <w:pStyle w:val="06cTABLETEXT"/>
              <w:jc w:val="center"/>
            </w:pPr>
            <w:r>
              <w:t>Met</w:t>
            </w:r>
          </w:p>
        </w:tc>
      </w:tr>
      <w:tr w:rsidR="00EB6564" w14:paraId="1FB8CC9A" w14:textId="77777777" w:rsidTr="008B4D97">
        <w:trPr>
          <w:trHeight w:val="60"/>
        </w:trPr>
        <w:tc>
          <w:tcPr>
            <w:tcW w:w="741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5B45CC3B" w14:textId="77777777" w:rsidR="00EB6564" w:rsidRDefault="00EB6564">
            <w:pPr>
              <w:pStyle w:val="06cTABLETEXT"/>
            </w:pPr>
            <w:r>
              <w:rPr>
                <w:rStyle w:val="BOLD"/>
              </w:rPr>
              <w:t>Townsville</w:t>
            </w:r>
          </w:p>
        </w:tc>
      </w:tr>
      <w:tr w:rsidR="00EB6564" w14:paraId="054B32B2"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F8DE945" w14:textId="77777777" w:rsidR="00EB6564" w:rsidRDefault="00EB6564">
            <w:pPr>
              <w:pStyle w:val="06cTABLETEXT"/>
            </w:pPr>
            <w:r>
              <w:t>North Ward‡</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23AADD1"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02B1C25"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0E37C88" w14:textId="77777777" w:rsidR="00EB6564" w:rsidRDefault="00EB6564">
            <w:pPr>
              <w:pStyle w:val="06cTABLETEXT"/>
              <w:jc w:val="center"/>
            </w:pPr>
            <w:r>
              <w:t>15.0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22D0CA7" w14:textId="77777777" w:rsidR="00EB6564" w:rsidRDefault="00EB6564">
            <w:pPr>
              <w:pStyle w:val="06cTABLETEXT"/>
              <w:jc w:val="center"/>
            </w:pPr>
            <w:r>
              <w:t>Met</w:t>
            </w:r>
          </w:p>
        </w:tc>
      </w:tr>
      <w:tr w:rsidR="00EB6564" w14:paraId="4C42156A" w14:textId="77777777" w:rsidTr="008B4D97">
        <w:trPr>
          <w:trHeight w:val="60"/>
        </w:trPr>
        <w:tc>
          <w:tcPr>
            <w:tcW w:w="741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0E49558" w14:textId="77777777" w:rsidR="00EB6564" w:rsidRDefault="00EB6564">
            <w:pPr>
              <w:pStyle w:val="06cTABLETEXT"/>
            </w:pPr>
            <w:r>
              <w:rPr>
                <w:rStyle w:val="BOLD"/>
              </w:rPr>
              <w:t>Mount Isa</w:t>
            </w:r>
          </w:p>
        </w:tc>
      </w:tr>
      <w:tr w:rsidR="00EB6564" w14:paraId="5248861F"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E3C6DCC" w14:textId="77777777" w:rsidR="00EB6564" w:rsidRDefault="00EB6564">
            <w:pPr>
              <w:pStyle w:val="06cTABLETEXT"/>
            </w:pPr>
            <w:r>
              <w:t>The Gap+</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F4CE4A8" w14:textId="77777777" w:rsidR="00EB6564" w:rsidRDefault="00EB6564">
            <w:pPr>
              <w:pStyle w:val="06cTABLETEXT"/>
              <w:jc w:val="center"/>
            </w:pPr>
            <w:r>
              <w:t>15 (14)</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3ECC7B1" w14:textId="77777777" w:rsidR="00EB6564" w:rsidRDefault="00EB6564">
            <w:pPr>
              <w:pStyle w:val="06cTABLETEXT"/>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DB58FCA" w14:textId="77777777" w:rsidR="00EB6564" w:rsidRDefault="00EB6564">
            <w:pPr>
              <w:pStyle w:val="06cTABLETEXT"/>
              <w:jc w:val="center"/>
            </w:pPr>
            <w:r>
              <w:t>23.9</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95A24F4" w14:textId="77777777" w:rsidR="00EB6564" w:rsidRDefault="00EB6564">
            <w:pPr>
              <w:pStyle w:val="06cTABLETEXT"/>
              <w:jc w:val="center"/>
            </w:pPr>
            <w:r>
              <w:t>Met</w:t>
            </w:r>
          </w:p>
        </w:tc>
      </w:tr>
    </w:tbl>
    <w:p w14:paraId="2AF3DB4C" w14:textId="77777777" w:rsidR="00EB6564" w:rsidRDefault="00EB6564" w:rsidP="002A5286">
      <w:pPr>
        <w:pStyle w:val="07FOOTNOTES"/>
        <w:spacing w:after="0"/>
      </w:pPr>
      <w:r>
        <w:t>ND = Not demonstrated.</w:t>
      </w:r>
    </w:p>
    <w:p w14:paraId="6830C0AF" w14:textId="77777777" w:rsidR="00EB6564" w:rsidRDefault="00EB6564" w:rsidP="002A5286">
      <w:pPr>
        <w:pStyle w:val="07FOOTNOTES"/>
        <w:spacing w:after="0"/>
      </w:pPr>
      <w:r>
        <w:t xml:space="preserve">§ </w:t>
      </w:r>
      <w:r>
        <w:tab/>
        <w:t xml:space="preserve">Bracketed value </w:t>
      </w:r>
      <w:proofErr w:type="gramStart"/>
      <w:r>
        <w:t>( )</w:t>
      </w:r>
      <w:proofErr w:type="gramEnd"/>
      <w:r>
        <w:t xml:space="preserve"> indicates the number of exceedances determined to be directly associated with an exceptional event (e.g. bushfire smoke or dust storm) and, as such, excluded from assessment of compliance with the 24-hour standard. </w:t>
      </w:r>
    </w:p>
    <w:p w14:paraId="315CDDC1" w14:textId="77777777" w:rsidR="00EB6564" w:rsidRDefault="00EB6564" w:rsidP="002A5286">
      <w:pPr>
        <w:pStyle w:val="07FOOTNOTES"/>
        <w:spacing w:after="0"/>
      </w:pPr>
      <w:r>
        <w:t xml:space="preserve">+ </w:t>
      </w:r>
      <w:r>
        <w:tab/>
        <w:t xml:space="preserve">Monitoring by TEOM Model 1405 instrumentation. </w:t>
      </w:r>
    </w:p>
    <w:p w14:paraId="52B40955" w14:textId="77777777" w:rsidR="00EB6564" w:rsidRDefault="00EB6564" w:rsidP="002A5286">
      <w:pPr>
        <w:pStyle w:val="07FOOTNOTES"/>
        <w:spacing w:after="0"/>
      </w:pPr>
      <w:r>
        <w:t xml:space="preserve">† </w:t>
      </w:r>
      <w:r>
        <w:tab/>
        <w:t>Monitoring by TEOM Model 1405DF instrumentation fitted with FDMS.</w:t>
      </w:r>
    </w:p>
    <w:p w14:paraId="5FD6E203" w14:textId="77777777" w:rsidR="00EB6564" w:rsidRDefault="00EB6564" w:rsidP="002A5286">
      <w:pPr>
        <w:pStyle w:val="07FOOTNOTES"/>
        <w:spacing w:after="0"/>
      </w:pPr>
      <w:r>
        <w:t xml:space="preserve">‡ </w:t>
      </w:r>
      <w:r>
        <w:tab/>
        <w:t>Monitoring by TAPI T640X optical particle spectrometer.</w:t>
      </w:r>
    </w:p>
    <w:p w14:paraId="51A968A7" w14:textId="77777777" w:rsidR="00EB6564" w:rsidRDefault="00EB6564" w:rsidP="00EB6564">
      <w:pPr>
        <w:pStyle w:val="07FOOTNOTES"/>
      </w:pPr>
      <w:r>
        <w:t xml:space="preserve">* </w:t>
      </w:r>
      <w:r>
        <w:tab/>
        <w:t>Not demonstrated due to insufficient data (</w:t>
      </w:r>
      <w:proofErr w:type="gramStart"/>
      <w:r>
        <w:t>i.e.</w:t>
      </w:r>
      <w:proofErr w:type="gramEnd"/>
      <w:r>
        <w:t xml:space="preserve"> less than 75 per cent) in one or more quarters due to monitoring not commencing until 23 February 2018.</w:t>
      </w: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313E727E" w14:textId="77777777" w:rsidTr="00134EA2">
        <w:trPr>
          <w:trHeight w:val="60"/>
          <w:tblHeader/>
        </w:trPr>
        <w:tc>
          <w:tcPr>
            <w:tcW w:w="1701" w:type="dxa"/>
            <w:vMerge w:val="restart"/>
            <w:tcMar>
              <w:top w:w="85" w:type="dxa"/>
              <w:left w:w="85" w:type="dxa"/>
              <w:bottom w:w="85" w:type="dxa"/>
              <w:right w:w="85" w:type="dxa"/>
            </w:tcMar>
          </w:tcPr>
          <w:p w14:paraId="5EB9973A" w14:textId="77777777" w:rsidR="00EB6564" w:rsidRDefault="00EB6564" w:rsidP="00134EA2">
            <w:pPr>
              <w:pStyle w:val="CHEMICALCHEMTABLES"/>
              <w:keepNext/>
              <w:spacing w:after="0" w:line="240" w:lineRule="auto"/>
            </w:pPr>
            <w:r>
              <w:t>PM</w:t>
            </w:r>
            <w:r>
              <w:rPr>
                <w:vertAlign w:val="subscript"/>
              </w:rPr>
              <w:t>2.5</w:t>
            </w:r>
          </w:p>
        </w:tc>
        <w:tc>
          <w:tcPr>
            <w:tcW w:w="5731" w:type="dxa"/>
            <w:tcMar>
              <w:top w:w="85" w:type="dxa"/>
              <w:left w:w="85" w:type="dxa"/>
              <w:bottom w:w="85" w:type="dxa"/>
              <w:right w:w="85" w:type="dxa"/>
            </w:tcMar>
          </w:tcPr>
          <w:p w14:paraId="10EB62EA" w14:textId="77777777" w:rsidR="00EB6564" w:rsidRDefault="00EB6564" w:rsidP="00134EA2">
            <w:pPr>
              <w:pStyle w:val="CHEMICALfullnameCHEMTABLES"/>
              <w:keepNext/>
              <w:spacing w:after="0" w:line="240" w:lineRule="auto"/>
            </w:pPr>
            <w:r>
              <w:t>Particles as PM</w:t>
            </w:r>
            <w:r>
              <w:rPr>
                <w:vertAlign w:val="subscript"/>
              </w:rPr>
              <w:t>2.5</w:t>
            </w:r>
          </w:p>
        </w:tc>
      </w:tr>
      <w:tr w:rsidR="00EB6564" w14:paraId="27019A2A" w14:textId="77777777" w:rsidTr="00134EA2">
        <w:trPr>
          <w:trHeight w:val="60"/>
          <w:tblHeader/>
        </w:trPr>
        <w:tc>
          <w:tcPr>
            <w:tcW w:w="1701" w:type="dxa"/>
            <w:vMerge/>
          </w:tcPr>
          <w:p w14:paraId="43BB0A30"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7982B909" w14:textId="77777777" w:rsidR="00EB6564" w:rsidRDefault="00EB6564" w:rsidP="00134EA2">
            <w:pPr>
              <w:pStyle w:val="NEPMstandardCHEMTABLES"/>
              <w:keepNext/>
              <w:spacing w:after="0" w:line="240" w:lineRule="auto"/>
            </w:pPr>
            <w:r>
              <w:t>(NEPM standard 1 day = 25µg/m</w:t>
            </w:r>
            <w:r>
              <w:rPr>
                <w:vertAlign w:val="superscript"/>
              </w:rPr>
              <w:t>3</w:t>
            </w:r>
            <w:r>
              <w:t xml:space="preserve"> (excluding exceptional events), 1 year = 8µg/m</w:t>
            </w:r>
            <w:r>
              <w:rPr>
                <w:vertAlign w:val="superscript"/>
              </w:rPr>
              <w:t>3</w:t>
            </w:r>
            <w:r>
              <w:t>)</w:t>
            </w:r>
          </w:p>
        </w:tc>
      </w:tr>
      <w:tr w:rsidR="00EB6564" w14:paraId="5B05D57C" w14:textId="77777777" w:rsidTr="00134EA2">
        <w:trPr>
          <w:trHeight w:hRule="exact" w:val="113"/>
        </w:trPr>
        <w:tc>
          <w:tcPr>
            <w:tcW w:w="1701" w:type="dxa"/>
            <w:tcMar>
              <w:top w:w="85" w:type="dxa"/>
              <w:left w:w="85" w:type="dxa"/>
              <w:bottom w:w="85" w:type="dxa"/>
              <w:right w:w="85" w:type="dxa"/>
            </w:tcMar>
          </w:tcPr>
          <w:p w14:paraId="0383F588"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786F25B0" w14:textId="77777777" w:rsidR="00EB6564" w:rsidRDefault="00EB6564" w:rsidP="00134EA2">
            <w:pPr>
              <w:pStyle w:val="NoParagraphStyle"/>
              <w:keepNext/>
              <w:spacing w:line="240" w:lineRule="auto"/>
              <w:textAlignment w:val="auto"/>
              <w:rPr>
                <w:rFonts w:ascii="Calibri" w:hAnsi="Calibri" w:cs="Calibri"/>
                <w:color w:val="auto"/>
              </w:rPr>
            </w:pPr>
          </w:p>
        </w:tc>
      </w:tr>
    </w:tbl>
    <w:p w14:paraId="09DBDC54" w14:textId="77777777" w:rsidR="00EB6564" w:rsidRDefault="00EB6564" w:rsidP="008B4D97">
      <w:pPr>
        <w:pStyle w:val="05BODYTEXT"/>
        <w:keepN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1483"/>
        <w:gridCol w:w="1484"/>
        <w:gridCol w:w="1483"/>
        <w:gridCol w:w="1483"/>
        <w:gridCol w:w="1484"/>
      </w:tblGrid>
      <w:tr w:rsidR="00EB6564" w14:paraId="1F990347" w14:textId="77777777">
        <w:trPr>
          <w:trHeight w:val="6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2A033AB" w14:textId="77777777" w:rsidR="00EB6564" w:rsidRDefault="00EB6564" w:rsidP="008B4D97">
            <w:pPr>
              <w:pStyle w:val="06bTABLEHEADERROW"/>
              <w:spacing w:line="240" w:lineRule="auto"/>
            </w:pPr>
            <w:r>
              <w:t>Station</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6EB06F4" w14:textId="77777777" w:rsidR="00EB6564" w:rsidRDefault="00EB6564" w:rsidP="008B4D97">
            <w:pPr>
              <w:pStyle w:val="06bTABLEHEADERROW"/>
              <w:spacing w:line="240" w:lineRule="auto"/>
              <w:jc w:val="center"/>
            </w:pPr>
            <w:r>
              <w:t>1 day</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176A4B1" w14:textId="77777777" w:rsidR="00EB6564" w:rsidRDefault="00EB6564" w:rsidP="008B4D97">
            <w:pPr>
              <w:pStyle w:val="06bTABLEHEADERROW"/>
              <w:spacing w:line="240" w:lineRule="auto"/>
              <w:jc w:val="center"/>
            </w:pPr>
            <w:r>
              <w:t>1 year</w:t>
            </w:r>
          </w:p>
        </w:tc>
      </w:tr>
      <w:tr w:rsidR="00EB6564" w14:paraId="09C3729E" w14:textId="77777777" w:rsidTr="008B4D97">
        <w:trPr>
          <w:trHeight w:val="60"/>
          <w:tblHeader/>
        </w:trPr>
        <w:tc>
          <w:tcPr>
            <w:tcW w:w="1483" w:type="dxa"/>
            <w:vMerge/>
            <w:tcBorders>
              <w:top w:val="single" w:sz="8" w:space="0" w:color="FFFFFF"/>
              <w:left w:val="single" w:sz="4" w:space="0" w:color="FFFFFF"/>
              <w:bottom w:val="single" w:sz="4" w:space="0" w:color="FFFFFF"/>
              <w:right w:val="single" w:sz="4" w:space="0" w:color="FFFFFF"/>
            </w:tcBorders>
          </w:tcPr>
          <w:p w14:paraId="4C1F80A0" w14:textId="77777777" w:rsidR="00EB6564" w:rsidRDefault="00EB6564" w:rsidP="008B4D97">
            <w:pPr>
              <w:pStyle w:val="NoParagraphStyle"/>
              <w:keepNext/>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F965F0D" w14:textId="77777777" w:rsidR="00EB6564" w:rsidRDefault="00EB6564" w:rsidP="008B4D97">
            <w:pPr>
              <w:pStyle w:val="06bTABLEHEADERROW"/>
              <w:spacing w:line="240" w:lineRule="auto"/>
              <w:jc w:val="center"/>
            </w:pPr>
            <w:r>
              <w:t>Number of exceedances (days)§</w:t>
            </w:r>
          </w:p>
        </w:tc>
        <w:tc>
          <w:tcPr>
            <w:tcW w:w="148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6C96942" w14:textId="77777777" w:rsidR="00EB6564" w:rsidRDefault="00EB6564" w:rsidP="008B4D97">
            <w:pPr>
              <w:pStyle w:val="06bTABLEHEADERROW"/>
              <w:spacing w:line="240" w:lineRule="auto"/>
              <w:jc w:val="center"/>
            </w:pPr>
            <w:r>
              <w:t>NEPM goal compliance</w:t>
            </w:r>
          </w:p>
        </w:tc>
        <w:tc>
          <w:tcPr>
            <w:tcW w:w="148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7D80CC7" w14:textId="77777777" w:rsidR="00EB6564" w:rsidRDefault="00EB6564" w:rsidP="008B4D97">
            <w:pPr>
              <w:pStyle w:val="06bTABLEHEADERROW"/>
              <w:spacing w:line="240" w:lineRule="auto"/>
              <w:jc w:val="center"/>
            </w:pPr>
            <w:r>
              <w:t>Annual average (µg/m</w:t>
            </w:r>
            <w:r>
              <w:rPr>
                <w:vertAlign w:val="superscript"/>
              </w:rPr>
              <w:t>3</w:t>
            </w:r>
            <w:r>
              <w:t>)</w:t>
            </w:r>
          </w:p>
        </w:tc>
        <w:tc>
          <w:tcPr>
            <w:tcW w:w="148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66EF540" w14:textId="77777777" w:rsidR="00EB6564" w:rsidRDefault="00EB6564" w:rsidP="008B4D97">
            <w:pPr>
              <w:pStyle w:val="06bTABLEHEADERROW"/>
              <w:spacing w:line="240" w:lineRule="auto"/>
              <w:jc w:val="center"/>
            </w:pPr>
            <w:r>
              <w:t>NEPM goal compliance</w:t>
            </w:r>
          </w:p>
        </w:tc>
      </w:tr>
      <w:tr w:rsidR="00EB6564" w14:paraId="619A012A" w14:textId="77777777" w:rsidTr="008B4D97">
        <w:trPr>
          <w:trHeight w:val="60"/>
        </w:trPr>
        <w:tc>
          <w:tcPr>
            <w:tcW w:w="741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2A10CD20" w14:textId="77777777" w:rsidR="00EB6564" w:rsidRDefault="00EB6564" w:rsidP="008B4D97">
            <w:pPr>
              <w:pStyle w:val="06cTABLETEXT"/>
              <w:keepNext/>
              <w:spacing w:line="240" w:lineRule="auto"/>
            </w:pPr>
            <w:r>
              <w:rPr>
                <w:rStyle w:val="BOLD"/>
              </w:rPr>
              <w:t>South East Queensland</w:t>
            </w:r>
          </w:p>
        </w:tc>
      </w:tr>
      <w:tr w:rsidR="00EB6564" w14:paraId="1E5AD5E2"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C2B9F77" w14:textId="77777777" w:rsidR="00EB6564" w:rsidRDefault="00EB6564" w:rsidP="008B4D97">
            <w:pPr>
              <w:pStyle w:val="06cTABLETEXT"/>
              <w:keepNext/>
              <w:spacing w:line="240" w:lineRule="auto"/>
            </w:pPr>
            <w:r>
              <w:t>Rocklea+</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91980E" w14:textId="77777777" w:rsidR="00EB6564" w:rsidRDefault="00EB6564" w:rsidP="008B4D97">
            <w:pPr>
              <w:pStyle w:val="06cTABLETEXT"/>
              <w:keepNext/>
              <w:spacing w:line="240" w:lineRule="auto"/>
              <w:jc w:val="center"/>
            </w:pPr>
            <w:r>
              <w:t>2 (2)</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C834CCB" w14:textId="77777777" w:rsidR="00EB6564" w:rsidRDefault="00EB6564" w:rsidP="008B4D97">
            <w:pPr>
              <w:pStyle w:val="06cTABLETEXT"/>
              <w:keepNext/>
              <w:spacing w:line="240" w:lineRule="auto"/>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425DD50" w14:textId="77777777" w:rsidR="00EB6564" w:rsidRDefault="00EB6564" w:rsidP="008B4D97">
            <w:pPr>
              <w:pStyle w:val="06cTABLETEXT"/>
              <w:keepNext/>
              <w:spacing w:line="240" w:lineRule="auto"/>
              <w:jc w:val="center"/>
            </w:pPr>
            <w:r>
              <w:t>6.4</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BA8308A" w14:textId="77777777" w:rsidR="00EB6564" w:rsidRDefault="00EB6564" w:rsidP="008B4D97">
            <w:pPr>
              <w:pStyle w:val="06cTABLETEXT"/>
              <w:keepNext/>
              <w:spacing w:line="240" w:lineRule="auto"/>
              <w:jc w:val="center"/>
            </w:pPr>
            <w:r>
              <w:t>Met</w:t>
            </w:r>
          </w:p>
        </w:tc>
      </w:tr>
      <w:tr w:rsidR="00EB6564" w14:paraId="0AAB094A"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DCBF7F9" w14:textId="77777777" w:rsidR="00EB6564" w:rsidRDefault="00EB6564" w:rsidP="008B4D97">
            <w:pPr>
              <w:pStyle w:val="06cTABLETEXT"/>
              <w:keepNext/>
              <w:spacing w:line="240" w:lineRule="auto"/>
            </w:pPr>
            <w:r>
              <w:t>Springwood+</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4F4E021" w14:textId="77777777" w:rsidR="00EB6564" w:rsidRDefault="00EB6564" w:rsidP="008B4D97">
            <w:pPr>
              <w:pStyle w:val="06cTABLETEXT"/>
              <w:keepNext/>
              <w:spacing w:line="240" w:lineRule="auto"/>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1470F35" w14:textId="77777777" w:rsidR="00EB6564" w:rsidRDefault="00EB6564" w:rsidP="008B4D97">
            <w:pPr>
              <w:pStyle w:val="06cTABLETEXT"/>
              <w:keepNext/>
              <w:spacing w:line="240" w:lineRule="auto"/>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E1F2718" w14:textId="77777777" w:rsidR="00EB6564" w:rsidRDefault="00EB6564" w:rsidP="008B4D97">
            <w:pPr>
              <w:pStyle w:val="06cTABLETEXT"/>
              <w:keepNext/>
              <w:spacing w:line="240" w:lineRule="auto"/>
              <w:jc w:val="center"/>
            </w:pPr>
            <w:r>
              <w:t>5.9</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C2B7818" w14:textId="77777777" w:rsidR="00EB6564" w:rsidRDefault="00EB6564" w:rsidP="008B4D97">
            <w:pPr>
              <w:pStyle w:val="06cTABLETEXT"/>
              <w:keepNext/>
              <w:spacing w:line="240" w:lineRule="auto"/>
              <w:jc w:val="center"/>
            </w:pPr>
            <w:r>
              <w:t>Met</w:t>
            </w:r>
          </w:p>
        </w:tc>
      </w:tr>
      <w:tr w:rsidR="00EB6564" w14:paraId="73057D95"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E9003D1" w14:textId="77777777" w:rsidR="00EB6564" w:rsidRDefault="00EB6564" w:rsidP="008B4D97">
            <w:pPr>
              <w:pStyle w:val="06cTABLETEXT"/>
              <w:keepNext/>
              <w:spacing w:line="240" w:lineRule="auto"/>
            </w:pPr>
            <w:r>
              <w:t>Southport+</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5EF6202" w14:textId="77777777" w:rsidR="00EB6564" w:rsidRDefault="00EB6564" w:rsidP="008B4D97">
            <w:pPr>
              <w:pStyle w:val="06cTABLETEXT"/>
              <w:keepNext/>
              <w:spacing w:line="240" w:lineRule="auto"/>
              <w:jc w:val="center"/>
            </w:pPr>
            <w:r>
              <w:t>6 (6)</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B8FD4F2" w14:textId="77777777" w:rsidR="00EB6564" w:rsidRDefault="00EB6564" w:rsidP="008B4D97">
            <w:pPr>
              <w:pStyle w:val="06cTABLETEXT"/>
              <w:keepNext/>
              <w:spacing w:line="240" w:lineRule="auto"/>
              <w:jc w:val="center"/>
            </w:pPr>
            <w:r>
              <w:t>ND*</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7E9292C" w14:textId="77777777" w:rsidR="00EB6564" w:rsidRDefault="00EB6564" w:rsidP="008B4D97">
            <w:pPr>
              <w:pStyle w:val="06cTABLETEXT"/>
              <w:keepNext/>
              <w:spacing w:line="240" w:lineRule="auto"/>
              <w:jc w:val="center"/>
            </w:pPr>
            <w:r>
              <w:t>6.5</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6DD4DFC" w14:textId="77777777" w:rsidR="00EB6564" w:rsidRDefault="00EB6564" w:rsidP="008B4D97">
            <w:pPr>
              <w:pStyle w:val="06cTABLETEXT"/>
              <w:keepNext/>
              <w:spacing w:line="240" w:lineRule="auto"/>
              <w:jc w:val="center"/>
            </w:pPr>
            <w:r>
              <w:t>ND*</w:t>
            </w:r>
          </w:p>
        </w:tc>
      </w:tr>
      <w:tr w:rsidR="00EB6564" w14:paraId="5310CDDE" w14:textId="77777777" w:rsidTr="008B4D97">
        <w:trPr>
          <w:trHeight w:val="60"/>
        </w:trPr>
        <w:tc>
          <w:tcPr>
            <w:tcW w:w="741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4AFB072" w14:textId="77777777" w:rsidR="00EB6564" w:rsidRDefault="00EB6564" w:rsidP="008B4D97">
            <w:pPr>
              <w:pStyle w:val="06cTABLETEXT"/>
              <w:keepNext/>
              <w:spacing w:line="240" w:lineRule="auto"/>
            </w:pPr>
            <w:r>
              <w:rPr>
                <w:rStyle w:val="BOLD"/>
              </w:rPr>
              <w:t>Gladstone</w:t>
            </w:r>
          </w:p>
        </w:tc>
      </w:tr>
      <w:tr w:rsidR="00EB6564" w14:paraId="3BD481C2"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6B6B04A" w14:textId="77777777" w:rsidR="00EB6564" w:rsidRDefault="00EB6564" w:rsidP="008B4D97">
            <w:pPr>
              <w:pStyle w:val="06cTABLETEXT"/>
              <w:keepNext/>
              <w:spacing w:line="240" w:lineRule="auto"/>
            </w:pPr>
            <w:r>
              <w:t>South Gladstone+</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995DD46" w14:textId="77777777" w:rsidR="00EB6564" w:rsidRDefault="00EB6564" w:rsidP="008B4D97">
            <w:pPr>
              <w:pStyle w:val="06cTABLETEXT"/>
              <w:keepNext/>
              <w:spacing w:line="240" w:lineRule="auto"/>
              <w:jc w:val="center"/>
            </w:pPr>
            <w:r>
              <w:t>7 (7)</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556B0D4" w14:textId="77777777" w:rsidR="00EB6564" w:rsidRDefault="00EB6564" w:rsidP="008B4D97">
            <w:pPr>
              <w:pStyle w:val="06cTABLETEXT"/>
              <w:keepNext/>
              <w:spacing w:line="240" w:lineRule="auto"/>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9CA8C28" w14:textId="77777777" w:rsidR="00EB6564" w:rsidRDefault="00EB6564" w:rsidP="008B4D97">
            <w:pPr>
              <w:pStyle w:val="06cTABLETEXT"/>
              <w:keepNext/>
              <w:spacing w:line="240" w:lineRule="auto"/>
              <w:jc w:val="center"/>
            </w:pPr>
            <w:r>
              <w:t>5.5</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6FBDE3" w14:textId="77777777" w:rsidR="00EB6564" w:rsidRDefault="00EB6564" w:rsidP="008B4D97">
            <w:pPr>
              <w:pStyle w:val="06cTABLETEXT"/>
              <w:keepNext/>
              <w:spacing w:line="240" w:lineRule="auto"/>
              <w:jc w:val="center"/>
            </w:pPr>
            <w:r>
              <w:t>Met</w:t>
            </w:r>
          </w:p>
        </w:tc>
      </w:tr>
      <w:tr w:rsidR="00EB6564" w14:paraId="506EC335" w14:textId="77777777" w:rsidTr="008B4D97">
        <w:trPr>
          <w:trHeight w:val="60"/>
        </w:trPr>
        <w:tc>
          <w:tcPr>
            <w:tcW w:w="741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6282D693" w14:textId="77777777" w:rsidR="00EB6564" w:rsidRDefault="00EB6564" w:rsidP="008B4D97">
            <w:pPr>
              <w:pStyle w:val="06cTABLETEXT"/>
              <w:keepNext/>
              <w:spacing w:line="240" w:lineRule="auto"/>
            </w:pPr>
            <w:r>
              <w:rPr>
                <w:rStyle w:val="BOLD"/>
              </w:rPr>
              <w:t>Townsville</w:t>
            </w:r>
          </w:p>
        </w:tc>
      </w:tr>
      <w:tr w:rsidR="00EB6564" w14:paraId="52213F70"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443A11E" w14:textId="77777777" w:rsidR="00EB6564" w:rsidRDefault="00EB6564">
            <w:pPr>
              <w:pStyle w:val="06cTABLETEXT"/>
            </w:pPr>
            <w:r>
              <w:t>North Ward‡</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188E612" w14:textId="77777777" w:rsidR="00EB6564" w:rsidRDefault="00EB6564">
            <w:pPr>
              <w:pStyle w:val="06cTABLETEXT"/>
              <w:jc w:val="center"/>
            </w:pPr>
            <w:r>
              <w:t>2 (2)</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BEF2924"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10A1370" w14:textId="77777777" w:rsidR="00EB6564" w:rsidRDefault="00EB6564">
            <w:pPr>
              <w:pStyle w:val="06cTABLETEXT"/>
              <w:jc w:val="center"/>
            </w:pPr>
            <w:r>
              <w:t>5.6</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985C7F" w14:textId="77777777" w:rsidR="00EB6564" w:rsidRDefault="00EB6564">
            <w:pPr>
              <w:pStyle w:val="06cTABLETEXT"/>
              <w:jc w:val="center"/>
            </w:pPr>
            <w:r>
              <w:t>Met</w:t>
            </w:r>
          </w:p>
        </w:tc>
      </w:tr>
    </w:tbl>
    <w:p w14:paraId="66B6195F" w14:textId="77777777" w:rsidR="00EB6564" w:rsidRDefault="00EB6564" w:rsidP="002A5286">
      <w:pPr>
        <w:pStyle w:val="07FOOTNOTES"/>
        <w:spacing w:after="0"/>
      </w:pPr>
      <w:r>
        <w:t>ND = Not demonstrated.</w:t>
      </w:r>
    </w:p>
    <w:p w14:paraId="72F84A25" w14:textId="77777777" w:rsidR="00EB6564" w:rsidRDefault="00EB6564" w:rsidP="002A5286">
      <w:pPr>
        <w:pStyle w:val="07FOOTNOTES"/>
        <w:spacing w:after="0"/>
      </w:pPr>
      <w:r>
        <w:t xml:space="preserve">§ </w:t>
      </w:r>
      <w:r>
        <w:tab/>
        <w:t xml:space="preserve">Bracketed value </w:t>
      </w:r>
      <w:proofErr w:type="gramStart"/>
      <w:r>
        <w:t>( )</w:t>
      </w:r>
      <w:proofErr w:type="gramEnd"/>
      <w:r>
        <w:t xml:space="preserve"> indicates the number of exceedances determined to be directly associated with an exceptional event (bushfire smoke) and, as such, excluded from assessment of compliance with the 24-hour standard. </w:t>
      </w:r>
    </w:p>
    <w:p w14:paraId="3A415837" w14:textId="77777777" w:rsidR="00EB6564" w:rsidRDefault="00EB6564" w:rsidP="002A5286">
      <w:pPr>
        <w:pStyle w:val="07FOOTNOTES"/>
        <w:spacing w:after="0"/>
      </w:pPr>
      <w:r>
        <w:t xml:space="preserve">+ </w:t>
      </w:r>
      <w:r>
        <w:tab/>
        <w:t>monitoring by TEOM Model 1405DF instrumentation fitted with FDMS.</w:t>
      </w:r>
    </w:p>
    <w:p w14:paraId="77E209AC" w14:textId="77777777" w:rsidR="00EB6564" w:rsidRDefault="00EB6564" w:rsidP="002A5286">
      <w:pPr>
        <w:pStyle w:val="07FOOTNOTES"/>
        <w:spacing w:after="0"/>
      </w:pPr>
      <w:r>
        <w:t xml:space="preserve">‡ </w:t>
      </w:r>
      <w:r>
        <w:tab/>
        <w:t>monitoring by TAPI T640X optical particle spectrometer.</w:t>
      </w:r>
    </w:p>
    <w:p w14:paraId="359A0791" w14:textId="77777777" w:rsidR="00EB6564" w:rsidRDefault="00EB6564" w:rsidP="00EB6564">
      <w:pPr>
        <w:pStyle w:val="07FOOTNOTES"/>
      </w:pPr>
      <w:r>
        <w:t xml:space="preserve">* </w:t>
      </w:r>
      <w:r>
        <w:tab/>
        <w:t>Not demonstrated due to insufficient data (</w:t>
      </w:r>
      <w:proofErr w:type="gramStart"/>
      <w:r>
        <w:t>i.e.</w:t>
      </w:r>
      <w:proofErr w:type="gramEnd"/>
      <w:r>
        <w:t xml:space="preserve"> less than 75 per cent) in one or more quarters due to monitoring not commencing until 23 February 2018.</w:t>
      </w:r>
    </w:p>
    <w:p w14:paraId="1D97EA14" w14:textId="77777777" w:rsidR="00EB6564" w:rsidRPr="009408AB" w:rsidRDefault="00EB6564" w:rsidP="00CB0DA6">
      <w:pPr>
        <w:pStyle w:val="Heading2"/>
      </w:pPr>
      <w:bookmarkStart w:id="29" w:name="_Toc58254383"/>
      <w:r w:rsidRPr="009408AB">
        <w:lastRenderedPageBreak/>
        <w:t>Western Australia</w:t>
      </w:r>
      <w:bookmarkEnd w:id="29"/>
    </w:p>
    <w:p w14:paraId="67FBBB09" w14:textId="77777777" w:rsidR="00EB6564" w:rsidRDefault="00EB6564" w:rsidP="00EB6564">
      <w:pPr>
        <w:pStyle w:val="05BODYTEXT"/>
        <w:rPr>
          <w:rStyle w:val="ITALIC"/>
        </w:rPr>
      </w:pPr>
      <w:r>
        <w:rPr>
          <w:rStyle w:val="ITALIC"/>
        </w:rPr>
        <w:t>Report to the NEPC on the implementation of the National Environment Protection (Ambient Air Quality) Measure for Western Australia by the Hon. Stephen Dawson, MLC Minister for Environment; Disability Services; Electoral Affairs for the reporting year ended 30 June 2019.</w:t>
      </w:r>
    </w:p>
    <w:p w14:paraId="3F4323D5" w14:textId="77777777" w:rsidR="00EB6564" w:rsidRDefault="00EB6564" w:rsidP="00EB6564">
      <w:pPr>
        <w:pStyle w:val="02HEADING2"/>
      </w:pPr>
      <w:r>
        <w:t>Part 1—Implementation of the NEPM and any significant issues</w:t>
      </w:r>
    </w:p>
    <w:p w14:paraId="0DC27ADF" w14:textId="77777777" w:rsidR="00EB6564" w:rsidRDefault="00EB6564" w:rsidP="00EB6564">
      <w:pPr>
        <w:pStyle w:val="05BODYTEXT"/>
      </w:pPr>
      <w:r>
        <w:t xml:space="preserve">In Western Australia, the National Environment Protection (Ambient Air Quality) Measure (NEPM) is implemented by the Department of Water and Environmental Regulation (DWER) under the </w:t>
      </w:r>
      <w:r>
        <w:rPr>
          <w:rStyle w:val="ITALIC"/>
        </w:rPr>
        <w:t>National Environment Protection Council (WA) Act 1996</w:t>
      </w:r>
      <w:r>
        <w:t xml:space="preserve"> and the</w:t>
      </w:r>
      <w:r>
        <w:rPr>
          <w:rStyle w:val="ITALIC"/>
        </w:rPr>
        <w:t xml:space="preserve"> Environmental Protection Act 1986</w:t>
      </w:r>
      <w:r>
        <w:t>.</w:t>
      </w:r>
    </w:p>
    <w:p w14:paraId="78F08457" w14:textId="77777777" w:rsidR="00EB6564" w:rsidRDefault="00EB6564" w:rsidP="00EB6564">
      <w:pPr>
        <w:pStyle w:val="05BODYTEXT"/>
      </w:pPr>
      <w:r>
        <w:t xml:space="preserve">Implementation activities may be viewed in two categories: </w:t>
      </w:r>
    </w:p>
    <w:p w14:paraId="3E11FAD0" w14:textId="77777777" w:rsidR="00EB6564" w:rsidRDefault="00EB6564" w:rsidP="00EB6564">
      <w:pPr>
        <w:pStyle w:val="05bDOTPOINTS"/>
      </w:pPr>
      <w:r>
        <w:t>•</w:t>
      </w:r>
      <w:r>
        <w:tab/>
        <w:t xml:space="preserve">those activities related to implementing the monitoring and reporting protocol of the NEPM, plus other activities associated with the ‘Future Actions’ listed in the NEPM Impact Statement; and </w:t>
      </w:r>
    </w:p>
    <w:p w14:paraId="52CFC51E" w14:textId="77777777" w:rsidR="00EB6564" w:rsidRDefault="00EB6564" w:rsidP="00EB6564">
      <w:pPr>
        <w:pStyle w:val="05bDOTPOINTS"/>
      </w:pPr>
      <w:r>
        <w:t>•</w:t>
      </w:r>
      <w:r>
        <w:tab/>
        <w:t xml:space="preserve">those activities within Western Australia (including regulatory activities) designed to ensure that air quality is in compliance with the NEPM goal for each of the seven criteria pollutants. </w:t>
      </w:r>
    </w:p>
    <w:p w14:paraId="07C9FBA6" w14:textId="77777777" w:rsidR="00EB6564" w:rsidRDefault="00EB6564" w:rsidP="00EB6564">
      <w:pPr>
        <w:pStyle w:val="05BODYTEXT"/>
      </w:pPr>
      <w:r>
        <w:t xml:space="preserve">In the first category, DWER has: </w:t>
      </w:r>
    </w:p>
    <w:p w14:paraId="6AC7CA6C" w14:textId="77777777" w:rsidR="00EB6564" w:rsidRDefault="00EB6564" w:rsidP="00EB6564">
      <w:pPr>
        <w:pStyle w:val="05bDOTPOINTS"/>
      </w:pPr>
      <w:r>
        <w:t>•</w:t>
      </w:r>
      <w:r>
        <w:tab/>
        <w:t xml:space="preserve">continued to liaise with local governments and other organisations as required to facilitate the establishment of fixed ambient monitoring stations. </w:t>
      </w:r>
    </w:p>
    <w:p w14:paraId="0DAD7724" w14:textId="77777777" w:rsidR="00EB6564" w:rsidRDefault="00EB6564" w:rsidP="00EB6564">
      <w:pPr>
        <w:pStyle w:val="05bDOTPOINTS"/>
      </w:pPr>
      <w:r>
        <w:t>•</w:t>
      </w:r>
      <w:r>
        <w:tab/>
        <w:t xml:space="preserve">maintained monitoring of carbon monoxide, oxides of nitrogen, ozone, </w:t>
      </w:r>
      <w:proofErr w:type="spellStart"/>
      <w:r>
        <w:t>sulfur</w:t>
      </w:r>
      <w:proofErr w:type="spellEnd"/>
      <w:r>
        <w:t xml:space="preserve"> dioxide and PM</w:t>
      </w:r>
      <w:r>
        <w:rPr>
          <w:vertAlign w:val="subscript"/>
        </w:rPr>
        <w:t>10</w:t>
      </w:r>
      <w:r>
        <w:t xml:space="preserve"> and PM</w:t>
      </w:r>
      <w:r>
        <w:rPr>
          <w:vertAlign w:val="subscript"/>
        </w:rPr>
        <w:t>2.5</w:t>
      </w:r>
      <w:r>
        <w:t xml:space="preserve"> particle fractions.</w:t>
      </w:r>
    </w:p>
    <w:p w14:paraId="52C054C0" w14:textId="77777777" w:rsidR="00EB6564" w:rsidRDefault="00EB6564" w:rsidP="00EB6564">
      <w:pPr>
        <w:pStyle w:val="05BODYTEXT"/>
      </w:pPr>
      <w:r>
        <w:t xml:space="preserve">In the second category, DWER has: </w:t>
      </w:r>
    </w:p>
    <w:p w14:paraId="37803E30" w14:textId="77777777" w:rsidR="00EB6564" w:rsidRDefault="00EB6564" w:rsidP="00EB6564">
      <w:pPr>
        <w:pStyle w:val="05bDOTPOINTS"/>
      </w:pPr>
      <w:r>
        <w:t>•</w:t>
      </w:r>
      <w:r>
        <w:tab/>
        <w:t xml:space="preserve">continued to implement the Perth Air Quality Management Plan (AQMP). The AQMP is a whole of government plan aimed at improving and maintaining Perth’s air quality. Implementation of a number of priority actions within the AQMP has commenced in addition to a number of ongoing programs. </w:t>
      </w:r>
    </w:p>
    <w:p w14:paraId="4DDE9B9E" w14:textId="77777777" w:rsidR="00EB6564" w:rsidRDefault="00EB6564" w:rsidP="00EB6564">
      <w:pPr>
        <w:pStyle w:val="05bDOTPOINTS"/>
      </w:pPr>
      <w:r>
        <w:t>•</w:t>
      </w:r>
      <w:r>
        <w:tab/>
        <w:t>continued to investigate and trial a number of new monitoring technologies designed to establish a better understanding of the sources and emissions of pollutants and the dispersion of these pollutants in targeted areas. This includes monitoring campaigns that survey air quality in residential and other sensitive receptor areas, particularly where these areas may be impacted by industrial emissions.</w:t>
      </w:r>
    </w:p>
    <w:p w14:paraId="7004D09D" w14:textId="1663607F" w:rsidR="00EB6564" w:rsidRDefault="00EB6564" w:rsidP="00EB6564">
      <w:pPr>
        <w:pStyle w:val="05bDOTPOINTS"/>
      </w:pPr>
      <w:r>
        <w:t>•</w:t>
      </w:r>
      <w:r>
        <w:tab/>
        <w:t>maintained community access to the regularly updated air quality index through DWER’s webpage (</w:t>
      </w:r>
      <w:hyperlink r:id="rId45" w:history="1">
        <w:r w:rsidRPr="00276A45">
          <w:rPr>
            <w:rStyle w:val="Hyperlink"/>
            <w:color w:val="4472C4" w:themeColor="accent1"/>
            <w:u w:val="single"/>
          </w:rPr>
          <w:t>www.der.wa.gov.au/your-environment/air</w:t>
        </w:r>
      </w:hyperlink>
      <w:r>
        <w:t>); and</w:t>
      </w:r>
    </w:p>
    <w:p w14:paraId="03C41D89" w14:textId="77777777" w:rsidR="00EB6564" w:rsidRDefault="00EB6564" w:rsidP="00EB6564">
      <w:pPr>
        <w:pStyle w:val="05bDOTPOINTS"/>
      </w:pPr>
      <w:r>
        <w:t>•</w:t>
      </w:r>
      <w:r>
        <w:tab/>
        <w:t xml:space="preserve">Regulated emissions from industrial premises through works approvals and licences to control emissions of the criteria pollutants. </w:t>
      </w:r>
    </w:p>
    <w:p w14:paraId="15ADC60C" w14:textId="77777777" w:rsidR="00EB6564" w:rsidRDefault="00EB6564" w:rsidP="00EB6564">
      <w:pPr>
        <w:pStyle w:val="02HEADING2"/>
      </w:pPr>
      <w:r>
        <w:t>Part 2—Assessment of NEPM effectiveness</w:t>
      </w:r>
    </w:p>
    <w:p w14:paraId="46937374" w14:textId="77777777" w:rsidR="00EB6564" w:rsidRDefault="00EB6564" w:rsidP="00EB6564">
      <w:pPr>
        <w:pStyle w:val="05BODYTEXT"/>
      </w:pPr>
      <w:r>
        <w:t xml:space="preserve">The Ambient Air Quality NEPM has provided a focus for air quality issues and driven all jurisdictions to work towards nationally consistent monitoring techniques and reporting. This has culminated in the development and approval of monitoring plans for all jurisdictions, including Western Australia. The NEPM standards and goals provide an additional impetus for the implementation of air quality improvement strategies and are a useful benchmark against which air quality management can be assessed. </w:t>
      </w:r>
    </w:p>
    <w:p w14:paraId="21C112B7" w14:textId="77777777" w:rsidR="00EB6564" w:rsidRDefault="00EB6564" w:rsidP="00EB6564">
      <w:pPr>
        <w:pStyle w:val="05BODYTEXT"/>
      </w:pPr>
      <w:r>
        <w:t xml:space="preserve">Air quality management initiatives implemented in Western Australia have placed the State in a favourable position to achieve compliance with the NEPM goals in most circumstances. For example, </w:t>
      </w:r>
      <w:proofErr w:type="spellStart"/>
      <w:r>
        <w:t>sulfur</w:t>
      </w:r>
      <w:proofErr w:type="spellEnd"/>
      <w:r>
        <w:t xml:space="preserve"> dioxide has been effectively controlled by industry regulatory means. </w:t>
      </w:r>
      <w:proofErr w:type="gramStart"/>
      <w:r>
        <w:t>Carbon monoxide,</w:t>
      </w:r>
      <w:proofErr w:type="gramEnd"/>
      <w:r>
        <w:t xml:space="preserve"> lead and nitrogen dioxide concentrations comply with the NEPM standards by comfortable margins due to clean fuel quality standards, national vehicle emissions standards and regulatory control of other sources. Ozone, PM</w:t>
      </w:r>
      <w:r>
        <w:rPr>
          <w:vertAlign w:val="subscript"/>
        </w:rPr>
        <w:t>10</w:t>
      </w:r>
      <w:r>
        <w:t xml:space="preserve"> and PM</w:t>
      </w:r>
      <w:r>
        <w:rPr>
          <w:vertAlign w:val="subscript"/>
        </w:rPr>
        <w:t>2.5</w:t>
      </w:r>
      <w:r>
        <w:t xml:space="preserve"> remain pollutants of concern in the Perth metropolitan region and are the focus of attention within the AQMP, particularly the management of domestic PM</w:t>
      </w:r>
      <w:r>
        <w:rPr>
          <w:vertAlign w:val="subscript"/>
        </w:rPr>
        <w:t>10</w:t>
      </w:r>
      <w:r>
        <w:t xml:space="preserve"> and PM</w:t>
      </w:r>
      <w:r>
        <w:rPr>
          <w:vertAlign w:val="subscript"/>
        </w:rPr>
        <w:t>2.5</w:t>
      </w:r>
      <w:r>
        <w:t xml:space="preserve"> sources. In regional areas, PM</w:t>
      </w:r>
      <w:r>
        <w:rPr>
          <w:vertAlign w:val="subscript"/>
        </w:rPr>
        <w:t>10</w:t>
      </w:r>
      <w:r>
        <w:t xml:space="preserve"> and PM</w:t>
      </w:r>
      <w:r>
        <w:rPr>
          <w:vertAlign w:val="subscript"/>
        </w:rPr>
        <w:t>2.5</w:t>
      </w:r>
      <w:r>
        <w:t xml:space="preserve"> are the pollutants of most significance with respect to the NEPM standards.</w:t>
      </w:r>
    </w:p>
    <w:p w14:paraId="06F7CDB3" w14:textId="77777777" w:rsidR="00EB6564" w:rsidRDefault="00EB6564" w:rsidP="00EB6564">
      <w:pPr>
        <w:pStyle w:val="05BODYTEXT"/>
      </w:pPr>
      <w:r>
        <w:t>The data presented below show that Western Australia met the NEPM goals for all pollutants in calendar year 2018 except for daily average PM</w:t>
      </w:r>
      <w:r>
        <w:rPr>
          <w:vertAlign w:val="subscript"/>
        </w:rPr>
        <w:t>10</w:t>
      </w:r>
      <w:r>
        <w:t xml:space="preserve"> at Albany, Caversham and Geraldton and the daily average PM</w:t>
      </w:r>
      <w:r>
        <w:rPr>
          <w:vertAlign w:val="subscript"/>
        </w:rPr>
        <w:t>2.5</w:t>
      </w:r>
      <w:r>
        <w:t xml:space="preserve"> NEPM goal at Bunbury, Busselton and Kalgoorlie. The annual goal for PM</w:t>
      </w:r>
      <w:r>
        <w:rPr>
          <w:vertAlign w:val="subscript"/>
        </w:rPr>
        <w:t>2.5</w:t>
      </w:r>
      <w:r>
        <w:t xml:space="preserve"> was not met at South Lake and Bunbury.</w:t>
      </w:r>
    </w:p>
    <w:p w14:paraId="6B9B0FFC" w14:textId="77777777" w:rsidR="00EB6564" w:rsidRDefault="00EB6564" w:rsidP="00EB6564">
      <w:pPr>
        <w:pStyle w:val="05BODYTEXT"/>
      </w:pPr>
      <w:r>
        <w:t>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the standard for a pollutant is exceeded on no more than a specified number of days in a calendar year (one day per year for all pollutants except PM</w:t>
      </w:r>
      <w:r>
        <w:rPr>
          <w:vertAlign w:val="subscript"/>
        </w:rPr>
        <w:t>10</w:t>
      </w:r>
      <w:r>
        <w:t xml:space="preserve"> and PM</w:t>
      </w:r>
      <w:r>
        <w:rPr>
          <w:vertAlign w:val="subscript"/>
        </w:rPr>
        <w:t>2.5</w:t>
      </w:r>
      <w:r>
        <w:t xml:space="preserve">, which may not be exceeded unless due to an exceptional event) and at least 75% of data are captured in each quarter. </w:t>
      </w:r>
    </w:p>
    <w:p w14:paraId="36C12D16" w14:textId="42A6C7CA" w:rsidR="00EB6564" w:rsidRDefault="00EB6564" w:rsidP="00EB6564">
      <w:pPr>
        <w:pStyle w:val="05BODYTEXT"/>
      </w:pPr>
      <w:r>
        <w:t xml:space="preserve">The data are presented in greater detail in the Annual Western Australia Air Monitoring Report available on the DWER website, along with the West Australian Monitoring Plan at </w:t>
      </w:r>
      <w:hyperlink r:id="rId46" w:history="1">
        <w:r w:rsidRPr="00276A45">
          <w:rPr>
            <w:rStyle w:val="Hyperlink"/>
            <w:color w:val="4472C4" w:themeColor="accent1"/>
            <w:u w:val="single"/>
          </w:rPr>
          <w:t>https://www.der.wa.gov.au/your-environment/air/203-air-quality-publications</w:t>
        </w:r>
      </w:hyperlink>
      <w: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78A55B40" w14:textId="77777777" w:rsidTr="00134EA2">
        <w:trPr>
          <w:trHeight w:val="60"/>
          <w:tblHeader/>
        </w:trPr>
        <w:tc>
          <w:tcPr>
            <w:tcW w:w="1701" w:type="dxa"/>
            <w:vMerge w:val="restart"/>
            <w:tcMar>
              <w:top w:w="85" w:type="dxa"/>
              <w:left w:w="85" w:type="dxa"/>
              <w:bottom w:w="85" w:type="dxa"/>
              <w:right w:w="85" w:type="dxa"/>
            </w:tcMar>
          </w:tcPr>
          <w:p w14:paraId="00BEAD79" w14:textId="77777777" w:rsidR="00EB6564" w:rsidRDefault="00EB6564" w:rsidP="00134EA2">
            <w:pPr>
              <w:pStyle w:val="CHEMICALCHEMTABLES"/>
              <w:spacing w:after="0" w:line="240" w:lineRule="auto"/>
            </w:pPr>
            <w:r>
              <w:lastRenderedPageBreak/>
              <w:t>CO</w:t>
            </w:r>
          </w:p>
        </w:tc>
        <w:tc>
          <w:tcPr>
            <w:tcW w:w="5731" w:type="dxa"/>
            <w:tcMar>
              <w:top w:w="85" w:type="dxa"/>
              <w:left w:w="85" w:type="dxa"/>
              <w:bottom w:w="85" w:type="dxa"/>
              <w:right w:w="85" w:type="dxa"/>
            </w:tcMar>
          </w:tcPr>
          <w:p w14:paraId="2E11B6FA" w14:textId="77777777" w:rsidR="00EB6564" w:rsidRDefault="00EB6564" w:rsidP="00134EA2">
            <w:pPr>
              <w:pStyle w:val="CHEMICALfullnameCHEMTABLES"/>
              <w:spacing w:after="0" w:line="240" w:lineRule="auto"/>
            </w:pPr>
            <w:r>
              <w:t>Carbon monoxide</w:t>
            </w:r>
          </w:p>
        </w:tc>
      </w:tr>
      <w:tr w:rsidR="00EB6564" w14:paraId="5A2F167B" w14:textId="77777777" w:rsidTr="00134EA2">
        <w:trPr>
          <w:trHeight w:val="60"/>
          <w:tblHeader/>
        </w:trPr>
        <w:tc>
          <w:tcPr>
            <w:tcW w:w="1701" w:type="dxa"/>
            <w:vMerge/>
          </w:tcPr>
          <w:p w14:paraId="7AAAA80F"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7FFE4F24" w14:textId="77777777" w:rsidR="00EB6564" w:rsidRDefault="00EB6564" w:rsidP="00134EA2">
            <w:pPr>
              <w:pStyle w:val="NEPMstandardCHEMTABLES"/>
              <w:spacing w:after="0" w:line="240" w:lineRule="auto"/>
            </w:pPr>
            <w:r>
              <w:t>(NEPM standard 8 hours = 9.0ppm)</w:t>
            </w:r>
          </w:p>
        </w:tc>
      </w:tr>
      <w:tr w:rsidR="00EB6564" w14:paraId="6687DA07" w14:textId="77777777" w:rsidTr="00134EA2">
        <w:trPr>
          <w:trHeight w:hRule="exact" w:val="113"/>
        </w:trPr>
        <w:tc>
          <w:tcPr>
            <w:tcW w:w="1701" w:type="dxa"/>
            <w:tcMar>
              <w:top w:w="85" w:type="dxa"/>
              <w:left w:w="85" w:type="dxa"/>
              <w:bottom w:w="85" w:type="dxa"/>
              <w:right w:w="85" w:type="dxa"/>
            </w:tcMar>
          </w:tcPr>
          <w:p w14:paraId="5B7E5701"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18DCB7E7" w14:textId="77777777" w:rsidR="00EB6564" w:rsidRDefault="00EB6564" w:rsidP="00134EA2">
            <w:pPr>
              <w:pStyle w:val="NoParagraphStyle"/>
              <w:spacing w:line="240" w:lineRule="auto"/>
              <w:textAlignment w:val="auto"/>
              <w:rPr>
                <w:rFonts w:ascii="Calibri" w:hAnsi="Calibri" w:cs="Calibri"/>
                <w:color w:val="auto"/>
              </w:rPr>
            </w:pPr>
          </w:p>
        </w:tc>
      </w:tr>
    </w:tbl>
    <w:p w14:paraId="04C438D4"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2472"/>
        <w:gridCol w:w="2473"/>
        <w:gridCol w:w="2472"/>
      </w:tblGrid>
      <w:tr w:rsidR="00EB6564" w14:paraId="0D8DAB4D" w14:textId="77777777" w:rsidTr="002A5286">
        <w:trPr>
          <w:trHeight w:val="60"/>
          <w:tblHeader/>
        </w:trPr>
        <w:tc>
          <w:tcPr>
            <w:tcW w:w="2472"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6C4E146" w14:textId="77777777" w:rsidR="00EB6564" w:rsidRDefault="00EB6564">
            <w:pPr>
              <w:pStyle w:val="06bTABLEHEADERROW"/>
            </w:pPr>
            <w:r>
              <w:t>Station</w:t>
            </w:r>
          </w:p>
        </w:tc>
        <w:tc>
          <w:tcPr>
            <w:tcW w:w="247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A032679" w14:textId="77777777" w:rsidR="00EB6564" w:rsidRDefault="00EB6564">
            <w:pPr>
              <w:pStyle w:val="06bTABLEHEADERROW"/>
              <w:jc w:val="center"/>
            </w:pPr>
            <w:r>
              <w:t>Number of exceedances</w:t>
            </w:r>
          </w:p>
        </w:tc>
        <w:tc>
          <w:tcPr>
            <w:tcW w:w="2472"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5E7ED76" w14:textId="77777777" w:rsidR="00EB6564" w:rsidRDefault="00EB6564">
            <w:pPr>
              <w:pStyle w:val="06bTABLEHEADERROW"/>
              <w:jc w:val="center"/>
            </w:pPr>
            <w:r>
              <w:t>NEPM goal compliance</w:t>
            </w:r>
          </w:p>
        </w:tc>
      </w:tr>
      <w:tr w:rsidR="00EB6564" w14:paraId="5CAB16FE" w14:textId="77777777" w:rsidTr="002A5286">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0EF15DE0" w14:textId="77777777" w:rsidR="00EB6564" w:rsidRDefault="00EB6564">
            <w:pPr>
              <w:pStyle w:val="06cTABLETEXT"/>
            </w:pPr>
            <w:r>
              <w:rPr>
                <w:rStyle w:val="BOLD"/>
              </w:rPr>
              <w:t>Perth</w:t>
            </w:r>
          </w:p>
        </w:tc>
      </w:tr>
      <w:tr w:rsidR="00EB6564" w14:paraId="5B73F6B1" w14:textId="77777777" w:rsidTr="002A5286">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A9DE617" w14:textId="77777777" w:rsidR="00EB6564" w:rsidRDefault="00EB6564">
            <w:pPr>
              <w:pStyle w:val="06cTABLETEXT"/>
            </w:pPr>
            <w:r>
              <w:t>North East Metro</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690D5B4" w14:textId="77777777" w:rsidR="00EB6564" w:rsidRDefault="00EB6564">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D630998" w14:textId="77777777" w:rsidR="00EB6564" w:rsidRDefault="00EB6564">
            <w:pPr>
              <w:pStyle w:val="06cTABLETEXT"/>
              <w:jc w:val="center"/>
            </w:pPr>
            <w:r>
              <w:t>Met</w:t>
            </w:r>
          </w:p>
        </w:tc>
      </w:tr>
      <w:tr w:rsidR="00EB6564" w14:paraId="5FAA3E10" w14:textId="77777777" w:rsidTr="002A5286">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ACBC27D" w14:textId="77777777" w:rsidR="00EB6564" w:rsidRDefault="00EB6564">
            <w:pPr>
              <w:pStyle w:val="06cTABLETEXT"/>
            </w:pPr>
            <w:r>
              <w:t>North Metro</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5F0F540" w14:textId="77777777" w:rsidR="00EB6564" w:rsidRDefault="00EB6564">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7FD68CC" w14:textId="77777777" w:rsidR="00EB6564" w:rsidRDefault="00EB6564">
            <w:pPr>
              <w:pStyle w:val="06cTABLETEXT"/>
              <w:jc w:val="center"/>
            </w:pPr>
            <w:r>
              <w:t>Met</w:t>
            </w:r>
          </w:p>
        </w:tc>
      </w:tr>
      <w:tr w:rsidR="00EB6564" w14:paraId="73E10FE5" w14:textId="77777777" w:rsidTr="002A5286">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11BD17E" w14:textId="77777777" w:rsidR="00EB6564" w:rsidRDefault="00EB6564">
            <w:pPr>
              <w:pStyle w:val="06cTABLETEXT"/>
            </w:pPr>
            <w:r>
              <w:t>South East Metro</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34094E8" w14:textId="77777777" w:rsidR="00EB6564" w:rsidRDefault="00EB6564">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F9D62B9" w14:textId="77777777" w:rsidR="00EB6564" w:rsidRDefault="00EB6564">
            <w:pPr>
              <w:pStyle w:val="06cTABLETEXT"/>
              <w:jc w:val="center"/>
            </w:pPr>
            <w:r>
              <w:t>Met</w:t>
            </w:r>
          </w:p>
        </w:tc>
      </w:tr>
      <w:tr w:rsidR="00EB6564" w14:paraId="56D7DFE7" w14:textId="77777777" w:rsidTr="002A5286">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1C2BC957" w14:textId="77777777" w:rsidR="00EB6564" w:rsidRDefault="00EB6564">
            <w:pPr>
              <w:pStyle w:val="06cTABLETEXT"/>
            </w:pPr>
            <w:r>
              <w:rPr>
                <w:rStyle w:val="BOLD"/>
              </w:rPr>
              <w:t>Goldfields</w:t>
            </w:r>
          </w:p>
        </w:tc>
      </w:tr>
      <w:tr w:rsidR="00EB6564" w14:paraId="68BF09DA" w14:textId="77777777" w:rsidTr="002A5286">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2B57DD5" w14:textId="77777777" w:rsidR="00EB6564" w:rsidRDefault="00EB6564">
            <w:pPr>
              <w:pStyle w:val="06cTABLETEXT"/>
            </w:pPr>
            <w:r>
              <w:t>Kalgoorlie</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7A910D8" w14:textId="77777777" w:rsidR="00EB6564" w:rsidRDefault="00EB6564">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BF81EB7" w14:textId="77777777" w:rsidR="00EB6564" w:rsidRDefault="00EB6564">
            <w:pPr>
              <w:pStyle w:val="06cTABLETEXT"/>
              <w:jc w:val="center"/>
            </w:pPr>
            <w:r>
              <w:t>ND</w:t>
            </w:r>
          </w:p>
        </w:tc>
      </w:tr>
    </w:tbl>
    <w:p w14:paraId="3C4E9D8D" w14:textId="77777777" w:rsidR="00EB6564" w:rsidRDefault="00EB6564" w:rsidP="00EB6564">
      <w:pPr>
        <w:pStyle w:val="07FOOTNOTES"/>
      </w:pPr>
      <w:r>
        <w:t>ND = Not demonstrated.</w:t>
      </w: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6FD1B533" w14:textId="77777777" w:rsidTr="00134EA2">
        <w:trPr>
          <w:trHeight w:val="60"/>
          <w:tblHeader/>
        </w:trPr>
        <w:tc>
          <w:tcPr>
            <w:tcW w:w="1701" w:type="dxa"/>
            <w:vMerge w:val="restart"/>
            <w:tcMar>
              <w:top w:w="85" w:type="dxa"/>
              <w:left w:w="85" w:type="dxa"/>
              <w:bottom w:w="85" w:type="dxa"/>
              <w:right w:w="85" w:type="dxa"/>
            </w:tcMar>
          </w:tcPr>
          <w:p w14:paraId="09797DE9" w14:textId="77777777" w:rsidR="00EB6564" w:rsidRDefault="00EB6564" w:rsidP="00134EA2">
            <w:pPr>
              <w:pStyle w:val="CHEMICALCHEMTABLES"/>
              <w:spacing w:after="0" w:line="240" w:lineRule="auto"/>
            </w:pPr>
            <w:r>
              <w:t>NO</w:t>
            </w:r>
            <w:r>
              <w:rPr>
                <w:vertAlign w:val="subscript"/>
              </w:rPr>
              <w:t>2</w:t>
            </w:r>
          </w:p>
        </w:tc>
        <w:tc>
          <w:tcPr>
            <w:tcW w:w="5731" w:type="dxa"/>
            <w:tcMar>
              <w:top w:w="85" w:type="dxa"/>
              <w:left w:w="85" w:type="dxa"/>
              <w:bottom w:w="85" w:type="dxa"/>
              <w:right w:w="85" w:type="dxa"/>
            </w:tcMar>
          </w:tcPr>
          <w:p w14:paraId="14DFFBF5" w14:textId="77777777" w:rsidR="00EB6564" w:rsidRDefault="00EB6564" w:rsidP="00134EA2">
            <w:pPr>
              <w:pStyle w:val="CHEMICALfullnameCHEMTABLES"/>
              <w:spacing w:after="0" w:line="240" w:lineRule="auto"/>
            </w:pPr>
            <w:r>
              <w:t>Nitrogen dioxide</w:t>
            </w:r>
          </w:p>
        </w:tc>
      </w:tr>
      <w:tr w:rsidR="00EB6564" w14:paraId="4DDA3E07" w14:textId="77777777" w:rsidTr="00134EA2">
        <w:trPr>
          <w:trHeight w:val="297"/>
          <w:tblHeader/>
        </w:trPr>
        <w:tc>
          <w:tcPr>
            <w:tcW w:w="1701" w:type="dxa"/>
            <w:vMerge/>
          </w:tcPr>
          <w:p w14:paraId="5B216581"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2B3FE8FF" w14:textId="77777777" w:rsidR="00EB6564" w:rsidRDefault="00EB6564" w:rsidP="00134EA2">
            <w:pPr>
              <w:pStyle w:val="NEPMstandardCHEMTABLES"/>
              <w:spacing w:after="0" w:line="240" w:lineRule="auto"/>
            </w:pPr>
            <w:r>
              <w:t>(NEPM standard: 1 hour = 0.12ppm, 1 year = 0.03ppm)</w:t>
            </w:r>
          </w:p>
        </w:tc>
      </w:tr>
      <w:tr w:rsidR="00EB6564" w14:paraId="08E3AE69" w14:textId="77777777" w:rsidTr="00134EA2">
        <w:trPr>
          <w:trHeight w:hRule="exact" w:val="113"/>
        </w:trPr>
        <w:tc>
          <w:tcPr>
            <w:tcW w:w="1701" w:type="dxa"/>
            <w:tcMar>
              <w:top w:w="85" w:type="dxa"/>
              <w:left w:w="85" w:type="dxa"/>
              <w:bottom w:w="85" w:type="dxa"/>
              <w:right w:w="85" w:type="dxa"/>
            </w:tcMar>
          </w:tcPr>
          <w:p w14:paraId="488A5FA5"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7F841341" w14:textId="77777777" w:rsidR="00EB6564" w:rsidRDefault="00EB6564" w:rsidP="00134EA2">
            <w:pPr>
              <w:pStyle w:val="NoParagraphStyle"/>
              <w:spacing w:line="240" w:lineRule="auto"/>
              <w:textAlignment w:val="auto"/>
              <w:rPr>
                <w:rFonts w:ascii="Calibri" w:hAnsi="Calibri" w:cs="Calibri"/>
                <w:color w:val="auto"/>
              </w:rPr>
            </w:pPr>
          </w:p>
        </w:tc>
      </w:tr>
    </w:tbl>
    <w:p w14:paraId="21A6A71F" w14:textId="77777777" w:rsidR="00EB6564" w:rsidRDefault="00EB6564" w:rsidP="00134EA2">
      <w:pPr>
        <w:pStyle w:val="05BODYT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1483"/>
        <w:gridCol w:w="1484"/>
        <w:gridCol w:w="1483"/>
        <w:gridCol w:w="1483"/>
        <w:gridCol w:w="1484"/>
      </w:tblGrid>
      <w:tr w:rsidR="00EB6564" w14:paraId="15F551E4" w14:textId="77777777">
        <w:trPr>
          <w:trHeight w:val="6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16613DA" w14:textId="77777777" w:rsidR="00EB6564" w:rsidRDefault="00EB6564">
            <w:pPr>
              <w:pStyle w:val="06bTABLEHEADERROW"/>
            </w:pPr>
            <w:r>
              <w:t>Station</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14143F88" w14:textId="77777777" w:rsidR="00EB6564" w:rsidRDefault="00EB6564">
            <w:pPr>
              <w:pStyle w:val="06bTABLEHEADERROW"/>
              <w:jc w:val="center"/>
            </w:pPr>
            <w:r>
              <w:t>1 hour</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7D5F3C2" w14:textId="77777777" w:rsidR="00EB6564" w:rsidRDefault="00EB6564">
            <w:pPr>
              <w:pStyle w:val="06bTABLEHEADERROW"/>
              <w:jc w:val="center"/>
            </w:pPr>
            <w:r>
              <w:t>1 year</w:t>
            </w:r>
          </w:p>
        </w:tc>
      </w:tr>
      <w:tr w:rsidR="00EB6564" w14:paraId="6BEA6A73" w14:textId="77777777" w:rsidTr="002A5286">
        <w:trPr>
          <w:trHeight w:val="60"/>
          <w:tblHeader/>
        </w:trPr>
        <w:tc>
          <w:tcPr>
            <w:tcW w:w="1483" w:type="dxa"/>
            <w:vMerge/>
            <w:tcBorders>
              <w:top w:val="single" w:sz="8" w:space="0" w:color="FFFFFF"/>
              <w:left w:val="single" w:sz="4" w:space="0" w:color="FFFFFF"/>
              <w:bottom w:val="single" w:sz="4" w:space="0" w:color="FFFFFF"/>
              <w:right w:val="single" w:sz="4" w:space="0" w:color="FFFFFF"/>
            </w:tcBorders>
          </w:tcPr>
          <w:p w14:paraId="7F534754" w14:textId="77777777" w:rsidR="00EB6564" w:rsidRDefault="00EB6564">
            <w:pPr>
              <w:pStyle w:val="NoParagraphStyle"/>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8E467DD" w14:textId="77777777" w:rsidR="00EB6564" w:rsidRDefault="00EB6564">
            <w:pPr>
              <w:pStyle w:val="06bTABLEHEADERROW"/>
              <w:jc w:val="center"/>
            </w:pPr>
            <w:r>
              <w:t>Number of exceedances</w:t>
            </w:r>
          </w:p>
        </w:tc>
        <w:tc>
          <w:tcPr>
            <w:tcW w:w="148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D7156FD" w14:textId="77777777" w:rsidR="00EB6564" w:rsidRDefault="00EB6564">
            <w:pPr>
              <w:pStyle w:val="06bTABLEHEADERROW"/>
              <w:jc w:val="center"/>
            </w:pPr>
            <w:r>
              <w:t>NEPM goal compliance</w:t>
            </w:r>
          </w:p>
        </w:tc>
        <w:tc>
          <w:tcPr>
            <w:tcW w:w="148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022E93F" w14:textId="77777777" w:rsidR="00EB6564" w:rsidRDefault="00EB6564">
            <w:pPr>
              <w:pStyle w:val="06bTABLEHEADERROW"/>
              <w:jc w:val="center"/>
            </w:pPr>
            <w:r>
              <w:t>Annual average (ppm)</w:t>
            </w:r>
          </w:p>
        </w:tc>
        <w:tc>
          <w:tcPr>
            <w:tcW w:w="148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65AFEB7" w14:textId="77777777" w:rsidR="00EB6564" w:rsidRDefault="00EB6564">
            <w:pPr>
              <w:pStyle w:val="06bTABLEHEADERROW"/>
              <w:jc w:val="center"/>
            </w:pPr>
            <w:r>
              <w:t>NEPM goal compliance</w:t>
            </w:r>
          </w:p>
        </w:tc>
      </w:tr>
      <w:tr w:rsidR="00EB6564" w14:paraId="51704CD3" w14:textId="77777777" w:rsidTr="008B4D97">
        <w:trPr>
          <w:trHeight w:val="60"/>
        </w:trPr>
        <w:tc>
          <w:tcPr>
            <w:tcW w:w="741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1B02B1EB" w14:textId="77777777" w:rsidR="00EB6564" w:rsidRDefault="00EB6564">
            <w:pPr>
              <w:pStyle w:val="06cTABLETEXT"/>
            </w:pPr>
            <w:r>
              <w:rPr>
                <w:rStyle w:val="BOLD"/>
              </w:rPr>
              <w:t xml:space="preserve">Perth </w:t>
            </w:r>
          </w:p>
        </w:tc>
      </w:tr>
      <w:tr w:rsidR="00EB6564" w14:paraId="5B97F7AF"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C402D4B" w14:textId="77777777" w:rsidR="00EB6564" w:rsidRDefault="00EB6564">
            <w:pPr>
              <w:pStyle w:val="06cTABLETEXT"/>
            </w:pPr>
            <w:r>
              <w:t>North Metro</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5166CA4"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852939C"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2F5C52D" w14:textId="77777777" w:rsidR="00EB6564" w:rsidRDefault="00EB6564">
            <w:pPr>
              <w:pStyle w:val="06cTABLETEXT"/>
              <w:jc w:val="center"/>
            </w:pPr>
            <w:r>
              <w:t>0.005</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99A32B3" w14:textId="77777777" w:rsidR="00EB6564" w:rsidRDefault="00EB6564">
            <w:pPr>
              <w:pStyle w:val="06cTABLETEXT"/>
              <w:jc w:val="center"/>
            </w:pPr>
            <w:r>
              <w:t>Met</w:t>
            </w:r>
          </w:p>
        </w:tc>
      </w:tr>
      <w:tr w:rsidR="00EB6564" w14:paraId="1E5E77DC"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005DBAC" w14:textId="77777777" w:rsidR="00EB6564" w:rsidRDefault="00EB6564">
            <w:pPr>
              <w:pStyle w:val="06cTABLETEXT"/>
            </w:pPr>
            <w:r>
              <w:t>North East Metro</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BC9534A"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58D16D2"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0B1676E" w14:textId="77777777" w:rsidR="00EB6564" w:rsidRDefault="00EB6564">
            <w:pPr>
              <w:pStyle w:val="06cTABLETEXT"/>
              <w:jc w:val="center"/>
            </w:pPr>
            <w:r>
              <w:t>0.005</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D9CB70" w14:textId="77777777" w:rsidR="00EB6564" w:rsidRDefault="00EB6564">
            <w:pPr>
              <w:pStyle w:val="06cTABLETEXT"/>
              <w:jc w:val="center"/>
            </w:pPr>
            <w:r>
              <w:t>Met</w:t>
            </w:r>
          </w:p>
        </w:tc>
      </w:tr>
      <w:tr w:rsidR="00EB6564" w14:paraId="5792EC75" w14:textId="77777777" w:rsidTr="008B4D97">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928E32D" w14:textId="77777777" w:rsidR="00EB6564" w:rsidRDefault="00EB6564">
            <w:pPr>
              <w:pStyle w:val="06cTABLETEXT"/>
            </w:pPr>
            <w:r>
              <w:t>South Coast</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0A00E4A"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750F7A9" w14:textId="77777777" w:rsidR="00EB6564" w:rsidRDefault="00EB6564">
            <w:pPr>
              <w:pStyle w:val="06cTABLETEXT"/>
              <w:jc w:val="center"/>
            </w:pPr>
            <w:r>
              <w:t>ND</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39F2E0" w14:textId="77777777" w:rsidR="00EB6564" w:rsidRDefault="00EB6564">
            <w:pPr>
              <w:pStyle w:val="06cTABLETEXT"/>
              <w:jc w:val="center"/>
            </w:pPr>
            <w:r>
              <w:t>0.003</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227451B" w14:textId="77777777" w:rsidR="00EB6564" w:rsidRDefault="00EB6564">
            <w:pPr>
              <w:pStyle w:val="06cTABLETEXT"/>
              <w:jc w:val="center"/>
            </w:pPr>
            <w:r>
              <w:t>ND</w:t>
            </w:r>
          </w:p>
        </w:tc>
      </w:tr>
      <w:tr w:rsidR="00EB6564" w14:paraId="2ACBE99A" w14:textId="77777777" w:rsidTr="002A5286">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A862191" w14:textId="77777777" w:rsidR="00EB6564" w:rsidRDefault="00EB6564">
            <w:pPr>
              <w:pStyle w:val="06cTABLETEXT"/>
            </w:pPr>
            <w:r>
              <w:t>Outer East Rural</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6C28214"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F052144"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2DA0C09" w14:textId="77777777" w:rsidR="00EB6564" w:rsidRDefault="00EB6564">
            <w:pPr>
              <w:pStyle w:val="06cTABLETEXT"/>
              <w:jc w:val="center"/>
            </w:pPr>
            <w:r>
              <w:t>0.002</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20CA969" w14:textId="77777777" w:rsidR="00EB6564" w:rsidRDefault="00EB6564">
            <w:pPr>
              <w:pStyle w:val="06cTABLETEXT"/>
              <w:jc w:val="center"/>
            </w:pPr>
            <w:r>
              <w:t>Met</w:t>
            </w:r>
          </w:p>
        </w:tc>
      </w:tr>
      <w:tr w:rsidR="00EB6564" w14:paraId="43157739" w14:textId="77777777" w:rsidTr="002A5286">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BCD8538" w14:textId="77777777" w:rsidR="00EB6564" w:rsidRDefault="00EB6564">
            <w:pPr>
              <w:pStyle w:val="06cTABLETEXT"/>
            </w:pPr>
            <w:r>
              <w:t>South East Metro</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67CB219"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C9538E"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E974CB3" w14:textId="77777777" w:rsidR="00EB6564" w:rsidRDefault="00EB6564">
            <w:pPr>
              <w:pStyle w:val="06cTABLETEXT"/>
              <w:jc w:val="center"/>
            </w:pPr>
            <w:r>
              <w:t>0.007</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D6627E6" w14:textId="77777777" w:rsidR="00EB6564" w:rsidRDefault="00EB6564">
            <w:pPr>
              <w:pStyle w:val="06cTABLETEXT"/>
              <w:jc w:val="center"/>
            </w:pPr>
            <w:r>
              <w:t>Met</w:t>
            </w:r>
          </w:p>
        </w:tc>
      </w:tr>
      <w:tr w:rsidR="00EB6564" w14:paraId="0C25DD7F" w14:textId="77777777" w:rsidTr="002A5286">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98BA94A" w14:textId="77777777" w:rsidR="00EB6564" w:rsidRDefault="00EB6564">
            <w:pPr>
              <w:pStyle w:val="06cTABLETEXT"/>
            </w:pPr>
            <w:r>
              <w:t>Inner West Coast</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DEA3EB7"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E74F395"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7B173C4" w14:textId="77777777" w:rsidR="00EB6564" w:rsidRDefault="00EB6564">
            <w:pPr>
              <w:pStyle w:val="06cTABLETEXT"/>
              <w:jc w:val="center"/>
            </w:pPr>
            <w:r>
              <w:t>0.004</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DB321D5" w14:textId="77777777" w:rsidR="00EB6564" w:rsidRDefault="00EB6564">
            <w:pPr>
              <w:pStyle w:val="06cTABLETEXT"/>
              <w:jc w:val="center"/>
            </w:pPr>
            <w:r>
              <w:t>Met</w:t>
            </w:r>
          </w:p>
        </w:tc>
      </w:tr>
    </w:tbl>
    <w:p w14:paraId="0BC6D2EB" w14:textId="65BDF148" w:rsidR="00EB6564" w:rsidRDefault="00EB6564" w:rsidP="00EB6564">
      <w:pPr>
        <w:pStyle w:val="07FOOTNOTES"/>
      </w:pPr>
      <w:r>
        <w:t>ND = Not demonstrated.</w:t>
      </w:r>
    </w:p>
    <w:p w14:paraId="42DE3CAF" w14:textId="62CAEF99" w:rsidR="00134EA2" w:rsidRDefault="00134EA2">
      <w:pPr>
        <w:rPr>
          <w:rFonts w:ascii="Calibri" w:hAnsi="Calibri" w:cs="Calibri"/>
          <w:color w:val="000000"/>
          <w:sz w:val="14"/>
          <w:szCs w:val="14"/>
          <w:lang w:val="en-US"/>
        </w:rPr>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8"/>
        <w:gridCol w:w="1483"/>
        <w:gridCol w:w="210"/>
        <w:gridCol w:w="1274"/>
        <w:gridCol w:w="1483"/>
        <w:gridCol w:w="1483"/>
        <w:gridCol w:w="1484"/>
        <w:gridCol w:w="7"/>
      </w:tblGrid>
      <w:tr w:rsidR="00EB6564" w14:paraId="5A4FFAD8" w14:textId="77777777" w:rsidTr="00134EA2">
        <w:trPr>
          <w:trHeight w:val="60"/>
          <w:tblHeader/>
        </w:trPr>
        <w:tc>
          <w:tcPr>
            <w:tcW w:w="1701" w:type="dxa"/>
            <w:gridSpan w:val="3"/>
            <w:vMerge w:val="restart"/>
            <w:tcMar>
              <w:top w:w="85" w:type="dxa"/>
              <w:left w:w="85" w:type="dxa"/>
              <w:bottom w:w="85" w:type="dxa"/>
              <w:right w:w="85" w:type="dxa"/>
            </w:tcMar>
          </w:tcPr>
          <w:p w14:paraId="4F4AF0EF" w14:textId="77777777" w:rsidR="00EB6564" w:rsidRDefault="00EB6564" w:rsidP="00134EA2">
            <w:pPr>
              <w:pStyle w:val="CHEMICALCHEMTABLES"/>
              <w:spacing w:after="0" w:line="240" w:lineRule="auto"/>
            </w:pPr>
            <w:r>
              <w:lastRenderedPageBreak/>
              <w:t>O</w:t>
            </w:r>
            <w:r>
              <w:rPr>
                <w:vertAlign w:val="subscript"/>
              </w:rPr>
              <w:t>3</w:t>
            </w:r>
          </w:p>
        </w:tc>
        <w:tc>
          <w:tcPr>
            <w:tcW w:w="5731" w:type="dxa"/>
            <w:gridSpan w:val="5"/>
            <w:tcMar>
              <w:top w:w="85" w:type="dxa"/>
              <w:left w:w="85" w:type="dxa"/>
              <w:bottom w:w="85" w:type="dxa"/>
              <w:right w:w="85" w:type="dxa"/>
            </w:tcMar>
          </w:tcPr>
          <w:p w14:paraId="0909DC2A" w14:textId="77777777" w:rsidR="00EB6564" w:rsidRDefault="00EB6564" w:rsidP="00134EA2">
            <w:pPr>
              <w:pStyle w:val="CHEMICALfullnameCHEMTABLES"/>
              <w:spacing w:after="0" w:line="240" w:lineRule="auto"/>
            </w:pPr>
            <w:r>
              <w:t>Ozone</w:t>
            </w:r>
          </w:p>
        </w:tc>
      </w:tr>
      <w:tr w:rsidR="00EB6564" w14:paraId="172B0CDF" w14:textId="77777777" w:rsidTr="00134EA2">
        <w:trPr>
          <w:trHeight w:val="60"/>
          <w:tblHeader/>
        </w:trPr>
        <w:tc>
          <w:tcPr>
            <w:tcW w:w="1701" w:type="dxa"/>
            <w:gridSpan w:val="3"/>
            <w:vMerge/>
          </w:tcPr>
          <w:p w14:paraId="4957042A" w14:textId="77777777" w:rsidR="00EB6564" w:rsidRDefault="00EB6564" w:rsidP="00134EA2">
            <w:pPr>
              <w:pStyle w:val="NoParagraphStyle"/>
              <w:spacing w:line="240" w:lineRule="auto"/>
              <w:textAlignment w:val="auto"/>
              <w:rPr>
                <w:rFonts w:ascii="Calibri" w:hAnsi="Calibri" w:cs="Calibri"/>
                <w:color w:val="auto"/>
              </w:rPr>
            </w:pPr>
          </w:p>
        </w:tc>
        <w:tc>
          <w:tcPr>
            <w:tcW w:w="5731" w:type="dxa"/>
            <w:gridSpan w:val="5"/>
            <w:tcMar>
              <w:top w:w="85" w:type="dxa"/>
              <w:left w:w="85" w:type="dxa"/>
              <w:bottom w:w="85" w:type="dxa"/>
              <w:right w:w="85" w:type="dxa"/>
            </w:tcMar>
          </w:tcPr>
          <w:p w14:paraId="2A4794FA" w14:textId="77777777" w:rsidR="00EB6564" w:rsidRDefault="00EB6564" w:rsidP="00134EA2">
            <w:pPr>
              <w:pStyle w:val="NEPMstandardCHEMTABLES"/>
              <w:spacing w:after="0" w:line="240" w:lineRule="auto"/>
            </w:pPr>
            <w:r>
              <w:t>(NEPM standard: 1 hour = 0.10ppm, 4 hours = 0.08ppm)</w:t>
            </w:r>
          </w:p>
        </w:tc>
      </w:tr>
      <w:tr w:rsidR="00EB6564" w14:paraId="0E7315D1" w14:textId="77777777" w:rsidTr="00134EA2">
        <w:trPr>
          <w:trHeight w:hRule="exact" w:val="113"/>
        </w:trPr>
        <w:tc>
          <w:tcPr>
            <w:tcW w:w="1701" w:type="dxa"/>
            <w:gridSpan w:val="3"/>
            <w:tcMar>
              <w:top w:w="85" w:type="dxa"/>
              <w:left w:w="85" w:type="dxa"/>
              <w:bottom w:w="85" w:type="dxa"/>
              <w:right w:w="85" w:type="dxa"/>
            </w:tcMar>
          </w:tcPr>
          <w:p w14:paraId="69997684" w14:textId="77777777" w:rsidR="00EB6564" w:rsidRDefault="00EB6564" w:rsidP="00134EA2">
            <w:pPr>
              <w:pStyle w:val="NoParagraphStyle"/>
              <w:spacing w:line="240" w:lineRule="auto"/>
              <w:textAlignment w:val="auto"/>
              <w:rPr>
                <w:rFonts w:ascii="Calibri" w:hAnsi="Calibri" w:cs="Calibri"/>
                <w:color w:val="auto"/>
              </w:rPr>
            </w:pPr>
          </w:p>
        </w:tc>
        <w:tc>
          <w:tcPr>
            <w:tcW w:w="5731" w:type="dxa"/>
            <w:gridSpan w:val="5"/>
            <w:tcMar>
              <w:top w:w="85" w:type="dxa"/>
              <w:left w:w="85" w:type="dxa"/>
              <w:bottom w:w="85" w:type="dxa"/>
              <w:right w:w="85" w:type="dxa"/>
            </w:tcMar>
          </w:tcPr>
          <w:p w14:paraId="3F6485F0" w14:textId="77777777" w:rsidR="00EB6564" w:rsidRDefault="00EB6564" w:rsidP="00134EA2">
            <w:pPr>
              <w:pStyle w:val="NoParagraphStyle"/>
              <w:spacing w:line="240" w:lineRule="auto"/>
              <w:textAlignment w:val="auto"/>
              <w:rPr>
                <w:rFonts w:ascii="Calibri" w:hAnsi="Calibri" w:cs="Calibri"/>
                <w:color w:val="auto"/>
              </w:rPr>
            </w:pPr>
          </w:p>
        </w:tc>
      </w:tr>
      <w:tr w:rsidR="00EB6564" w14:paraId="7624B362" w14:textId="77777777" w:rsidTr="00134EA2">
        <w:trPr>
          <w:gridBefore w:val="1"/>
          <w:gridAfter w:val="1"/>
          <w:wBefore w:w="8" w:type="dxa"/>
          <w:wAfter w:w="7" w:type="dxa"/>
          <w:trHeight w:val="6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DBD0330" w14:textId="77777777" w:rsidR="00EB6564" w:rsidRDefault="00EB6564">
            <w:pPr>
              <w:pStyle w:val="06bTABLEHEADERROW"/>
            </w:pPr>
            <w:r>
              <w:t>Station</w:t>
            </w:r>
          </w:p>
        </w:tc>
        <w:tc>
          <w:tcPr>
            <w:tcW w:w="2967" w:type="dxa"/>
            <w:gridSpan w:val="3"/>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7304CD6" w14:textId="77777777" w:rsidR="00EB6564" w:rsidRDefault="00EB6564">
            <w:pPr>
              <w:pStyle w:val="06bTABLEHEADERROW"/>
              <w:jc w:val="center"/>
            </w:pPr>
            <w:r>
              <w:t>1 hour</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3008614" w14:textId="43CEDE18" w:rsidR="00EB6564" w:rsidRDefault="00EB6564">
            <w:pPr>
              <w:pStyle w:val="06bTABLEHEADERROW"/>
              <w:jc w:val="center"/>
            </w:pPr>
            <w:r>
              <w:t>4 hours</w:t>
            </w:r>
          </w:p>
        </w:tc>
      </w:tr>
      <w:tr w:rsidR="00EB6564" w14:paraId="4618DC71" w14:textId="77777777" w:rsidTr="00134EA2">
        <w:trPr>
          <w:gridBefore w:val="1"/>
          <w:gridAfter w:val="1"/>
          <w:wBefore w:w="8" w:type="dxa"/>
          <w:wAfter w:w="7" w:type="dxa"/>
          <w:trHeight w:val="60"/>
          <w:tblHeader/>
        </w:trPr>
        <w:tc>
          <w:tcPr>
            <w:tcW w:w="1483" w:type="dxa"/>
            <w:vMerge/>
            <w:tcBorders>
              <w:top w:val="single" w:sz="8" w:space="0" w:color="FFFFFF"/>
              <w:left w:val="single" w:sz="4" w:space="0" w:color="FFFFFF"/>
              <w:bottom w:val="single" w:sz="4" w:space="0" w:color="FFFFFF"/>
              <w:right w:val="single" w:sz="4" w:space="0" w:color="FFFFFF"/>
            </w:tcBorders>
          </w:tcPr>
          <w:p w14:paraId="7902BC32" w14:textId="77777777" w:rsidR="00EB6564" w:rsidRDefault="00EB6564">
            <w:pPr>
              <w:pStyle w:val="NoParagraphStyle"/>
              <w:spacing w:line="240" w:lineRule="auto"/>
              <w:textAlignment w:val="auto"/>
              <w:rPr>
                <w:rFonts w:ascii="Calibri" w:hAnsi="Calibri" w:cs="Calibri"/>
                <w:color w:val="auto"/>
              </w:rPr>
            </w:pPr>
          </w:p>
        </w:tc>
        <w:tc>
          <w:tcPr>
            <w:tcW w:w="1484"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8FAC545" w14:textId="77777777" w:rsidR="00EB6564" w:rsidRDefault="00EB6564">
            <w:pPr>
              <w:pStyle w:val="06bTABLEHEADERROW"/>
              <w:jc w:val="center"/>
            </w:pPr>
            <w:r>
              <w:t>Number of exceedances</w:t>
            </w:r>
          </w:p>
        </w:tc>
        <w:tc>
          <w:tcPr>
            <w:tcW w:w="148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76ED2B0" w14:textId="77777777" w:rsidR="00EB6564" w:rsidRDefault="00EB6564">
            <w:pPr>
              <w:pStyle w:val="06bTABLEHEADERROW"/>
              <w:jc w:val="center"/>
            </w:pPr>
            <w:r>
              <w:t>NEPM goal compliance</w:t>
            </w:r>
          </w:p>
        </w:tc>
        <w:tc>
          <w:tcPr>
            <w:tcW w:w="148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1959610" w14:textId="77777777" w:rsidR="00EB6564" w:rsidRDefault="00EB6564">
            <w:pPr>
              <w:pStyle w:val="06bTABLEHEADERROW"/>
              <w:jc w:val="center"/>
            </w:pPr>
            <w:r>
              <w:t>Number of exceedances</w:t>
            </w:r>
          </w:p>
        </w:tc>
        <w:tc>
          <w:tcPr>
            <w:tcW w:w="148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2AA9B68" w14:textId="77777777" w:rsidR="00EB6564" w:rsidRDefault="00EB6564">
            <w:pPr>
              <w:pStyle w:val="06bTABLEHEADERROW"/>
              <w:jc w:val="center"/>
            </w:pPr>
            <w:r>
              <w:t>NEPM goal compliance</w:t>
            </w:r>
          </w:p>
        </w:tc>
      </w:tr>
      <w:tr w:rsidR="00EB6564" w14:paraId="6ACF0769" w14:textId="77777777" w:rsidTr="00134EA2">
        <w:trPr>
          <w:gridBefore w:val="1"/>
          <w:gridAfter w:val="1"/>
          <w:wBefore w:w="8" w:type="dxa"/>
          <w:wAfter w:w="7" w:type="dxa"/>
          <w:trHeight w:val="60"/>
        </w:trPr>
        <w:tc>
          <w:tcPr>
            <w:tcW w:w="7417" w:type="dxa"/>
            <w:gridSpan w:val="6"/>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2CDC36D" w14:textId="77777777" w:rsidR="00EB6564" w:rsidRDefault="00EB6564">
            <w:pPr>
              <w:pStyle w:val="06cTABLETEXT"/>
            </w:pPr>
            <w:r>
              <w:rPr>
                <w:rStyle w:val="BOLD"/>
              </w:rPr>
              <w:t>Perth</w:t>
            </w:r>
          </w:p>
        </w:tc>
      </w:tr>
      <w:tr w:rsidR="00EB6564" w14:paraId="2E244290" w14:textId="77777777" w:rsidTr="00134EA2">
        <w:trPr>
          <w:gridBefore w:val="1"/>
          <w:gridAfter w:val="1"/>
          <w:wBefore w:w="8" w:type="dxa"/>
          <w:wAfter w:w="7" w:type="dxa"/>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35C26AE" w14:textId="77777777" w:rsidR="00EB6564" w:rsidRDefault="00EB6564">
            <w:pPr>
              <w:pStyle w:val="06cTABLETEXT"/>
            </w:pPr>
            <w:r>
              <w:t>North East Metro</w:t>
            </w:r>
          </w:p>
        </w:tc>
        <w:tc>
          <w:tcPr>
            <w:tcW w:w="1484"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144AB78"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272CE4B"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960F9D2" w14:textId="77777777" w:rsidR="00EB6564" w:rsidRDefault="00EB6564">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85CE0AE" w14:textId="77777777" w:rsidR="00EB6564" w:rsidRDefault="00EB6564">
            <w:pPr>
              <w:pStyle w:val="06cTABLETEXT"/>
              <w:jc w:val="center"/>
            </w:pPr>
            <w:r>
              <w:t>Met</w:t>
            </w:r>
          </w:p>
        </w:tc>
      </w:tr>
      <w:tr w:rsidR="00EB6564" w14:paraId="406108E4" w14:textId="77777777" w:rsidTr="00134EA2">
        <w:trPr>
          <w:gridBefore w:val="1"/>
          <w:gridAfter w:val="1"/>
          <w:wBefore w:w="8" w:type="dxa"/>
          <w:wAfter w:w="7" w:type="dxa"/>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01A4F80" w14:textId="77777777" w:rsidR="00EB6564" w:rsidRDefault="00EB6564">
            <w:pPr>
              <w:pStyle w:val="06cTABLETEXT"/>
            </w:pPr>
            <w:r>
              <w:t>South Coast</w:t>
            </w:r>
          </w:p>
        </w:tc>
        <w:tc>
          <w:tcPr>
            <w:tcW w:w="1484"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C68BC63"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9100877"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721A9A7" w14:textId="77777777" w:rsidR="00EB6564" w:rsidRDefault="00EB6564">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1763F23" w14:textId="77777777" w:rsidR="00EB6564" w:rsidRDefault="00EB6564">
            <w:pPr>
              <w:pStyle w:val="06cTABLETEXT"/>
              <w:jc w:val="center"/>
            </w:pPr>
            <w:r>
              <w:t>Met</w:t>
            </w:r>
          </w:p>
        </w:tc>
      </w:tr>
      <w:tr w:rsidR="00EB6564" w14:paraId="2EE2949C" w14:textId="77777777" w:rsidTr="00134EA2">
        <w:trPr>
          <w:gridBefore w:val="1"/>
          <w:gridAfter w:val="1"/>
          <w:wBefore w:w="8" w:type="dxa"/>
          <w:wAfter w:w="7" w:type="dxa"/>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59EF13C" w14:textId="77777777" w:rsidR="00EB6564" w:rsidRDefault="00EB6564">
            <w:pPr>
              <w:pStyle w:val="06cTABLETEXT"/>
            </w:pPr>
            <w:r>
              <w:t>Outer East Rural</w:t>
            </w:r>
          </w:p>
        </w:tc>
        <w:tc>
          <w:tcPr>
            <w:tcW w:w="1484"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D9985E8"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5B2D978"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94D8F4F" w14:textId="77777777" w:rsidR="00EB6564" w:rsidRDefault="00EB6564">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F7FA4D1" w14:textId="77777777" w:rsidR="00EB6564" w:rsidRDefault="00EB6564">
            <w:pPr>
              <w:pStyle w:val="06cTABLETEXT"/>
              <w:jc w:val="center"/>
            </w:pPr>
            <w:r>
              <w:t>Met</w:t>
            </w:r>
          </w:p>
        </w:tc>
      </w:tr>
      <w:tr w:rsidR="00EB6564" w14:paraId="5DEAA991" w14:textId="77777777" w:rsidTr="00134EA2">
        <w:trPr>
          <w:gridBefore w:val="1"/>
          <w:gridAfter w:val="1"/>
          <w:wBefore w:w="8" w:type="dxa"/>
          <w:wAfter w:w="7" w:type="dxa"/>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56BDE5E" w14:textId="77777777" w:rsidR="00EB6564" w:rsidRDefault="00EB6564">
            <w:pPr>
              <w:pStyle w:val="06cTABLETEXT"/>
            </w:pPr>
            <w:r>
              <w:t>South East Metro</w:t>
            </w:r>
          </w:p>
        </w:tc>
        <w:tc>
          <w:tcPr>
            <w:tcW w:w="1484"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63E90BE"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943A5A3"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336252B" w14:textId="77777777" w:rsidR="00EB6564" w:rsidRDefault="00EB6564">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F3CE358" w14:textId="77777777" w:rsidR="00EB6564" w:rsidRDefault="00EB6564">
            <w:pPr>
              <w:pStyle w:val="06cTABLETEXT"/>
              <w:jc w:val="center"/>
            </w:pPr>
            <w:r>
              <w:t>Met</w:t>
            </w:r>
          </w:p>
        </w:tc>
      </w:tr>
      <w:tr w:rsidR="00EB6564" w14:paraId="146B6365" w14:textId="77777777" w:rsidTr="00134EA2">
        <w:trPr>
          <w:gridBefore w:val="1"/>
          <w:gridAfter w:val="1"/>
          <w:wBefore w:w="8" w:type="dxa"/>
          <w:wAfter w:w="7" w:type="dxa"/>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E781099" w14:textId="77777777" w:rsidR="00EB6564" w:rsidRDefault="00EB6564">
            <w:pPr>
              <w:pStyle w:val="06cTABLETEXT"/>
            </w:pPr>
            <w:r>
              <w:t>Inner West Coast</w:t>
            </w:r>
          </w:p>
        </w:tc>
        <w:tc>
          <w:tcPr>
            <w:tcW w:w="1484"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F2166CB"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F714FD7"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910B9A2" w14:textId="77777777" w:rsidR="00EB6564" w:rsidRDefault="00EB6564">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1AE3D1E" w14:textId="77777777" w:rsidR="00EB6564" w:rsidRDefault="00EB6564">
            <w:pPr>
              <w:pStyle w:val="06cTABLETEXT"/>
              <w:jc w:val="center"/>
            </w:pPr>
            <w:r>
              <w:t>Met</w:t>
            </w:r>
          </w:p>
        </w:tc>
      </w:tr>
    </w:tbl>
    <w:p w14:paraId="44A3848E" w14:textId="77777777" w:rsidR="00EB6564" w:rsidRDefault="00EB6564" w:rsidP="00EB6564">
      <w:pPr>
        <w:pStyle w:val="05BODYTEXT"/>
      </w:pP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3CA29C02" w14:textId="77777777" w:rsidTr="00134EA2">
        <w:trPr>
          <w:trHeight w:val="60"/>
          <w:tblHeader/>
        </w:trPr>
        <w:tc>
          <w:tcPr>
            <w:tcW w:w="1701" w:type="dxa"/>
            <w:vMerge w:val="restart"/>
            <w:tcMar>
              <w:top w:w="85" w:type="dxa"/>
              <w:left w:w="85" w:type="dxa"/>
              <w:bottom w:w="85" w:type="dxa"/>
              <w:right w:w="85" w:type="dxa"/>
            </w:tcMar>
          </w:tcPr>
          <w:p w14:paraId="5021028B" w14:textId="77777777" w:rsidR="00EB6564" w:rsidRDefault="00EB6564" w:rsidP="00134EA2">
            <w:pPr>
              <w:pStyle w:val="CHEMICALCHEMTABLES"/>
              <w:keepNext/>
              <w:spacing w:after="0" w:line="240" w:lineRule="auto"/>
            </w:pPr>
            <w:r>
              <w:t>SO</w:t>
            </w:r>
            <w:r>
              <w:rPr>
                <w:vertAlign w:val="subscript"/>
              </w:rPr>
              <w:t>2</w:t>
            </w:r>
          </w:p>
        </w:tc>
        <w:tc>
          <w:tcPr>
            <w:tcW w:w="5731" w:type="dxa"/>
            <w:tcMar>
              <w:top w:w="85" w:type="dxa"/>
              <w:left w:w="85" w:type="dxa"/>
              <w:bottom w:w="85" w:type="dxa"/>
              <w:right w:w="85" w:type="dxa"/>
            </w:tcMar>
          </w:tcPr>
          <w:p w14:paraId="1D6B68DD" w14:textId="77777777" w:rsidR="00EB6564" w:rsidRDefault="00EB6564" w:rsidP="00134EA2">
            <w:pPr>
              <w:pStyle w:val="CHEMICALfullnameCHEMTABLES"/>
              <w:keepNext/>
              <w:spacing w:after="0" w:line="240" w:lineRule="auto"/>
            </w:pPr>
            <w:r>
              <w:t>Sulfur dioxide</w:t>
            </w:r>
          </w:p>
        </w:tc>
      </w:tr>
      <w:tr w:rsidR="00EB6564" w14:paraId="5024FA7E" w14:textId="77777777" w:rsidTr="00134EA2">
        <w:trPr>
          <w:trHeight w:val="60"/>
          <w:tblHeader/>
        </w:trPr>
        <w:tc>
          <w:tcPr>
            <w:tcW w:w="1701" w:type="dxa"/>
            <w:vMerge/>
          </w:tcPr>
          <w:p w14:paraId="4547DBA2"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70C1A6B2" w14:textId="77777777" w:rsidR="00EB6564" w:rsidRDefault="00EB6564" w:rsidP="00134EA2">
            <w:pPr>
              <w:pStyle w:val="NEPMstandardCHEMTABLES"/>
              <w:keepNext/>
              <w:spacing w:after="0" w:line="240" w:lineRule="auto"/>
            </w:pPr>
            <w:r>
              <w:t>(NEPM standard: 1 hour = 0.20ppm, 1 day = 0.08ppm, 1 year = 0.02ppm)</w:t>
            </w:r>
          </w:p>
        </w:tc>
      </w:tr>
      <w:tr w:rsidR="00EB6564" w14:paraId="43ECD4B4" w14:textId="77777777" w:rsidTr="00134EA2">
        <w:trPr>
          <w:trHeight w:hRule="exact" w:val="113"/>
        </w:trPr>
        <w:tc>
          <w:tcPr>
            <w:tcW w:w="1701" w:type="dxa"/>
            <w:tcMar>
              <w:top w:w="85" w:type="dxa"/>
              <w:left w:w="85" w:type="dxa"/>
              <w:bottom w:w="85" w:type="dxa"/>
              <w:right w:w="85" w:type="dxa"/>
            </w:tcMar>
          </w:tcPr>
          <w:p w14:paraId="35AA891E"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A5B1977" w14:textId="77777777" w:rsidR="00EB6564" w:rsidRDefault="00EB6564" w:rsidP="00134EA2">
            <w:pPr>
              <w:pStyle w:val="NoParagraphStyle"/>
              <w:keepNext/>
              <w:spacing w:line="240" w:lineRule="auto"/>
              <w:textAlignment w:val="auto"/>
              <w:rPr>
                <w:rFonts w:ascii="Calibri" w:hAnsi="Calibri" w:cs="Calibri"/>
                <w:color w:val="auto"/>
              </w:rPr>
            </w:pPr>
          </w:p>
        </w:tc>
      </w:tr>
    </w:tbl>
    <w:p w14:paraId="6FA8DB7F" w14:textId="77777777" w:rsidR="00EB6564" w:rsidRDefault="00EB6564" w:rsidP="008B4D97">
      <w:pPr>
        <w:pStyle w:val="05BODYTEXT"/>
        <w:keepN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1060"/>
        <w:gridCol w:w="1059"/>
        <w:gridCol w:w="1060"/>
        <w:gridCol w:w="1059"/>
        <w:gridCol w:w="1060"/>
        <w:gridCol w:w="1059"/>
        <w:gridCol w:w="1060"/>
      </w:tblGrid>
      <w:tr w:rsidR="00EB6564" w14:paraId="21EB803D" w14:textId="77777777">
        <w:trPr>
          <w:trHeight w:val="60"/>
          <w:tblHeader/>
        </w:trPr>
        <w:tc>
          <w:tcPr>
            <w:tcW w:w="1060"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BF99CBC" w14:textId="77777777" w:rsidR="00EB6564" w:rsidRDefault="00EB6564" w:rsidP="008B4D97">
            <w:pPr>
              <w:pStyle w:val="06bTABLEHEADERROW"/>
              <w:spacing w:line="240" w:lineRule="auto"/>
            </w:pPr>
            <w:r>
              <w:t>Station</w:t>
            </w:r>
          </w:p>
        </w:tc>
        <w:tc>
          <w:tcPr>
            <w:tcW w:w="2119"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1FEAD0A" w14:textId="77777777" w:rsidR="00EB6564" w:rsidRDefault="00EB6564" w:rsidP="008B4D97">
            <w:pPr>
              <w:pStyle w:val="06bTABLEHEADERROW"/>
              <w:spacing w:line="240" w:lineRule="auto"/>
              <w:jc w:val="center"/>
            </w:pPr>
            <w:r>
              <w:t>1 hour</w:t>
            </w:r>
          </w:p>
        </w:tc>
        <w:tc>
          <w:tcPr>
            <w:tcW w:w="2119"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241432E" w14:textId="77777777" w:rsidR="00EB6564" w:rsidRDefault="00EB6564" w:rsidP="008B4D97">
            <w:pPr>
              <w:pStyle w:val="06bTABLEHEADERROW"/>
              <w:spacing w:line="240" w:lineRule="auto"/>
              <w:jc w:val="center"/>
            </w:pPr>
            <w:r>
              <w:t>1 day</w:t>
            </w:r>
          </w:p>
        </w:tc>
        <w:tc>
          <w:tcPr>
            <w:tcW w:w="2119"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CBB20F1" w14:textId="77777777" w:rsidR="00EB6564" w:rsidRDefault="00EB6564" w:rsidP="008B4D97">
            <w:pPr>
              <w:pStyle w:val="06bTABLEHEADERROW"/>
              <w:spacing w:line="240" w:lineRule="auto"/>
              <w:jc w:val="center"/>
            </w:pPr>
            <w:r>
              <w:t>1 year</w:t>
            </w:r>
          </w:p>
        </w:tc>
      </w:tr>
      <w:tr w:rsidR="00EB6564" w14:paraId="6093FAC9" w14:textId="77777777" w:rsidTr="008B4D97">
        <w:trPr>
          <w:trHeight w:val="60"/>
          <w:tblHeader/>
        </w:trPr>
        <w:tc>
          <w:tcPr>
            <w:tcW w:w="1060" w:type="dxa"/>
            <w:vMerge/>
            <w:tcBorders>
              <w:top w:val="single" w:sz="8" w:space="0" w:color="FFFFFF"/>
              <w:left w:val="single" w:sz="4" w:space="0" w:color="FFFFFF"/>
              <w:bottom w:val="single" w:sz="4" w:space="0" w:color="FFFFFF"/>
              <w:right w:val="single" w:sz="4" w:space="0" w:color="FFFFFF"/>
            </w:tcBorders>
          </w:tcPr>
          <w:p w14:paraId="62A370F6" w14:textId="77777777" w:rsidR="00EB6564" w:rsidRDefault="00EB6564" w:rsidP="008B4D97">
            <w:pPr>
              <w:pStyle w:val="NoParagraphStyle"/>
              <w:keepNext/>
              <w:spacing w:line="240" w:lineRule="auto"/>
              <w:textAlignment w:val="auto"/>
              <w:rPr>
                <w:rFonts w:ascii="Calibri" w:hAnsi="Calibri" w:cs="Calibri"/>
                <w:color w:val="auto"/>
              </w:rPr>
            </w:pPr>
          </w:p>
        </w:tc>
        <w:tc>
          <w:tcPr>
            <w:tcW w:w="1059"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3316E2D" w14:textId="77777777" w:rsidR="00EB6564" w:rsidRDefault="00EB6564" w:rsidP="008B4D97">
            <w:pPr>
              <w:pStyle w:val="06bTABLEHEADERROW"/>
              <w:spacing w:line="240" w:lineRule="auto"/>
              <w:jc w:val="center"/>
            </w:pPr>
            <w:r>
              <w:t>Number of exceedances</w:t>
            </w:r>
          </w:p>
        </w:tc>
        <w:tc>
          <w:tcPr>
            <w:tcW w:w="1060"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A5C81E7" w14:textId="77777777" w:rsidR="00EB6564" w:rsidRDefault="00EB6564" w:rsidP="008B4D97">
            <w:pPr>
              <w:pStyle w:val="06bTABLEHEADERROW"/>
              <w:spacing w:line="240" w:lineRule="auto"/>
              <w:jc w:val="center"/>
            </w:pPr>
            <w:r>
              <w:t>NEPM goal compliance</w:t>
            </w:r>
          </w:p>
        </w:tc>
        <w:tc>
          <w:tcPr>
            <w:tcW w:w="1059"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19F02E52" w14:textId="77777777" w:rsidR="00EB6564" w:rsidRDefault="00EB6564" w:rsidP="008B4D97">
            <w:pPr>
              <w:pStyle w:val="06bTABLEHEADERROW"/>
              <w:spacing w:line="240" w:lineRule="auto"/>
              <w:jc w:val="center"/>
            </w:pPr>
            <w:r>
              <w:t>Number of exceedances</w:t>
            </w:r>
          </w:p>
        </w:tc>
        <w:tc>
          <w:tcPr>
            <w:tcW w:w="1060"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E2DCA7E" w14:textId="77777777" w:rsidR="00EB6564" w:rsidRDefault="00EB6564" w:rsidP="008B4D97">
            <w:pPr>
              <w:pStyle w:val="06bTABLEHEADERROW"/>
              <w:spacing w:line="240" w:lineRule="auto"/>
              <w:jc w:val="center"/>
            </w:pPr>
            <w:r>
              <w:t>NEPM goal compliance</w:t>
            </w:r>
          </w:p>
        </w:tc>
        <w:tc>
          <w:tcPr>
            <w:tcW w:w="1059"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DBE2149" w14:textId="77777777" w:rsidR="00EB6564" w:rsidRDefault="00EB6564" w:rsidP="008B4D97">
            <w:pPr>
              <w:pStyle w:val="06bTABLEHEADERROW"/>
              <w:spacing w:line="240" w:lineRule="auto"/>
              <w:jc w:val="center"/>
            </w:pPr>
            <w:r>
              <w:t>Annual average (ppm)</w:t>
            </w:r>
          </w:p>
        </w:tc>
        <w:tc>
          <w:tcPr>
            <w:tcW w:w="1060"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20FBB5E" w14:textId="77777777" w:rsidR="00EB6564" w:rsidRDefault="00EB6564" w:rsidP="008B4D97">
            <w:pPr>
              <w:pStyle w:val="06bTABLEHEADERROW"/>
              <w:spacing w:line="240" w:lineRule="auto"/>
              <w:jc w:val="center"/>
            </w:pPr>
            <w:r>
              <w:t>NEPM goal compliance</w:t>
            </w:r>
          </w:p>
        </w:tc>
      </w:tr>
      <w:tr w:rsidR="00EB6564" w14:paraId="75639FB1" w14:textId="77777777" w:rsidTr="008B4D97">
        <w:trPr>
          <w:trHeight w:val="60"/>
        </w:trPr>
        <w:tc>
          <w:tcPr>
            <w:tcW w:w="7417" w:type="dxa"/>
            <w:gridSpan w:val="7"/>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2808D1C1" w14:textId="77777777" w:rsidR="00EB6564" w:rsidRDefault="00EB6564" w:rsidP="008B4D97">
            <w:pPr>
              <w:pStyle w:val="06cTABLETEXT"/>
              <w:keepNext/>
              <w:spacing w:line="240" w:lineRule="auto"/>
            </w:pPr>
            <w:r>
              <w:rPr>
                <w:rStyle w:val="BOLD"/>
              </w:rPr>
              <w:t>Perth</w:t>
            </w:r>
          </w:p>
        </w:tc>
      </w:tr>
      <w:tr w:rsidR="00EB6564" w14:paraId="29623DFE" w14:textId="77777777" w:rsidTr="008B4D97">
        <w:trPr>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9F24D8E" w14:textId="77777777" w:rsidR="00EB6564" w:rsidRDefault="00EB6564" w:rsidP="008B4D97">
            <w:pPr>
              <w:pStyle w:val="06cTABLETEXT"/>
              <w:keepNext/>
              <w:spacing w:line="240" w:lineRule="auto"/>
            </w:pPr>
            <w:r>
              <w:t>South Metro</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F95E4A1"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470B621" w14:textId="77777777" w:rsidR="00EB6564" w:rsidRDefault="00EB6564" w:rsidP="008B4D97">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307C7F6"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C8EF625" w14:textId="77777777" w:rsidR="00EB6564" w:rsidRDefault="00EB6564" w:rsidP="008B4D97">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385B1C0" w14:textId="77777777" w:rsidR="00EB6564" w:rsidRDefault="00EB6564" w:rsidP="008B4D97">
            <w:pPr>
              <w:pStyle w:val="06cTABLETEXT"/>
              <w:keepNext/>
              <w:spacing w:line="240" w:lineRule="auto"/>
              <w:jc w:val="center"/>
            </w:pPr>
            <w:r>
              <w:t>0.002</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B00D117" w14:textId="77777777" w:rsidR="00EB6564" w:rsidRDefault="00EB6564" w:rsidP="008B4D97">
            <w:pPr>
              <w:pStyle w:val="06cTABLETEXT"/>
              <w:keepNext/>
              <w:spacing w:line="240" w:lineRule="auto"/>
              <w:jc w:val="center"/>
            </w:pPr>
            <w:r>
              <w:t>Met</w:t>
            </w:r>
          </w:p>
        </w:tc>
      </w:tr>
      <w:tr w:rsidR="00EB6564" w14:paraId="5CB13FCD" w14:textId="77777777" w:rsidTr="008B4D97">
        <w:trPr>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F0FC8F" w14:textId="77777777" w:rsidR="00EB6564" w:rsidRDefault="00EB6564" w:rsidP="008B4D97">
            <w:pPr>
              <w:pStyle w:val="06cTABLETEXT"/>
              <w:keepNext/>
              <w:spacing w:line="240" w:lineRule="auto"/>
            </w:pPr>
            <w:r>
              <w:t>South Coast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015D823"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111768E" w14:textId="77777777" w:rsidR="00EB6564" w:rsidRDefault="00EB6564" w:rsidP="008B4D97">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5FDF623"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AD85A4D" w14:textId="77777777" w:rsidR="00EB6564" w:rsidRDefault="00EB6564" w:rsidP="008B4D97">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90D4803" w14:textId="77777777" w:rsidR="00EB6564" w:rsidRDefault="00EB6564" w:rsidP="008B4D97">
            <w:pPr>
              <w:pStyle w:val="06cTABLETEXT"/>
              <w:keepNext/>
              <w:spacing w:line="240" w:lineRule="auto"/>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D9087A9" w14:textId="77777777" w:rsidR="00EB6564" w:rsidRDefault="00EB6564" w:rsidP="008B4D97">
            <w:pPr>
              <w:pStyle w:val="06cTABLETEXT"/>
              <w:keepNext/>
              <w:spacing w:line="240" w:lineRule="auto"/>
              <w:jc w:val="center"/>
            </w:pPr>
            <w:r>
              <w:t>Met</w:t>
            </w:r>
          </w:p>
        </w:tc>
      </w:tr>
      <w:tr w:rsidR="00EB6564" w14:paraId="1CBAD5A2" w14:textId="77777777" w:rsidTr="008B4D97">
        <w:trPr>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E97A69" w14:textId="77777777" w:rsidR="00EB6564" w:rsidRDefault="00EB6564" w:rsidP="008B4D97">
            <w:pPr>
              <w:pStyle w:val="06cTABLETEXT"/>
              <w:keepNext/>
              <w:spacing w:line="240" w:lineRule="auto"/>
            </w:pPr>
            <w:r>
              <w:t>South East Metro</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09C6F1"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021D941" w14:textId="77777777" w:rsidR="00EB6564" w:rsidRDefault="00EB6564" w:rsidP="008B4D97">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D9853F3"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7D97A1A" w14:textId="77777777" w:rsidR="00EB6564" w:rsidRDefault="00EB6564" w:rsidP="008B4D97">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D2E15C8" w14:textId="77777777" w:rsidR="00EB6564" w:rsidRDefault="00EB6564" w:rsidP="008B4D97">
            <w:pPr>
              <w:pStyle w:val="06cTABLETEXT"/>
              <w:keepNext/>
              <w:spacing w:line="240" w:lineRule="auto"/>
              <w:jc w:val="center"/>
            </w:pPr>
            <w:r>
              <w:t>0.002</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C06676E" w14:textId="77777777" w:rsidR="00EB6564" w:rsidRDefault="00EB6564" w:rsidP="008B4D97">
            <w:pPr>
              <w:pStyle w:val="06cTABLETEXT"/>
              <w:keepNext/>
              <w:spacing w:line="240" w:lineRule="auto"/>
              <w:jc w:val="center"/>
            </w:pPr>
            <w:r>
              <w:t>Met</w:t>
            </w:r>
          </w:p>
        </w:tc>
      </w:tr>
      <w:tr w:rsidR="00EB6564" w14:paraId="5F3A244E" w14:textId="77777777" w:rsidTr="008B4D97">
        <w:trPr>
          <w:trHeight w:val="60"/>
        </w:trPr>
        <w:tc>
          <w:tcPr>
            <w:tcW w:w="7417" w:type="dxa"/>
            <w:gridSpan w:val="7"/>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6A26644" w14:textId="77777777" w:rsidR="00EB6564" w:rsidRDefault="00EB6564" w:rsidP="008B4D97">
            <w:pPr>
              <w:pStyle w:val="06cTABLETEXT"/>
              <w:keepNext/>
              <w:spacing w:line="240" w:lineRule="auto"/>
            </w:pPr>
            <w:r>
              <w:rPr>
                <w:rStyle w:val="BOLD"/>
              </w:rPr>
              <w:t>Goldfields</w:t>
            </w:r>
          </w:p>
        </w:tc>
      </w:tr>
      <w:tr w:rsidR="00EB6564" w14:paraId="24956A1A" w14:textId="77777777" w:rsidTr="008B4D97">
        <w:trPr>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48FA9DD" w14:textId="77777777" w:rsidR="00EB6564" w:rsidRDefault="00EB6564">
            <w:pPr>
              <w:pStyle w:val="06cTABLETEXT"/>
            </w:pPr>
            <w:r>
              <w:t>Kalgoorlie</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67461D9"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9DA7E26" w14:textId="77777777" w:rsidR="00EB6564" w:rsidRDefault="00EB6564">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E265A1D"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05BCA01" w14:textId="77777777" w:rsidR="00EB6564" w:rsidRDefault="00EB6564">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C613612" w14:textId="77777777" w:rsidR="00EB6564" w:rsidRDefault="00EB6564">
            <w:pPr>
              <w:pStyle w:val="06cTABLETEXT"/>
              <w:jc w:val="center"/>
            </w:pPr>
            <w:r>
              <w:t>0.001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86422BD" w14:textId="77777777" w:rsidR="00EB6564" w:rsidRDefault="00EB6564">
            <w:pPr>
              <w:pStyle w:val="06cTABLETEXT"/>
              <w:jc w:val="center"/>
            </w:pPr>
            <w:r>
              <w:t>Met</w:t>
            </w:r>
          </w:p>
        </w:tc>
      </w:tr>
    </w:tbl>
    <w:p w14:paraId="13143F30" w14:textId="77777777" w:rsidR="00EB6564" w:rsidRDefault="00EB6564" w:rsidP="00276A45">
      <w:pPr>
        <w:pStyle w:val="05BODYTEXT"/>
        <w:keepNext/>
        <w:keepLines/>
        <w:spacing w:line="240" w:lineRule="auto"/>
      </w:pP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462A6BF7" w14:textId="77777777" w:rsidTr="00134EA2">
        <w:trPr>
          <w:trHeight w:val="60"/>
          <w:tblHeader/>
        </w:trPr>
        <w:tc>
          <w:tcPr>
            <w:tcW w:w="1701" w:type="dxa"/>
            <w:vMerge w:val="restart"/>
            <w:tcMar>
              <w:top w:w="85" w:type="dxa"/>
              <w:left w:w="85" w:type="dxa"/>
              <w:bottom w:w="85" w:type="dxa"/>
              <w:right w:w="85" w:type="dxa"/>
            </w:tcMar>
          </w:tcPr>
          <w:p w14:paraId="57B21F40" w14:textId="77777777" w:rsidR="00EB6564" w:rsidRDefault="00EB6564" w:rsidP="00134EA2">
            <w:pPr>
              <w:pStyle w:val="CHEMICALCHEMTABLES"/>
              <w:keepNext/>
              <w:keepLines/>
              <w:spacing w:after="0" w:line="240" w:lineRule="auto"/>
            </w:pPr>
            <w:r>
              <w:t>Pb</w:t>
            </w:r>
          </w:p>
        </w:tc>
        <w:tc>
          <w:tcPr>
            <w:tcW w:w="5731" w:type="dxa"/>
            <w:tcMar>
              <w:top w:w="85" w:type="dxa"/>
              <w:left w:w="85" w:type="dxa"/>
              <w:bottom w:w="85" w:type="dxa"/>
              <w:right w:w="85" w:type="dxa"/>
            </w:tcMar>
          </w:tcPr>
          <w:p w14:paraId="6765C459" w14:textId="77777777" w:rsidR="00EB6564" w:rsidRDefault="00EB6564" w:rsidP="00134EA2">
            <w:pPr>
              <w:pStyle w:val="CHEMICALfullnameCHEMTABLES"/>
              <w:keepNext/>
              <w:keepLines/>
              <w:spacing w:after="0" w:line="240" w:lineRule="auto"/>
            </w:pPr>
            <w:r>
              <w:t>Lead</w:t>
            </w:r>
          </w:p>
        </w:tc>
      </w:tr>
      <w:tr w:rsidR="00EB6564" w14:paraId="4A88258C" w14:textId="77777777" w:rsidTr="00134EA2">
        <w:trPr>
          <w:trHeight w:val="60"/>
          <w:tblHeader/>
        </w:trPr>
        <w:tc>
          <w:tcPr>
            <w:tcW w:w="1701" w:type="dxa"/>
            <w:vMerge/>
          </w:tcPr>
          <w:p w14:paraId="647CB034" w14:textId="77777777" w:rsidR="00EB6564" w:rsidRDefault="00EB6564" w:rsidP="00134EA2">
            <w:pPr>
              <w:pStyle w:val="NoParagraphStyle"/>
              <w:keepNext/>
              <w:keepLines/>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1E80B40D" w14:textId="77777777" w:rsidR="00EB6564" w:rsidRDefault="00EB6564" w:rsidP="00134EA2">
            <w:pPr>
              <w:pStyle w:val="NEPMstandardCHEMTABLES"/>
              <w:keepNext/>
              <w:keepLines/>
              <w:spacing w:after="0" w:line="240" w:lineRule="auto"/>
            </w:pPr>
            <w:r>
              <w:t>(NEPM standard 1 year = 0.50µg/m</w:t>
            </w:r>
            <w:r>
              <w:rPr>
                <w:vertAlign w:val="superscript"/>
              </w:rPr>
              <w:t>3</w:t>
            </w:r>
            <w:r>
              <w:t>)</w:t>
            </w:r>
          </w:p>
        </w:tc>
      </w:tr>
      <w:tr w:rsidR="00EB6564" w14:paraId="12A4A09C" w14:textId="77777777" w:rsidTr="00134EA2">
        <w:trPr>
          <w:trHeight w:hRule="exact" w:val="113"/>
        </w:trPr>
        <w:tc>
          <w:tcPr>
            <w:tcW w:w="1701" w:type="dxa"/>
            <w:tcMar>
              <w:top w:w="85" w:type="dxa"/>
              <w:left w:w="85" w:type="dxa"/>
              <w:bottom w:w="85" w:type="dxa"/>
              <w:right w:w="85" w:type="dxa"/>
            </w:tcMar>
          </w:tcPr>
          <w:p w14:paraId="641548FE" w14:textId="77777777" w:rsidR="00EB6564" w:rsidRDefault="00EB6564" w:rsidP="00134EA2">
            <w:pPr>
              <w:pStyle w:val="NoParagraphStyle"/>
              <w:keepNext/>
              <w:keepLines/>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1F9E3003" w14:textId="77777777" w:rsidR="00EB6564" w:rsidRDefault="00EB6564" w:rsidP="00134EA2">
            <w:pPr>
              <w:pStyle w:val="NoParagraphStyle"/>
              <w:keepNext/>
              <w:keepLines/>
              <w:spacing w:line="240" w:lineRule="auto"/>
              <w:textAlignment w:val="auto"/>
              <w:rPr>
                <w:rFonts w:ascii="Calibri" w:hAnsi="Calibri" w:cs="Calibri"/>
                <w:color w:val="auto"/>
              </w:rPr>
            </w:pPr>
          </w:p>
        </w:tc>
      </w:tr>
    </w:tbl>
    <w:p w14:paraId="60423F12" w14:textId="77777777" w:rsidR="00EB6564" w:rsidRDefault="00EB6564" w:rsidP="00276A45">
      <w:pPr>
        <w:pStyle w:val="05BODYTEXT"/>
        <w:keepNext/>
        <w:keepLines/>
        <w:spacing w:before="57" w:line="240" w:lineRule="auto"/>
      </w:pPr>
      <w:r>
        <w:t>Lead monitoring ceased on 31 December 2001 following the introduction of unleaded petrol. These management initiatives consequently resulted in sustained measurements at analytical limits of detection well below the standard.</w:t>
      </w:r>
    </w:p>
    <w:tbl>
      <w:tblPr>
        <w:tblW w:w="0" w:type="auto"/>
        <w:tblInd w:w="-8" w:type="dxa"/>
        <w:tblLayout w:type="fixed"/>
        <w:tblCellMar>
          <w:left w:w="0" w:type="dxa"/>
          <w:right w:w="0" w:type="dxa"/>
        </w:tblCellMar>
        <w:tblLook w:val="0000" w:firstRow="0" w:lastRow="0" w:firstColumn="0" w:lastColumn="0" w:noHBand="0" w:noVBand="0"/>
      </w:tblPr>
      <w:tblGrid>
        <w:gridCol w:w="1483"/>
        <w:gridCol w:w="218"/>
        <w:gridCol w:w="1266"/>
        <w:gridCol w:w="1483"/>
        <w:gridCol w:w="1483"/>
        <w:gridCol w:w="1484"/>
        <w:gridCol w:w="15"/>
      </w:tblGrid>
      <w:tr w:rsidR="00EB6564" w14:paraId="6A6D211A" w14:textId="77777777" w:rsidTr="00134EA2">
        <w:trPr>
          <w:trHeight w:val="60"/>
          <w:tblHeader/>
        </w:trPr>
        <w:tc>
          <w:tcPr>
            <w:tcW w:w="1701" w:type="dxa"/>
            <w:gridSpan w:val="2"/>
            <w:vMerge w:val="restart"/>
            <w:tcMar>
              <w:top w:w="85" w:type="dxa"/>
              <w:left w:w="85" w:type="dxa"/>
              <w:bottom w:w="85" w:type="dxa"/>
              <w:right w:w="85" w:type="dxa"/>
            </w:tcMar>
          </w:tcPr>
          <w:p w14:paraId="3C184D86" w14:textId="77777777" w:rsidR="00EB6564" w:rsidRDefault="00EB6564" w:rsidP="00134EA2">
            <w:pPr>
              <w:pStyle w:val="CHEMICALCHEMTABLES"/>
              <w:spacing w:after="0" w:line="240" w:lineRule="auto"/>
            </w:pPr>
            <w:r>
              <w:t>PM</w:t>
            </w:r>
            <w:r>
              <w:rPr>
                <w:vertAlign w:val="subscript"/>
              </w:rPr>
              <w:t>10</w:t>
            </w:r>
          </w:p>
        </w:tc>
        <w:tc>
          <w:tcPr>
            <w:tcW w:w="5731" w:type="dxa"/>
            <w:gridSpan w:val="5"/>
            <w:tcMar>
              <w:top w:w="85" w:type="dxa"/>
              <w:left w:w="85" w:type="dxa"/>
              <w:bottom w:w="85" w:type="dxa"/>
              <w:right w:w="85" w:type="dxa"/>
            </w:tcMar>
          </w:tcPr>
          <w:p w14:paraId="0B62DAB6" w14:textId="77777777" w:rsidR="00EB6564" w:rsidRDefault="00EB6564" w:rsidP="00134EA2">
            <w:pPr>
              <w:pStyle w:val="CHEMICALfullnameCHEMTABLES"/>
              <w:spacing w:after="0" w:line="240" w:lineRule="auto"/>
            </w:pPr>
            <w:r>
              <w:t>Particles as PM</w:t>
            </w:r>
            <w:r>
              <w:rPr>
                <w:vertAlign w:val="subscript"/>
              </w:rPr>
              <w:t>10</w:t>
            </w:r>
          </w:p>
        </w:tc>
      </w:tr>
      <w:tr w:rsidR="00EB6564" w14:paraId="74E9F941" w14:textId="77777777" w:rsidTr="00134EA2">
        <w:trPr>
          <w:trHeight w:val="60"/>
          <w:tblHeader/>
        </w:trPr>
        <w:tc>
          <w:tcPr>
            <w:tcW w:w="1701" w:type="dxa"/>
            <w:gridSpan w:val="2"/>
            <w:vMerge/>
          </w:tcPr>
          <w:p w14:paraId="779BC9FE" w14:textId="77777777" w:rsidR="00EB6564" w:rsidRDefault="00EB6564" w:rsidP="00134EA2">
            <w:pPr>
              <w:pStyle w:val="NoParagraphStyle"/>
              <w:spacing w:line="240" w:lineRule="auto"/>
              <w:textAlignment w:val="auto"/>
              <w:rPr>
                <w:rFonts w:ascii="Calibri" w:hAnsi="Calibri" w:cs="Calibri"/>
                <w:color w:val="auto"/>
              </w:rPr>
            </w:pPr>
          </w:p>
        </w:tc>
        <w:tc>
          <w:tcPr>
            <w:tcW w:w="5731" w:type="dxa"/>
            <w:gridSpan w:val="5"/>
            <w:tcMar>
              <w:top w:w="85" w:type="dxa"/>
              <w:left w:w="85" w:type="dxa"/>
              <w:bottom w:w="85" w:type="dxa"/>
              <w:right w:w="85" w:type="dxa"/>
            </w:tcMar>
          </w:tcPr>
          <w:p w14:paraId="2EA11687" w14:textId="77777777" w:rsidR="00EB6564" w:rsidRDefault="00EB6564" w:rsidP="00134EA2">
            <w:pPr>
              <w:pStyle w:val="NEPMstandardCHEMTABLES"/>
              <w:spacing w:after="0" w:line="240" w:lineRule="auto"/>
            </w:pPr>
            <w:r>
              <w:t>(NEPM standard 1 day = 50µg/m</w:t>
            </w:r>
            <w:r>
              <w:rPr>
                <w:vertAlign w:val="superscript"/>
              </w:rPr>
              <w:t>3</w:t>
            </w:r>
            <w:r>
              <w:t>, 1 year = 25µg/m</w:t>
            </w:r>
            <w:r>
              <w:rPr>
                <w:vertAlign w:val="superscript"/>
              </w:rPr>
              <w:t>3</w:t>
            </w:r>
            <w:r>
              <w:t>)</w:t>
            </w:r>
          </w:p>
        </w:tc>
      </w:tr>
      <w:tr w:rsidR="00EB6564" w14:paraId="3DD304AB" w14:textId="77777777" w:rsidTr="00134EA2">
        <w:trPr>
          <w:trHeight w:hRule="exact" w:val="113"/>
        </w:trPr>
        <w:tc>
          <w:tcPr>
            <w:tcW w:w="1701" w:type="dxa"/>
            <w:gridSpan w:val="2"/>
            <w:tcMar>
              <w:top w:w="85" w:type="dxa"/>
              <w:left w:w="85" w:type="dxa"/>
              <w:bottom w:w="85" w:type="dxa"/>
              <w:right w:w="85" w:type="dxa"/>
            </w:tcMar>
          </w:tcPr>
          <w:p w14:paraId="4F0C2601" w14:textId="77777777" w:rsidR="00EB6564" w:rsidRDefault="00EB6564" w:rsidP="00134EA2">
            <w:pPr>
              <w:pStyle w:val="NoParagraphStyle"/>
              <w:spacing w:line="240" w:lineRule="auto"/>
              <w:textAlignment w:val="auto"/>
              <w:rPr>
                <w:rFonts w:ascii="Calibri" w:hAnsi="Calibri" w:cs="Calibri"/>
                <w:color w:val="auto"/>
              </w:rPr>
            </w:pPr>
          </w:p>
        </w:tc>
        <w:tc>
          <w:tcPr>
            <w:tcW w:w="5731" w:type="dxa"/>
            <w:gridSpan w:val="5"/>
            <w:tcMar>
              <w:top w:w="85" w:type="dxa"/>
              <w:left w:w="85" w:type="dxa"/>
              <w:bottom w:w="85" w:type="dxa"/>
              <w:right w:w="85" w:type="dxa"/>
            </w:tcMar>
          </w:tcPr>
          <w:p w14:paraId="201AC3B7" w14:textId="77777777" w:rsidR="00EB6564" w:rsidRDefault="00EB6564" w:rsidP="00134EA2">
            <w:pPr>
              <w:pStyle w:val="NoParagraphStyle"/>
              <w:spacing w:line="240" w:lineRule="auto"/>
              <w:textAlignment w:val="auto"/>
              <w:rPr>
                <w:rFonts w:ascii="Calibri" w:hAnsi="Calibri" w:cs="Calibri"/>
                <w:color w:val="auto"/>
              </w:rPr>
            </w:pPr>
          </w:p>
        </w:tc>
      </w:tr>
      <w:tr w:rsidR="00EB6564" w14:paraId="57A93592" w14:textId="77777777" w:rsidTr="008B4D97">
        <w:trPr>
          <w:gridAfter w:val="1"/>
          <w:wAfter w:w="15" w:type="dxa"/>
          <w:trHeight w:val="6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EEC063A" w14:textId="77777777" w:rsidR="00EB6564" w:rsidRDefault="00EB6564">
            <w:pPr>
              <w:pStyle w:val="06bTABLEHEADERROW"/>
            </w:pPr>
            <w:r>
              <w:t>Station</w:t>
            </w:r>
          </w:p>
        </w:tc>
        <w:tc>
          <w:tcPr>
            <w:tcW w:w="2967" w:type="dxa"/>
            <w:gridSpan w:val="3"/>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FB7CB7E" w14:textId="77777777" w:rsidR="00EB6564" w:rsidRDefault="00EB6564">
            <w:pPr>
              <w:pStyle w:val="06bTABLEHEADERROW"/>
              <w:jc w:val="center"/>
            </w:pPr>
            <w:r>
              <w:t>1 day</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9067452" w14:textId="77777777" w:rsidR="00EB6564" w:rsidRDefault="00EB6564">
            <w:pPr>
              <w:pStyle w:val="06bTABLEHEADERROW"/>
              <w:jc w:val="center"/>
            </w:pPr>
            <w:r>
              <w:t>1 year</w:t>
            </w:r>
          </w:p>
        </w:tc>
      </w:tr>
      <w:tr w:rsidR="00EB6564" w14:paraId="69A9F1D1" w14:textId="77777777" w:rsidTr="008B4D97">
        <w:trPr>
          <w:gridAfter w:val="1"/>
          <w:wAfter w:w="15" w:type="dxa"/>
          <w:trHeight w:val="60"/>
          <w:tblHeader/>
        </w:trPr>
        <w:tc>
          <w:tcPr>
            <w:tcW w:w="1483" w:type="dxa"/>
            <w:vMerge/>
            <w:tcBorders>
              <w:top w:val="single" w:sz="8" w:space="0" w:color="FFFFFF"/>
              <w:left w:val="single" w:sz="4" w:space="0" w:color="FFFFFF"/>
              <w:bottom w:val="single" w:sz="4" w:space="0" w:color="FFFFFF"/>
              <w:right w:val="single" w:sz="4" w:space="0" w:color="FFFFFF"/>
            </w:tcBorders>
          </w:tcPr>
          <w:p w14:paraId="1178FC55" w14:textId="77777777" w:rsidR="00EB6564" w:rsidRDefault="00EB6564">
            <w:pPr>
              <w:pStyle w:val="NoParagraphStyle"/>
              <w:spacing w:line="240" w:lineRule="auto"/>
              <w:textAlignment w:val="auto"/>
              <w:rPr>
                <w:rFonts w:ascii="Calibri" w:hAnsi="Calibri" w:cs="Calibri"/>
                <w:color w:val="auto"/>
              </w:rPr>
            </w:pPr>
          </w:p>
        </w:tc>
        <w:tc>
          <w:tcPr>
            <w:tcW w:w="1484"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974F7A2" w14:textId="77777777" w:rsidR="00EB6564" w:rsidRDefault="00EB6564">
            <w:pPr>
              <w:pStyle w:val="06bTABLEHEADERROW"/>
              <w:jc w:val="center"/>
            </w:pPr>
            <w:r>
              <w:t xml:space="preserve">Number of </w:t>
            </w:r>
            <w:proofErr w:type="spellStart"/>
            <w:r>
              <w:t>exceedences</w:t>
            </w:r>
            <w:proofErr w:type="spellEnd"/>
          </w:p>
        </w:tc>
        <w:tc>
          <w:tcPr>
            <w:tcW w:w="148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74CE8E1" w14:textId="77777777" w:rsidR="00EB6564" w:rsidRDefault="00EB6564">
            <w:pPr>
              <w:pStyle w:val="06bTABLEHEADERROW"/>
              <w:jc w:val="center"/>
            </w:pPr>
            <w:r>
              <w:t>NEPM goal compliance</w:t>
            </w:r>
          </w:p>
        </w:tc>
        <w:tc>
          <w:tcPr>
            <w:tcW w:w="148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C8ED035" w14:textId="57C2DF78" w:rsidR="00EB6564" w:rsidRDefault="00EB6564">
            <w:pPr>
              <w:pStyle w:val="06bTABLEHEADERROW"/>
              <w:jc w:val="center"/>
            </w:pPr>
            <w:r>
              <w:t>Annual average (</w:t>
            </w:r>
            <w:r w:rsidR="00B3345B">
              <w:t>µ</w:t>
            </w:r>
            <w:r>
              <w:t>g/m</w:t>
            </w:r>
            <w:r>
              <w:rPr>
                <w:vertAlign w:val="superscript"/>
              </w:rPr>
              <w:t>3</w:t>
            </w:r>
            <w:r>
              <w:t>)</w:t>
            </w:r>
          </w:p>
        </w:tc>
        <w:tc>
          <w:tcPr>
            <w:tcW w:w="148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DD6849B" w14:textId="77777777" w:rsidR="00EB6564" w:rsidRDefault="00EB6564">
            <w:pPr>
              <w:pStyle w:val="06bTABLEHEADERROW"/>
              <w:jc w:val="center"/>
            </w:pPr>
            <w:r>
              <w:t>NEPM goal compliance</w:t>
            </w:r>
          </w:p>
        </w:tc>
      </w:tr>
      <w:tr w:rsidR="00EB6564" w14:paraId="48BBBD4B" w14:textId="77777777" w:rsidTr="008B4D97">
        <w:trPr>
          <w:gridAfter w:val="1"/>
          <w:wAfter w:w="15" w:type="dxa"/>
          <w:trHeight w:val="60"/>
        </w:trPr>
        <w:tc>
          <w:tcPr>
            <w:tcW w:w="7417" w:type="dxa"/>
            <w:gridSpan w:val="6"/>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7AED204" w14:textId="77777777" w:rsidR="00EB6564" w:rsidRDefault="00EB6564">
            <w:pPr>
              <w:pStyle w:val="06cTABLETEXT"/>
            </w:pPr>
            <w:r>
              <w:rPr>
                <w:rStyle w:val="BOLD"/>
              </w:rPr>
              <w:t>Perth</w:t>
            </w:r>
          </w:p>
        </w:tc>
      </w:tr>
      <w:tr w:rsidR="00EB6564" w14:paraId="6BEF5470" w14:textId="77777777" w:rsidTr="008B4D97">
        <w:trPr>
          <w:gridAfter w:val="1"/>
          <w:wAfter w:w="15" w:type="dxa"/>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559B7EA" w14:textId="77777777" w:rsidR="00EB6564" w:rsidRDefault="00EB6564">
            <w:pPr>
              <w:pStyle w:val="06cTABLETEXT"/>
            </w:pPr>
            <w:r>
              <w:t>North East Metro</w:t>
            </w:r>
            <w:r>
              <w:rPr>
                <w:vertAlign w:val="superscript"/>
              </w:rPr>
              <w:t>1</w:t>
            </w:r>
          </w:p>
        </w:tc>
        <w:tc>
          <w:tcPr>
            <w:tcW w:w="1484"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DF18BC3" w14:textId="77777777" w:rsidR="00EB6564" w:rsidRDefault="00EB6564">
            <w:pPr>
              <w:pStyle w:val="06cTABLETEXT"/>
              <w:jc w:val="center"/>
            </w:pPr>
            <w:r>
              <w:t>2</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68B8610" w14:textId="77777777" w:rsidR="00EB6564" w:rsidRDefault="00EB6564">
            <w:pPr>
              <w:pStyle w:val="06cTABLETEXT"/>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1A305ED" w14:textId="77777777" w:rsidR="00EB6564" w:rsidRDefault="00EB6564">
            <w:pPr>
              <w:pStyle w:val="06cTABLETEXT"/>
              <w:jc w:val="center"/>
            </w:pPr>
            <w:r>
              <w:t>16.3</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6274783" w14:textId="77777777" w:rsidR="00EB6564" w:rsidRDefault="00EB6564">
            <w:pPr>
              <w:pStyle w:val="06cTABLETEXT"/>
              <w:jc w:val="center"/>
            </w:pPr>
            <w:r>
              <w:t>Met</w:t>
            </w:r>
          </w:p>
        </w:tc>
      </w:tr>
      <w:tr w:rsidR="00EB6564" w14:paraId="4D5C5D1C" w14:textId="77777777" w:rsidTr="008B4D97">
        <w:trPr>
          <w:gridAfter w:val="1"/>
          <w:wAfter w:w="15" w:type="dxa"/>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7874373" w14:textId="77777777" w:rsidR="00EB6564" w:rsidRDefault="00EB6564">
            <w:pPr>
              <w:pStyle w:val="06cTABLETEXT"/>
            </w:pPr>
            <w:r>
              <w:t>North Metro</w:t>
            </w:r>
            <w:r>
              <w:rPr>
                <w:vertAlign w:val="superscript"/>
              </w:rPr>
              <w:t>1</w:t>
            </w:r>
          </w:p>
        </w:tc>
        <w:tc>
          <w:tcPr>
            <w:tcW w:w="1484"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B3368DE" w14:textId="77777777" w:rsidR="00EB6564" w:rsidRDefault="00EB6564">
            <w:pPr>
              <w:pStyle w:val="06cTABLETEXT"/>
              <w:jc w:val="center"/>
            </w:pPr>
            <w:r>
              <w:t>1</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E4B0188"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E86CC66" w14:textId="77777777" w:rsidR="00EB6564" w:rsidRDefault="00EB6564">
            <w:pPr>
              <w:pStyle w:val="06cTABLETEXT"/>
              <w:jc w:val="center"/>
            </w:pPr>
            <w:r>
              <w:t>15.1</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45C20A0" w14:textId="77777777" w:rsidR="00EB6564" w:rsidRDefault="00EB6564">
            <w:pPr>
              <w:pStyle w:val="06cTABLETEXT"/>
              <w:jc w:val="center"/>
            </w:pPr>
            <w:r>
              <w:t>Met</w:t>
            </w:r>
          </w:p>
        </w:tc>
      </w:tr>
      <w:tr w:rsidR="00EB6564" w14:paraId="47AD1C42" w14:textId="77777777" w:rsidTr="008B4D97">
        <w:trPr>
          <w:gridAfter w:val="1"/>
          <w:wAfter w:w="15" w:type="dxa"/>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B6CE3D8" w14:textId="77777777" w:rsidR="00EB6564" w:rsidRDefault="00EB6564">
            <w:pPr>
              <w:pStyle w:val="06cTABLETEXT"/>
            </w:pPr>
            <w:r>
              <w:t>South East Metro</w:t>
            </w:r>
            <w:r>
              <w:rPr>
                <w:vertAlign w:val="superscript"/>
              </w:rPr>
              <w:t>1</w:t>
            </w:r>
          </w:p>
        </w:tc>
        <w:tc>
          <w:tcPr>
            <w:tcW w:w="1484"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B6DCC28" w14:textId="77777777" w:rsidR="00EB6564" w:rsidRDefault="00EB6564">
            <w:pPr>
              <w:pStyle w:val="06cTABLETEXT"/>
              <w:jc w:val="center"/>
            </w:pPr>
            <w:r>
              <w:t>1</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E3DE994"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836C4CF" w14:textId="77777777" w:rsidR="00EB6564" w:rsidRDefault="00EB6564">
            <w:pPr>
              <w:pStyle w:val="06cTABLETEXT"/>
              <w:jc w:val="center"/>
            </w:pPr>
            <w:r>
              <w:t>16.3</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828FE36" w14:textId="77777777" w:rsidR="00EB6564" w:rsidRDefault="00EB6564">
            <w:pPr>
              <w:pStyle w:val="06cTABLETEXT"/>
              <w:jc w:val="center"/>
            </w:pPr>
            <w:r>
              <w:t>Met</w:t>
            </w:r>
          </w:p>
        </w:tc>
      </w:tr>
      <w:tr w:rsidR="00EB6564" w14:paraId="4A39526D" w14:textId="77777777" w:rsidTr="008B4D97">
        <w:trPr>
          <w:gridAfter w:val="1"/>
          <w:wAfter w:w="15" w:type="dxa"/>
          <w:trHeight w:val="60"/>
        </w:trPr>
        <w:tc>
          <w:tcPr>
            <w:tcW w:w="7417" w:type="dxa"/>
            <w:gridSpan w:val="6"/>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5721E41F" w14:textId="77777777" w:rsidR="00EB6564" w:rsidRDefault="00EB6564">
            <w:pPr>
              <w:pStyle w:val="06cTABLETEXT"/>
            </w:pPr>
            <w:r>
              <w:rPr>
                <w:rStyle w:val="BOLD"/>
              </w:rPr>
              <w:t>Southwest</w:t>
            </w:r>
          </w:p>
        </w:tc>
      </w:tr>
      <w:tr w:rsidR="00EB6564" w14:paraId="0FB88479" w14:textId="77777777" w:rsidTr="002A5286">
        <w:trPr>
          <w:gridAfter w:val="1"/>
          <w:wAfter w:w="15" w:type="dxa"/>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41BFF49" w14:textId="77777777" w:rsidR="00EB6564" w:rsidRDefault="00EB6564">
            <w:pPr>
              <w:pStyle w:val="06cTABLETEXT"/>
            </w:pPr>
            <w:r>
              <w:t>Albany</w:t>
            </w:r>
            <w:r>
              <w:rPr>
                <w:vertAlign w:val="superscript"/>
              </w:rPr>
              <w:t>1</w:t>
            </w:r>
          </w:p>
        </w:tc>
        <w:tc>
          <w:tcPr>
            <w:tcW w:w="1484"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11D4546" w14:textId="77777777" w:rsidR="00EB6564" w:rsidRDefault="00EB6564">
            <w:pPr>
              <w:pStyle w:val="06cTABLETEXT"/>
              <w:jc w:val="center"/>
            </w:pPr>
            <w:r>
              <w:t>2</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AF75949" w14:textId="77777777" w:rsidR="00EB6564" w:rsidRDefault="00EB6564">
            <w:pPr>
              <w:pStyle w:val="06cTABLETEXT"/>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E290A9A" w14:textId="77777777" w:rsidR="00EB6564" w:rsidRDefault="00EB6564">
            <w:pPr>
              <w:pStyle w:val="06cTABLETEXT"/>
              <w:jc w:val="center"/>
            </w:pPr>
            <w:r>
              <w:t>14.6</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788A1EB" w14:textId="77777777" w:rsidR="00EB6564" w:rsidRDefault="00EB6564">
            <w:pPr>
              <w:pStyle w:val="06cTABLETEXT"/>
              <w:jc w:val="center"/>
            </w:pPr>
            <w:r>
              <w:t>Met</w:t>
            </w:r>
          </w:p>
        </w:tc>
      </w:tr>
      <w:tr w:rsidR="00EB6564" w14:paraId="11E93771" w14:textId="77777777" w:rsidTr="002A5286">
        <w:trPr>
          <w:gridAfter w:val="1"/>
          <w:wAfter w:w="15" w:type="dxa"/>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4BED01A" w14:textId="77777777" w:rsidR="00EB6564" w:rsidRDefault="00EB6564">
            <w:pPr>
              <w:pStyle w:val="06cTABLETEXT"/>
            </w:pPr>
            <w:r>
              <w:t>Bunbury</w:t>
            </w:r>
            <w:r>
              <w:rPr>
                <w:vertAlign w:val="superscript"/>
              </w:rPr>
              <w:t>1</w:t>
            </w:r>
          </w:p>
        </w:tc>
        <w:tc>
          <w:tcPr>
            <w:tcW w:w="1484"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7424D7D" w14:textId="77777777" w:rsidR="00EB6564" w:rsidRDefault="00EB6564">
            <w:pPr>
              <w:pStyle w:val="06cTABLETEXT"/>
              <w:jc w:val="center"/>
            </w:pPr>
            <w:r>
              <w:t>1</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5A3784B"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B4AC4D0" w14:textId="77777777" w:rsidR="00EB6564" w:rsidRDefault="00EB6564">
            <w:pPr>
              <w:pStyle w:val="06cTABLETEXT"/>
              <w:jc w:val="center"/>
            </w:pPr>
            <w:r>
              <w:t>16.1</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E6D4B2A" w14:textId="77777777" w:rsidR="00EB6564" w:rsidRDefault="00EB6564">
            <w:pPr>
              <w:pStyle w:val="06cTABLETEXT"/>
              <w:jc w:val="center"/>
            </w:pPr>
            <w:r>
              <w:t>Met</w:t>
            </w:r>
          </w:p>
        </w:tc>
      </w:tr>
      <w:tr w:rsidR="00EB6564" w14:paraId="6D9FC2A1" w14:textId="77777777" w:rsidTr="00B0339D">
        <w:trPr>
          <w:gridAfter w:val="1"/>
          <w:wAfter w:w="15" w:type="dxa"/>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B00B1D5" w14:textId="77777777" w:rsidR="00EB6564" w:rsidRDefault="00EB6564">
            <w:pPr>
              <w:pStyle w:val="06cTABLETEXT"/>
            </w:pPr>
            <w:r>
              <w:t>Collie</w:t>
            </w:r>
            <w:r>
              <w:rPr>
                <w:vertAlign w:val="superscript"/>
              </w:rPr>
              <w:t>1</w:t>
            </w:r>
          </w:p>
        </w:tc>
        <w:tc>
          <w:tcPr>
            <w:tcW w:w="1484"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4B312AB" w14:textId="77777777" w:rsidR="00EB6564" w:rsidRDefault="00EB6564">
            <w:pPr>
              <w:pStyle w:val="06cTABLETEXT"/>
              <w:jc w:val="center"/>
            </w:pPr>
            <w:r>
              <w:t>10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4DFFF3E"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04FAE30" w14:textId="77777777" w:rsidR="00EB6564" w:rsidRDefault="00EB6564">
            <w:pPr>
              <w:pStyle w:val="06cTABLETEXT"/>
              <w:jc w:val="center"/>
            </w:pPr>
            <w:r>
              <w:t>19.3</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BDA37E9" w14:textId="77777777" w:rsidR="00EB6564" w:rsidRDefault="00EB6564">
            <w:pPr>
              <w:pStyle w:val="06cTABLETEXT"/>
              <w:jc w:val="center"/>
            </w:pPr>
            <w:r>
              <w:t>Met</w:t>
            </w:r>
          </w:p>
        </w:tc>
      </w:tr>
      <w:tr w:rsidR="00EB6564" w14:paraId="28D7E1B7" w14:textId="77777777" w:rsidTr="00B0339D">
        <w:trPr>
          <w:gridAfter w:val="1"/>
          <w:wAfter w:w="15" w:type="dxa"/>
          <w:trHeight w:val="60"/>
        </w:trPr>
        <w:tc>
          <w:tcPr>
            <w:tcW w:w="1483" w:type="dxa"/>
            <w:tcBorders>
              <w:top w:val="single" w:sz="4" w:space="0" w:color="FFFFFF"/>
              <w:left w:val="single" w:sz="4" w:space="0" w:color="FFFFFF"/>
              <w:bottom w:val="single" w:sz="4" w:space="0" w:color="FFFFFF"/>
            </w:tcBorders>
            <w:shd w:val="clear" w:color="auto" w:fill="BFBFBF" w:themeFill="background1" w:themeFillShade="BF"/>
            <w:tcMar>
              <w:top w:w="85" w:type="dxa"/>
              <w:left w:w="85" w:type="dxa"/>
              <w:bottom w:w="85" w:type="dxa"/>
              <w:right w:w="85" w:type="dxa"/>
            </w:tcMar>
            <w:vAlign w:val="center"/>
          </w:tcPr>
          <w:p w14:paraId="24FA844A" w14:textId="77777777" w:rsidR="00EB6564" w:rsidRPr="00B0339D" w:rsidRDefault="00EB6564">
            <w:pPr>
              <w:pStyle w:val="06cTABLETEXT"/>
              <w:rPr>
                <w:b/>
                <w:bCs/>
              </w:rPr>
            </w:pPr>
            <w:r w:rsidRPr="00B0339D">
              <w:rPr>
                <w:b/>
                <w:bCs/>
              </w:rPr>
              <w:t>Midwest</w:t>
            </w:r>
          </w:p>
        </w:tc>
        <w:tc>
          <w:tcPr>
            <w:tcW w:w="1484" w:type="dxa"/>
            <w:gridSpan w:val="2"/>
            <w:tcBorders>
              <w:top w:val="single" w:sz="4" w:space="0" w:color="FFFFFF"/>
              <w:bottom w:val="single" w:sz="4" w:space="0" w:color="FFFFFF"/>
            </w:tcBorders>
            <w:shd w:val="clear" w:color="auto" w:fill="BFBFBF" w:themeFill="background1" w:themeFillShade="BF"/>
            <w:tcMar>
              <w:top w:w="85" w:type="dxa"/>
              <w:left w:w="85" w:type="dxa"/>
              <w:bottom w:w="85" w:type="dxa"/>
              <w:right w:w="85" w:type="dxa"/>
            </w:tcMar>
            <w:vAlign w:val="center"/>
          </w:tcPr>
          <w:p w14:paraId="39B1D0A4" w14:textId="77777777" w:rsidR="00EB6564" w:rsidRDefault="00EB6564">
            <w:pPr>
              <w:pStyle w:val="NoParagraphStyle"/>
              <w:spacing w:line="240" w:lineRule="auto"/>
              <w:textAlignment w:val="auto"/>
              <w:rPr>
                <w:rFonts w:ascii="Calibri" w:hAnsi="Calibri" w:cs="Calibri"/>
                <w:color w:val="auto"/>
              </w:rPr>
            </w:pPr>
          </w:p>
        </w:tc>
        <w:tc>
          <w:tcPr>
            <w:tcW w:w="1483" w:type="dxa"/>
            <w:tcBorders>
              <w:top w:val="single" w:sz="4" w:space="0" w:color="FFFFFF"/>
              <w:bottom w:val="single" w:sz="4" w:space="0" w:color="FFFFFF"/>
            </w:tcBorders>
            <w:shd w:val="clear" w:color="auto" w:fill="BFBFBF" w:themeFill="background1" w:themeFillShade="BF"/>
            <w:tcMar>
              <w:top w:w="85" w:type="dxa"/>
              <w:left w:w="85" w:type="dxa"/>
              <w:bottom w:w="85" w:type="dxa"/>
              <w:right w:w="85" w:type="dxa"/>
            </w:tcMar>
            <w:vAlign w:val="center"/>
          </w:tcPr>
          <w:p w14:paraId="759E0189" w14:textId="77777777" w:rsidR="00EB6564" w:rsidRDefault="00EB6564">
            <w:pPr>
              <w:pStyle w:val="NoParagraphStyle"/>
              <w:spacing w:line="240" w:lineRule="auto"/>
              <w:textAlignment w:val="auto"/>
              <w:rPr>
                <w:rFonts w:ascii="Calibri" w:hAnsi="Calibri" w:cs="Calibri"/>
                <w:color w:val="auto"/>
              </w:rPr>
            </w:pPr>
          </w:p>
        </w:tc>
        <w:tc>
          <w:tcPr>
            <w:tcW w:w="1483" w:type="dxa"/>
            <w:tcBorders>
              <w:top w:val="single" w:sz="4" w:space="0" w:color="FFFFFF"/>
              <w:bottom w:val="single" w:sz="4" w:space="0" w:color="FFFFFF"/>
            </w:tcBorders>
            <w:shd w:val="clear" w:color="auto" w:fill="BFBFBF" w:themeFill="background1" w:themeFillShade="BF"/>
            <w:tcMar>
              <w:top w:w="85" w:type="dxa"/>
              <w:left w:w="85" w:type="dxa"/>
              <w:bottom w:w="85" w:type="dxa"/>
              <w:right w:w="85" w:type="dxa"/>
            </w:tcMar>
            <w:vAlign w:val="center"/>
          </w:tcPr>
          <w:p w14:paraId="49ADDC6E" w14:textId="77777777" w:rsidR="00EB6564" w:rsidRDefault="00EB6564">
            <w:pPr>
              <w:pStyle w:val="NoParagraphStyle"/>
              <w:spacing w:line="240" w:lineRule="auto"/>
              <w:textAlignment w:val="auto"/>
              <w:rPr>
                <w:rFonts w:ascii="Calibri" w:hAnsi="Calibri" w:cs="Calibri"/>
                <w:color w:val="auto"/>
              </w:rPr>
            </w:pPr>
          </w:p>
        </w:tc>
        <w:tc>
          <w:tcPr>
            <w:tcW w:w="1484" w:type="dxa"/>
            <w:tcBorders>
              <w:top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DEE44F3" w14:textId="77777777" w:rsidR="00EB6564" w:rsidRDefault="00EB6564">
            <w:pPr>
              <w:pStyle w:val="NoParagraphStyle"/>
              <w:spacing w:line="240" w:lineRule="auto"/>
              <w:textAlignment w:val="auto"/>
              <w:rPr>
                <w:rFonts w:ascii="Calibri" w:hAnsi="Calibri" w:cs="Calibri"/>
                <w:color w:val="auto"/>
              </w:rPr>
            </w:pPr>
          </w:p>
        </w:tc>
      </w:tr>
      <w:tr w:rsidR="00EB6564" w14:paraId="377A9525" w14:textId="77777777" w:rsidTr="002A5286">
        <w:trPr>
          <w:gridAfter w:val="1"/>
          <w:wAfter w:w="15" w:type="dxa"/>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CFAEF3C" w14:textId="77777777" w:rsidR="00EB6564" w:rsidRDefault="00EB6564">
            <w:pPr>
              <w:pStyle w:val="06cTABLETEXT"/>
            </w:pPr>
            <w:r>
              <w:t>Geraldton</w:t>
            </w:r>
            <w:r>
              <w:rPr>
                <w:vertAlign w:val="superscript"/>
              </w:rPr>
              <w:t>1</w:t>
            </w:r>
          </w:p>
        </w:tc>
        <w:tc>
          <w:tcPr>
            <w:tcW w:w="1484"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1B8D51F" w14:textId="77777777" w:rsidR="00EB6564" w:rsidRDefault="00EB6564">
            <w:pPr>
              <w:pStyle w:val="06cTABLETEXT"/>
              <w:jc w:val="center"/>
            </w:pPr>
            <w:r>
              <w:t>3</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AD4D7B5" w14:textId="77777777" w:rsidR="00EB6564" w:rsidRDefault="00EB6564">
            <w:pPr>
              <w:pStyle w:val="06cTABLETEXT"/>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264259B" w14:textId="77777777" w:rsidR="00EB6564" w:rsidRDefault="00EB6564">
            <w:pPr>
              <w:pStyle w:val="06cTABLETEXT"/>
              <w:jc w:val="center"/>
            </w:pPr>
            <w:r>
              <w:t>20.1</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7035FAF" w14:textId="77777777" w:rsidR="00EB6564" w:rsidRDefault="00EB6564">
            <w:pPr>
              <w:pStyle w:val="06cTABLETEXT"/>
              <w:jc w:val="center"/>
            </w:pPr>
            <w:r>
              <w:t>Met</w:t>
            </w:r>
          </w:p>
        </w:tc>
      </w:tr>
      <w:tr w:rsidR="00EB6564" w14:paraId="61FC5841" w14:textId="77777777" w:rsidTr="008B4D97">
        <w:trPr>
          <w:gridAfter w:val="1"/>
          <w:wAfter w:w="15" w:type="dxa"/>
          <w:trHeight w:val="60"/>
        </w:trPr>
        <w:tc>
          <w:tcPr>
            <w:tcW w:w="7417" w:type="dxa"/>
            <w:gridSpan w:val="6"/>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74B86B61" w14:textId="77777777" w:rsidR="00EB6564" w:rsidRDefault="00EB6564">
            <w:pPr>
              <w:pStyle w:val="06cTABLETEXT"/>
            </w:pPr>
            <w:r>
              <w:rPr>
                <w:rStyle w:val="BOLD"/>
              </w:rPr>
              <w:t>Goldfields</w:t>
            </w:r>
          </w:p>
        </w:tc>
      </w:tr>
      <w:tr w:rsidR="00EB6564" w14:paraId="0FEE2CE7" w14:textId="77777777" w:rsidTr="002A5286">
        <w:trPr>
          <w:gridAfter w:val="1"/>
          <w:wAfter w:w="15" w:type="dxa"/>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8D2A4BC" w14:textId="77777777" w:rsidR="00EB6564" w:rsidRDefault="00EB6564">
            <w:pPr>
              <w:pStyle w:val="06cTABLETEXT"/>
            </w:pPr>
            <w:r>
              <w:t>Kalgoorlie</w:t>
            </w:r>
            <w:r>
              <w:rPr>
                <w:vertAlign w:val="superscript"/>
              </w:rPr>
              <w:t>2</w:t>
            </w:r>
          </w:p>
        </w:tc>
        <w:tc>
          <w:tcPr>
            <w:tcW w:w="1484"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4068216" w14:textId="77777777" w:rsidR="00EB6564" w:rsidRDefault="00EB6564">
            <w:pPr>
              <w:pStyle w:val="06cTABLETEXT"/>
              <w:jc w:val="center"/>
            </w:pPr>
            <w:r>
              <w:t>1</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8B94BE6"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7A1A273" w14:textId="77777777" w:rsidR="00EB6564" w:rsidRDefault="00EB6564">
            <w:pPr>
              <w:pStyle w:val="06cTABLETEXT"/>
              <w:jc w:val="center"/>
            </w:pPr>
            <w:r>
              <w:t>12.8</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EE20533" w14:textId="77777777" w:rsidR="00EB6564" w:rsidRDefault="00EB6564">
            <w:pPr>
              <w:pStyle w:val="06cTABLETEXT"/>
              <w:jc w:val="center"/>
            </w:pPr>
            <w:r>
              <w:t>Met</w:t>
            </w:r>
          </w:p>
        </w:tc>
      </w:tr>
    </w:tbl>
    <w:p w14:paraId="2F24FDFA" w14:textId="77777777" w:rsidR="00EB6564" w:rsidRDefault="00EB6564" w:rsidP="008B4D97">
      <w:pPr>
        <w:pStyle w:val="07FOOTNOTES"/>
        <w:spacing w:after="0"/>
      </w:pPr>
      <w:r>
        <w:t>1</w:t>
      </w:r>
      <w:r>
        <w:tab/>
        <w:t xml:space="preserve">Tapered Element Oscillating Microbalance (TEOM) operating continuously (unadjusted for temperature) and includes the manufacturers recommended equivalency factor of 1.03x + 3.00. </w:t>
      </w:r>
    </w:p>
    <w:p w14:paraId="39301B2A" w14:textId="660A76CA" w:rsidR="00EB6564" w:rsidRDefault="00EB6564" w:rsidP="00EB6564">
      <w:pPr>
        <w:pStyle w:val="07FOOTNOTES"/>
      </w:pPr>
      <w:r>
        <w:t xml:space="preserve">2 </w:t>
      </w:r>
      <w:r>
        <w:tab/>
        <w:t>1405 TEOM operating continuously (unadjusted for temperature) and includes no equivalency factor.</w:t>
      </w:r>
    </w:p>
    <w:p w14:paraId="3A7C1547" w14:textId="45490A40" w:rsidR="00134EA2" w:rsidRDefault="00134EA2">
      <w:pPr>
        <w:rPr>
          <w:rFonts w:ascii="Calibri" w:hAnsi="Calibri" w:cs="Calibri"/>
          <w:color w:val="000000"/>
          <w:sz w:val="14"/>
          <w:szCs w:val="14"/>
          <w:lang w:val="en-US"/>
        </w:rPr>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0FCFF97E" w14:textId="77777777" w:rsidTr="00134EA2">
        <w:trPr>
          <w:trHeight w:val="60"/>
          <w:tblHeader/>
        </w:trPr>
        <w:tc>
          <w:tcPr>
            <w:tcW w:w="1701" w:type="dxa"/>
            <w:vMerge w:val="restart"/>
            <w:tcMar>
              <w:top w:w="85" w:type="dxa"/>
              <w:left w:w="85" w:type="dxa"/>
              <w:bottom w:w="85" w:type="dxa"/>
              <w:right w:w="85" w:type="dxa"/>
            </w:tcMar>
          </w:tcPr>
          <w:p w14:paraId="57683E10" w14:textId="77777777" w:rsidR="00EB6564" w:rsidRDefault="00EB6564" w:rsidP="00134EA2">
            <w:pPr>
              <w:pStyle w:val="CHEMICALCHEMTABLES"/>
              <w:keepNext/>
              <w:spacing w:after="0" w:line="240" w:lineRule="auto"/>
            </w:pPr>
            <w:r>
              <w:lastRenderedPageBreak/>
              <w:t>PM</w:t>
            </w:r>
            <w:r>
              <w:rPr>
                <w:vertAlign w:val="subscript"/>
              </w:rPr>
              <w:t>2.5</w:t>
            </w:r>
          </w:p>
        </w:tc>
        <w:tc>
          <w:tcPr>
            <w:tcW w:w="5731" w:type="dxa"/>
            <w:tcMar>
              <w:top w:w="85" w:type="dxa"/>
              <w:left w:w="85" w:type="dxa"/>
              <w:bottom w:w="85" w:type="dxa"/>
              <w:right w:w="85" w:type="dxa"/>
            </w:tcMar>
          </w:tcPr>
          <w:p w14:paraId="5521E160" w14:textId="77777777" w:rsidR="00EB6564" w:rsidRDefault="00EB6564" w:rsidP="00134EA2">
            <w:pPr>
              <w:pStyle w:val="CHEMICALfullnameCHEMTABLES"/>
              <w:keepNext/>
              <w:spacing w:after="0" w:line="240" w:lineRule="auto"/>
            </w:pPr>
            <w:r>
              <w:t>Particles as PM</w:t>
            </w:r>
            <w:r>
              <w:rPr>
                <w:vertAlign w:val="subscript"/>
              </w:rPr>
              <w:t>2.5</w:t>
            </w:r>
          </w:p>
        </w:tc>
      </w:tr>
      <w:tr w:rsidR="00EB6564" w14:paraId="7C442390" w14:textId="77777777" w:rsidTr="00134EA2">
        <w:trPr>
          <w:trHeight w:val="60"/>
          <w:tblHeader/>
        </w:trPr>
        <w:tc>
          <w:tcPr>
            <w:tcW w:w="1701" w:type="dxa"/>
            <w:vMerge/>
          </w:tcPr>
          <w:p w14:paraId="38A3138B"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3317AE2" w14:textId="77777777" w:rsidR="00EB6564" w:rsidRDefault="00EB6564" w:rsidP="00134EA2">
            <w:pPr>
              <w:pStyle w:val="NEPMstandardCHEMTABLES"/>
              <w:keepNext/>
              <w:spacing w:after="0" w:line="240" w:lineRule="auto"/>
            </w:pPr>
            <w:r>
              <w:t>(NEPM standard 1 day = 25µg/m</w:t>
            </w:r>
            <w:r>
              <w:rPr>
                <w:vertAlign w:val="superscript"/>
              </w:rPr>
              <w:t>3</w:t>
            </w:r>
            <w:r>
              <w:t>, 1 year = 8µg/m</w:t>
            </w:r>
            <w:r>
              <w:rPr>
                <w:vertAlign w:val="superscript"/>
              </w:rPr>
              <w:t>3</w:t>
            </w:r>
            <w:r>
              <w:t>)</w:t>
            </w:r>
          </w:p>
        </w:tc>
      </w:tr>
      <w:tr w:rsidR="00EB6564" w14:paraId="50DBDAA7" w14:textId="77777777" w:rsidTr="00134EA2">
        <w:trPr>
          <w:trHeight w:hRule="exact" w:val="113"/>
        </w:trPr>
        <w:tc>
          <w:tcPr>
            <w:tcW w:w="1701" w:type="dxa"/>
            <w:tcMar>
              <w:top w:w="85" w:type="dxa"/>
              <w:left w:w="85" w:type="dxa"/>
              <w:bottom w:w="85" w:type="dxa"/>
              <w:right w:w="85" w:type="dxa"/>
            </w:tcMar>
          </w:tcPr>
          <w:p w14:paraId="5D1547FE"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1477BEB5" w14:textId="77777777" w:rsidR="00EB6564" w:rsidRDefault="00EB6564" w:rsidP="00134EA2">
            <w:pPr>
              <w:pStyle w:val="NoParagraphStyle"/>
              <w:keepNext/>
              <w:spacing w:line="240" w:lineRule="auto"/>
              <w:textAlignment w:val="auto"/>
              <w:rPr>
                <w:rFonts w:ascii="Calibri" w:hAnsi="Calibri" w:cs="Calibri"/>
                <w:color w:val="auto"/>
              </w:rPr>
            </w:pPr>
          </w:p>
        </w:tc>
      </w:tr>
    </w:tbl>
    <w:p w14:paraId="1D601BA7" w14:textId="77777777" w:rsidR="00EB6564" w:rsidRDefault="00EB6564" w:rsidP="00276A45">
      <w:pPr>
        <w:pStyle w:val="05BODYTEXT"/>
        <w:keepN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1488"/>
        <w:gridCol w:w="1488"/>
        <w:gridCol w:w="1488"/>
        <w:gridCol w:w="1488"/>
        <w:gridCol w:w="1488"/>
      </w:tblGrid>
      <w:tr w:rsidR="00EB6564" w14:paraId="2D1C5BD9" w14:textId="77777777">
        <w:trPr>
          <w:trHeight w:val="60"/>
          <w:tblHeader/>
        </w:trPr>
        <w:tc>
          <w:tcPr>
            <w:tcW w:w="1488"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B118720" w14:textId="77777777" w:rsidR="00EB6564" w:rsidRDefault="00EB6564">
            <w:pPr>
              <w:pStyle w:val="06bTABLEHEADERROW"/>
            </w:pPr>
            <w:r>
              <w:t>Station</w:t>
            </w:r>
          </w:p>
        </w:tc>
        <w:tc>
          <w:tcPr>
            <w:tcW w:w="2976"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A79859B" w14:textId="77777777" w:rsidR="00EB6564" w:rsidRDefault="00EB6564">
            <w:pPr>
              <w:pStyle w:val="06bTABLEHEADERROW"/>
              <w:jc w:val="center"/>
            </w:pPr>
            <w:r>
              <w:t>1 day</w:t>
            </w:r>
          </w:p>
        </w:tc>
        <w:tc>
          <w:tcPr>
            <w:tcW w:w="2976"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30760E0" w14:textId="77777777" w:rsidR="00EB6564" w:rsidRDefault="00EB6564">
            <w:pPr>
              <w:pStyle w:val="06bTABLEHEADERROW"/>
              <w:jc w:val="center"/>
            </w:pPr>
            <w:r>
              <w:t>1 year</w:t>
            </w:r>
          </w:p>
        </w:tc>
      </w:tr>
      <w:tr w:rsidR="00EB6564" w14:paraId="10D186B1" w14:textId="77777777" w:rsidTr="008B4D97">
        <w:trPr>
          <w:trHeight w:val="60"/>
          <w:tblHeader/>
        </w:trPr>
        <w:tc>
          <w:tcPr>
            <w:tcW w:w="1488" w:type="dxa"/>
            <w:vMerge/>
            <w:tcBorders>
              <w:top w:val="single" w:sz="8" w:space="0" w:color="FFFFFF"/>
              <w:left w:val="single" w:sz="4" w:space="0" w:color="FFFFFF"/>
              <w:bottom w:val="single" w:sz="4" w:space="0" w:color="FFFFFF"/>
              <w:right w:val="single" w:sz="4" w:space="0" w:color="FFFFFF"/>
            </w:tcBorders>
          </w:tcPr>
          <w:p w14:paraId="33FC71F1" w14:textId="77777777" w:rsidR="00EB6564" w:rsidRDefault="00EB6564">
            <w:pPr>
              <w:pStyle w:val="NoParagraphStyle"/>
              <w:spacing w:line="240" w:lineRule="auto"/>
              <w:textAlignment w:val="auto"/>
              <w:rPr>
                <w:rFonts w:ascii="Calibri" w:hAnsi="Calibri" w:cs="Calibri"/>
                <w:color w:val="auto"/>
              </w:rPr>
            </w:pPr>
          </w:p>
        </w:tc>
        <w:tc>
          <w:tcPr>
            <w:tcW w:w="1488"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6AC09C8" w14:textId="77777777" w:rsidR="00EB6564" w:rsidRDefault="00EB6564">
            <w:pPr>
              <w:pStyle w:val="06bTABLEHEADERROW"/>
              <w:jc w:val="center"/>
            </w:pPr>
            <w:r>
              <w:t>Number of exceedances</w:t>
            </w:r>
          </w:p>
        </w:tc>
        <w:tc>
          <w:tcPr>
            <w:tcW w:w="1488"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10038B0" w14:textId="77777777" w:rsidR="00EB6564" w:rsidRDefault="00EB6564">
            <w:pPr>
              <w:pStyle w:val="06bTABLEHEADERROW"/>
              <w:jc w:val="center"/>
            </w:pPr>
            <w:r>
              <w:t>NEPM goal compliance</w:t>
            </w:r>
          </w:p>
        </w:tc>
        <w:tc>
          <w:tcPr>
            <w:tcW w:w="1488"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08B9BAB" w14:textId="30AFAAB4" w:rsidR="00EB6564" w:rsidRDefault="00EB6564">
            <w:pPr>
              <w:pStyle w:val="06bTABLEHEADERROW"/>
              <w:jc w:val="center"/>
            </w:pPr>
            <w:r>
              <w:t>Annual average (</w:t>
            </w:r>
            <w:r w:rsidR="00B3345B">
              <w:t>µ</w:t>
            </w:r>
            <w:r>
              <w:t>g/m</w:t>
            </w:r>
            <w:r>
              <w:rPr>
                <w:vertAlign w:val="superscript"/>
              </w:rPr>
              <w:t>3</w:t>
            </w:r>
            <w:r>
              <w:t>)</w:t>
            </w:r>
          </w:p>
        </w:tc>
        <w:tc>
          <w:tcPr>
            <w:tcW w:w="1488"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6DFBFE5" w14:textId="77777777" w:rsidR="00EB6564" w:rsidRDefault="00EB6564">
            <w:pPr>
              <w:pStyle w:val="06bTABLEHEADERROW"/>
              <w:jc w:val="center"/>
            </w:pPr>
            <w:r>
              <w:t>NEPM goal compliance</w:t>
            </w:r>
          </w:p>
        </w:tc>
      </w:tr>
      <w:tr w:rsidR="00EB6564" w14:paraId="293C6FDF" w14:textId="77777777" w:rsidTr="008B4D97">
        <w:trPr>
          <w:trHeight w:val="60"/>
        </w:trPr>
        <w:tc>
          <w:tcPr>
            <w:tcW w:w="7440"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5128E740" w14:textId="77777777" w:rsidR="00EB6564" w:rsidRDefault="00EB6564">
            <w:pPr>
              <w:pStyle w:val="06cTABLETEXT"/>
            </w:pPr>
            <w:r>
              <w:rPr>
                <w:rStyle w:val="BOLD"/>
              </w:rPr>
              <w:t>Perth</w:t>
            </w:r>
          </w:p>
        </w:tc>
      </w:tr>
      <w:tr w:rsidR="00EB6564" w14:paraId="56E3DF44" w14:textId="77777777" w:rsidTr="008B4D97">
        <w:trPr>
          <w:trHeight w:val="60"/>
        </w:trPr>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E9C8DE3" w14:textId="77777777" w:rsidR="00EB6564" w:rsidRDefault="00EB6564">
            <w:pPr>
              <w:pStyle w:val="06cTABLETEXT"/>
            </w:pPr>
            <w:r>
              <w:t>North East Metro</w:t>
            </w:r>
            <w:r>
              <w:rPr>
                <w:vertAlign w:val="superscript"/>
              </w:rPr>
              <w:t>1</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6FC0912" w14:textId="77777777" w:rsidR="00EB6564" w:rsidRDefault="00EB6564">
            <w:pPr>
              <w:pStyle w:val="06cTABLETEXT"/>
              <w:jc w:val="center"/>
            </w:pPr>
            <w:r>
              <w:t>2</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DF4B595" w14:textId="77777777" w:rsidR="00EB6564" w:rsidRDefault="00EB6564">
            <w:pPr>
              <w:pStyle w:val="06cTABLETEXT"/>
              <w:jc w:val="center"/>
            </w:pPr>
            <w:r>
              <w:t>Met</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FE6D7E4" w14:textId="77777777" w:rsidR="00EB6564" w:rsidRDefault="00EB6564">
            <w:pPr>
              <w:pStyle w:val="06cTABLETEXT"/>
              <w:jc w:val="center"/>
            </w:pPr>
            <w:r>
              <w:t>8.0</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5F51998" w14:textId="77777777" w:rsidR="00EB6564" w:rsidRDefault="00EB6564">
            <w:pPr>
              <w:pStyle w:val="06cTABLETEXT"/>
              <w:jc w:val="center"/>
            </w:pPr>
            <w:r>
              <w:t>Met</w:t>
            </w:r>
          </w:p>
        </w:tc>
      </w:tr>
      <w:tr w:rsidR="00EB6564" w14:paraId="6CC21791" w14:textId="77777777" w:rsidTr="008B4D97">
        <w:trPr>
          <w:trHeight w:val="60"/>
        </w:trPr>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EF92810" w14:textId="77777777" w:rsidR="00EB6564" w:rsidRDefault="00EB6564">
            <w:pPr>
              <w:pStyle w:val="06cTABLETEXT"/>
            </w:pPr>
            <w:r>
              <w:t>North Metro</w:t>
            </w:r>
            <w:r>
              <w:rPr>
                <w:vertAlign w:val="superscript"/>
              </w:rPr>
              <w:t>1</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782F163" w14:textId="77777777" w:rsidR="00EB6564" w:rsidRDefault="00EB6564">
            <w:pPr>
              <w:pStyle w:val="06cTABLETEXT"/>
              <w:jc w:val="center"/>
            </w:pPr>
            <w:r>
              <w:t>1</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5733B4E" w14:textId="77777777" w:rsidR="00EB6564" w:rsidRDefault="00EB6564">
            <w:pPr>
              <w:pStyle w:val="06cTABLETEXT"/>
              <w:jc w:val="center"/>
            </w:pPr>
            <w:r>
              <w:t>Met</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0B6FF19" w14:textId="77777777" w:rsidR="00EB6564" w:rsidRDefault="00EB6564">
            <w:pPr>
              <w:pStyle w:val="06cTABLETEXT"/>
              <w:jc w:val="center"/>
            </w:pPr>
            <w:r>
              <w:t>7.7</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7651ACE" w14:textId="77777777" w:rsidR="00EB6564" w:rsidRDefault="00EB6564">
            <w:pPr>
              <w:pStyle w:val="06cTABLETEXT"/>
              <w:jc w:val="center"/>
            </w:pPr>
            <w:r>
              <w:t>Met</w:t>
            </w:r>
          </w:p>
        </w:tc>
      </w:tr>
      <w:tr w:rsidR="00EB6564" w14:paraId="73DEED37" w14:textId="77777777" w:rsidTr="008B4D97">
        <w:trPr>
          <w:trHeight w:val="60"/>
        </w:trPr>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D0F017F" w14:textId="77777777" w:rsidR="00EB6564" w:rsidRDefault="00EB6564">
            <w:pPr>
              <w:pStyle w:val="06cTABLETEXT"/>
            </w:pPr>
            <w:r>
              <w:t>South East Metro</w:t>
            </w:r>
            <w:r>
              <w:rPr>
                <w:vertAlign w:val="superscript"/>
              </w:rPr>
              <w:t>1</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3B94DA9" w14:textId="77777777" w:rsidR="00EB6564" w:rsidRDefault="00EB6564">
            <w:pPr>
              <w:pStyle w:val="06cTABLETEXT"/>
              <w:jc w:val="center"/>
            </w:pPr>
            <w:r>
              <w:t>5</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6E53539" w14:textId="77777777" w:rsidR="00EB6564" w:rsidRDefault="00EB6564">
            <w:pPr>
              <w:pStyle w:val="06cTABLETEXT"/>
              <w:jc w:val="center"/>
            </w:pPr>
            <w:r>
              <w:t>Met</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23783AE" w14:textId="77777777" w:rsidR="00EB6564" w:rsidRDefault="00EB6564">
            <w:pPr>
              <w:pStyle w:val="06cTABLETEXT"/>
              <w:jc w:val="center"/>
            </w:pPr>
            <w:r>
              <w:t>8.4</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6C377FC" w14:textId="77777777" w:rsidR="00EB6564" w:rsidRDefault="00EB6564">
            <w:pPr>
              <w:pStyle w:val="06cTABLETEXT"/>
              <w:jc w:val="center"/>
            </w:pPr>
            <w:r>
              <w:t>Not Met</w:t>
            </w:r>
          </w:p>
        </w:tc>
      </w:tr>
      <w:tr w:rsidR="00EB6564" w14:paraId="76E18735" w14:textId="77777777" w:rsidTr="008B4D97">
        <w:trPr>
          <w:trHeight w:val="60"/>
        </w:trPr>
        <w:tc>
          <w:tcPr>
            <w:tcW w:w="7440"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4A3F3BAF" w14:textId="77777777" w:rsidR="00EB6564" w:rsidRDefault="00EB6564">
            <w:pPr>
              <w:pStyle w:val="06cTABLETEXT"/>
            </w:pPr>
            <w:r>
              <w:rPr>
                <w:rStyle w:val="BOLD"/>
              </w:rPr>
              <w:t>Southwest</w:t>
            </w:r>
          </w:p>
        </w:tc>
      </w:tr>
      <w:tr w:rsidR="00EB6564" w14:paraId="0D529D39" w14:textId="77777777" w:rsidTr="008B4D97">
        <w:trPr>
          <w:trHeight w:val="60"/>
        </w:trPr>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50CE5E7" w14:textId="77777777" w:rsidR="00EB6564" w:rsidRDefault="00EB6564">
            <w:pPr>
              <w:pStyle w:val="06cTABLETEXT"/>
            </w:pPr>
            <w:r>
              <w:t>Bunbury</w:t>
            </w:r>
            <w:r>
              <w:rPr>
                <w:vertAlign w:val="superscript"/>
              </w:rPr>
              <w:t>1</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ADCAD41" w14:textId="77777777" w:rsidR="00EB6564" w:rsidRDefault="00EB6564">
            <w:pPr>
              <w:pStyle w:val="06cTABLETEXT"/>
              <w:jc w:val="center"/>
            </w:pPr>
            <w:r>
              <w:t>5</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EEF6464" w14:textId="77777777" w:rsidR="00EB6564" w:rsidRDefault="00EB6564">
            <w:pPr>
              <w:pStyle w:val="06cTABLETEXT"/>
              <w:jc w:val="center"/>
            </w:pPr>
            <w:r>
              <w:t>Not Met</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EB18A2" w14:textId="77777777" w:rsidR="00EB6564" w:rsidRDefault="00EB6564">
            <w:pPr>
              <w:pStyle w:val="06cTABLETEXT"/>
              <w:jc w:val="center"/>
            </w:pPr>
            <w:r>
              <w:t>8.4</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61CE38E" w14:textId="77777777" w:rsidR="00EB6564" w:rsidRDefault="00EB6564">
            <w:pPr>
              <w:pStyle w:val="06cTABLETEXT"/>
              <w:jc w:val="center"/>
            </w:pPr>
            <w:r>
              <w:t>Not Met</w:t>
            </w:r>
          </w:p>
        </w:tc>
      </w:tr>
      <w:tr w:rsidR="00EB6564" w14:paraId="668D84C6" w14:textId="77777777" w:rsidTr="008B4D97">
        <w:trPr>
          <w:trHeight w:val="60"/>
        </w:trPr>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56656FE" w14:textId="77777777" w:rsidR="00EB6564" w:rsidRDefault="00EB6564">
            <w:pPr>
              <w:pStyle w:val="06cTABLETEXT"/>
            </w:pPr>
            <w:r>
              <w:t>Busselton</w:t>
            </w:r>
            <w:r>
              <w:rPr>
                <w:vertAlign w:val="superscript"/>
              </w:rPr>
              <w:t>1</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2242C76" w14:textId="77777777" w:rsidR="00EB6564" w:rsidRDefault="00EB6564">
            <w:pPr>
              <w:pStyle w:val="06cTABLETEXT"/>
              <w:jc w:val="center"/>
            </w:pPr>
            <w:r>
              <w:t>7</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0CA6AB5" w14:textId="77777777" w:rsidR="00EB6564" w:rsidRDefault="00EB6564">
            <w:pPr>
              <w:pStyle w:val="06cTABLETEXT"/>
              <w:jc w:val="center"/>
            </w:pPr>
            <w:r>
              <w:t>Not Met</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06C724D" w14:textId="77777777" w:rsidR="00EB6564" w:rsidRDefault="00EB6564">
            <w:pPr>
              <w:pStyle w:val="06cTABLETEXT"/>
              <w:jc w:val="center"/>
            </w:pPr>
            <w:r>
              <w:t>7.9</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B69D7ED" w14:textId="77777777" w:rsidR="00EB6564" w:rsidRDefault="00EB6564">
            <w:pPr>
              <w:pStyle w:val="06cTABLETEXT"/>
              <w:jc w:val="center"/>
            </w:pPr>
            <w:r>
              <w:t>Met</w:t>
            </w:r>
          </w:p>
        </w:tc>
      </w:tr>
      <w:tr w:rsidR="00EB6564" w14:paraId="47B70C09" w14:textId="77777777" w:rsidTr="008B4D97">
        <w:trPr>
          <w:trHeight w:val="60"/>
        </w:trPr>
        <w:tc>
          <w:tcPr>
            <w:tcW w:w="7440"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5E2B8C6D" w14:textId="77777777" w:rsidR="00EB6564" w:rsidRDefault="00EB6564">
            <w:pPr>
              <w:pStyle w:val="06cTABLETEXT"/>
            </w:pPr>
            <w:r>
              <w:rPr>
                <w:rStyle w:val="BOLD"/>
              </w:rPr>
              <w:t>Goldfields</w:t>
            </w:r>
          </w:p>
        </w:tc>
      </w:tr>
      <w:tr w:rsidR="00EB6564" w14:paraId="6FD4276B" w14:textId="77777777" w:rsidTr="008B4D97">
        <w:trPr>
          <w:trHeight w:val="60"/>
        </w:trPr>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4559853" w14:textId="77777777" w:rsidR="00EB6564" w:rsidRDefault="00EB6564">
            <w:pPr>
              <w:pStyle w:val="06cTABLETEXT"/>
            </w:pPr>
            <w:r>
              <w:t>Kalgoorlie</w:t>
            </w:r>
            <w:r>
              <w:rPr>
                <w:vertAlign w:val="superscript"/>
              </w:rPr>
              <w:t>2</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2C186EF" w14:textId="77777777" w:rsidR="00EB6564" w:rsidRDefault="00EB6564">
            <w:pPr>
              <w:pStyle w:val="06cTABLETEXT"/>
              <w:jc w:val="center"/>
            </w:pPr>
            <w:r>
              <w:t>1</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562766A" w14:textId="77777777" w:rsidR="00EB6564" w:rsidRDefault="00EB6564">
            <w:pPr>
              <w:pStyle w:val="06cTABLETEXT"/>
              <w:jc w:val="center"/>
            </w:pPr>
            <w:r>
              <w:t>Not Met</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D657017" w14:textId="77777777" w:rsidR="00EB6564" w:rsidRDefault="00EB6564">
            <w:pPr>
              <w:pStyle w:val="06cTABLETEXT"/>
              <w:jc w:val="center"/>
            </w:pPr>
            <w:r>
              <w:t>5.1</w:t>
            </w:r>
          </w:p>
        </w:tc>
        <w:tc>
          <w:tcPr>
            <w:tcW w:w="148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789E2F2" w14:textId="77777777" w:rsidR="00EB6564" w:rsidRDefault="00EB6564">
            <w:pPr>
              <w:pStyle w:val="06cTABLETEXT"/>
              <w:jc w:val="center"/>
            </w:pPr>
            <w:r>
              <w:t>Met</w:t>
            </w:r>
          </w:p>
        </w:tc>
      </w:tr>
    </w:tbl>
    <w:p w14:paraId="46A6A43F" w14:textId="77777777" w:rsidR="00EB6564" w:rsidRDefault="00EB6564" w:rsidP="008B4D97">
      <w:pPr>
        <w:pStyle w:val="07FOOTNOTES"/>
        <w:spacing w:after="0"/>
      </w:pPr>
      <w:r>
        <w:t xml:space="preserve">1 </w:t>
      </w:r>
      <w:r>
        <w:tab/>
        <w:t xml:space="preserve">1400AB Tapered Element Oscillating Microbalance (TEOM) operating continuously (unadjusted for temperature) and includes the manufacturers recommended equivalency factor of 1.03x + 3.00. </w:t>
      </w:r>
    </w:p>
    <w:p w14:paraId="01F7CE2C" w14:textId="77777777" w:rsidR="00EB6564" w:rsidRDefault="00EB6564" w:rsidP="008B4D97">
      <w:pPr>
        <w:pStyle w:val="07FOOTNOTES"/>
        <w:spacing w:after="0"/>
      </w:pPr>
      <w:r>
        <w:t xml:space="preserve">2 </w:t>
      </w:r>
      <w:r>
        <w:tab/>
        <w:t>1405 TEOM operating continuously (unadjusted for temperature) and includes no equivalency factor.</w:t>
      </w:r>
    </w:p>
    <w:p w14:paraId="1AAD13D3" w14:textId="77777777" w:rsidR="00EB6564" w:rsidRDefault="00EB6564" w:rsidP="00EB6564">
      <w:pPr>
        <w:pStyle w:val="07FOOTNOTES"/>
      </w:pPr>
      <w:r>
        <w:t>ND = Not demonstrated.</w:t>
      </w:r>
    </w:p>
    <w:p w14:paraId="7CDE5513" w14:textId="77777777" w:rsidR="00EB6564" w:rsidRDefault="00EB6564" w:rsidP="00EB6564">
      <w:pPr>
        <w:pStyle w:val="03HEADING3"/>
      </w:pPr>
      <w:r>
        <w:t>Relationship between location descriptors and monitoring station location/names</w:t>
      </w:r>
    </w:p>
    <w:tbl>
      <w:tblPr>
        <w:tblW w:w="0" w:type="auto"/>
        <w:tblInd w:w="-5" w:type="dxa"/>
        <w:tblLayout w:type="fixed"/>
        <w:tblCellMar>
          <w:left w:w="0" w:type="dxa"/>
          <w:right w:w="0" w:type="dxa"/>
        </w:tblCellMar>
        <w:tblLook w:val="0000" w:firstRow="0" w:lastRow="0" w:firstColumn="0" w:lastColumn="0" w:noHBand="0" w:noVBand="0"/>
      </w:tblPr>
      <w:tblGrid>
        <w:gridCol w:w="1698"/>
        <w:gridCol w:w="1699"/>
        <w:gridCol w:w="623"/>
        <w:gridCol w:w="1698"/>
        <w:gridCol w:w="1699"/>
      </w:tblGrid>
      <w:tr w:rsidR="00EB6564" w14:paraId="1E82A14D" w14:textId="77777777" w:rsidTr="002A5286">
        <w:trPr>
          <w:tblHeader/>
        </w:trPr>
        <w:tc>
          <w:tcPr>
            <w:tcW w:w="169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872BF6C" w14:textId="77777777" w:rsidR="00EB6564" w:rsidRDefault="00EB6564">
            <w:pPr>
              <w:pStyle w:val="06bTABLEHEADERROW"/>
            </w:pPr>
            <w:r>
              <w:t>Location descriptor</w:t>
            </w:r>
          </w:p>
        </w:tc>
        <w:tc>
          <w:tcPr>
            <w:tcW w:w="169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5268672" w14:textId="77777777" w:rsidR="00EB6564" w:rsidRDefault="00EB6564">
            <w:pPr>
              <w:pStyle w:val="06bTABLEHEADERROW"/>
            </w:pPr>
            <w:r>
              <w:t>Station Location</w:t>
            </w:r>
          </w:p>
        </w:tc>
        <w:tc>
          <w:tcPr>
            <w:tcW w:w="623" w:type="dxa"/>
            <w:tcBorders>
              <w:top w:val="single" w:sz="4" w:space="0" w:color="FFFFFF"/>
              <w:left w:val="single" w:sz="4" w:space="0" w:color="FFFFFF"/>
              <w:bottom w:val="single" w:sz="8" w:space="0" w:color="FFFFFF"/>
              <w:right w:val="single" w:sz="4" w:space="0" w:color="FFFFFF"/>
            </w:tcBorders>
            <w:shd w:val="solid" w:color="FFFFFF" w:fill="auto"/>
            <w:tcMar>
              <w:top w:w="85" w:type="dxa"/>
              <w:left w:w="85" w:type="dxa"/>
              <w:bottom w:w="85" w:type="dxa"/>
              <w:right w:w="85" w:type="dxa"/>
            </w:tcMar>
            <w:vAlign w:val="bottom"/>
          </w:tcPr>
          <w:p w14:paraId="1200B921" w14:textId="77777777" w:rsidR="00EB6564" w:rsidRDefault="00EB6564">
            <w:pPr>
              <w:pStyle w:val="NoParagraphStyle"/>
              <w:spacing w:line="240" w:lineRule="auto"/>
              <w:textAlignment w:val="auto"/>
              <w:rPr>
                <w:rFonts w:ascii="Calibri" w:hAnsi="Calibri" w:cs="Calibri"/>
                <w:color w:val="auto"/>
              </w:rPr>
            </w:pPr>
          </w:p>
        </w:tc>
        <w:tc>
          <w:tcPr>
            <w:tcW w:w="169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0CAE82D" w14:textId="77777777" w:rsidR="00EB6564" w:rsidRDefault="00EB6564">
            <w:pPr>
              <w:pStyle w:val="06bTABLEHEADERROW"/>
            </w:pPr>
            <w:r>
              <w:t>Location descriptor</w:t>
            </w:r>
          </w:p>
        </w:tc>
        <w:tc>
          <w:tcPr>
            <w:tcW w:w="169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339E13C" w14:textId="77777777" w:rsidR="00EB6564" w:rsidRDefault="00EB6564">
            <w:pPr>
              <w:pStyle w:val="06bTABLEHEADERROW"/>
            </w:pPr>
            <w:r>
              <w:t>Station Location</w:t>
            </w:r>
          </w:p>
        </w:tc>
      </w:tr>
      <w:tr w:rsidR="00EB6564" w14:paraId="1CB9D645" w14:textId="77777777">
        <w:trPr>
          <w:trHeight w:val="60"/>
        </w:trPr>
        <w:tc>
          <w:tcPr>
            <w:tcW w:w="169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72CD09" w14:textId="77777777" w:rsidR="00EB6564" w:rsidRDefault="00EB6564">
            <w:pPr>
              <w:pStyle w:val="06cTABLETEXT"/>
            </w:pPr>
            <w:r>
              <w:t>North East Metro</w:t>
            </w:r>
          </w:p>
        </w:tc>
        <w:tc>
          <w:tcPr>
            <w:tcW w:w="1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3307F61" w14:textId="77777777" w:rsidR="00EB6564" w:rsidRDefault="00EB6564">
            <w:pPr>
              <w:pStyle w:val="06cTABLETEXT"/>
            </w:pPr>
            <w:r>
              <w:t>Caversham</w:t>
            </w:r>
          </w:p>
        </w:tc>
        <w:tc>
          <w:tcPr>
            <w:tcW w:w="623" w:type="dxa"/>
            <w:tcBorders>
              <w:top w:val="single" w:sz="4" w:space="0" w:color="FFFFFF"/>
              <w:left w:val="single" w:sz="4" w:space="0" w:color="FFFFFF"/>
              <w:bottom w:val="single" w:sz="4" w:space="0" w:color="FFFFFF"/>
              <w:right w:val="single" w:sz="4" w:space="0" w:color="FFFFFF"/>
            </w:tcBorders>
            <w:shd w:val="solid" w:color="FFFFFF" w:fill="auto"/>
            <w:tcMar>
              <w:top w:w="85" w:type="dxa"/>
              <w:left w:w="85" w:type="dxa"/>
              <w:bottom w:w="85" w:type="dxa"/>
              <w:right w:w="85" w:type="dxa"/>
            </w:tcMar>
            <w:vAlign w:val="center"/>
          </w:tcPr>
          <w:p w14:paraId="46936D0D" w14:textId="77777777" w:rsidR="00EB6564" w:rsidRDefault="00EB6564">
            <w:pPr>
              <w:pStyle w:val="NoParagraphStyle"/>
              <w:spacing w:line="240" w:lineRule="auto"/>
              <w:textAlignment w:val="auto"/>
              <w:rPr>
                <w:rFonts w:ascii="Calibri" w:hAnsi="Calibri" w:cs="Calibri"/>
                <w:color w:val="auto"/>
              </w:rPr>
            </w:pPr>
          </w:p>
        </w:tc>
        <w:tc>
          <w:tcPr>
            <w:tcW w:w="169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CB6A22" w14:textId="77777777" w:rsidR="00EB6564" w:rsidRDefault="00EB6564">
            <w:pPr>
              <w:pStyle w:val="06cTABLETEXT"/>
            </w:pPr>
            <w:r>
              <w:t>South Coast</w:t>
            </w:r>
          </w:p>
        </w:tc>
        <w:tc>
          <w:tcPr>
            <w:tcW w:w="1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B36F19" w14:textId="77777777" w:rsidR="00EB6564" w:rsidRDefault="00EB6564">
            <w:pPr>
              <w:pStyle w:val="06cTABLETEXT"/>
            </w:pPr>
            <w:r>
              <w:t>Rockingham</w:t>
            </w:r>
          </w:p>
        </w:tc>
      </w:tr>
      <w:tr w:rsidR="00EB6564" w14:paraId="38DFA579" w14:textId="77777777">
        <w:trPr>
          <w:trHeight w:val="60"/>
        </w:trPr>
        <w:tc>
          <w:tcPr>
            <w:tcW w:w="169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5DD3C9" w14:textId="77777777" w:rsidR="00EB6564" w:rsidRDefault="00EB6564">
            <w:pPr>
              <w:pStyle w:val="06cTABLETEXT"/>
            </w:pPr>
            <w:r>
              <w:t>North Metro</w:t>
            </w:r>
          </w:p>
        </w:tc>
        <w:tc>
          <w:tcPr>
            <w:tcW w:w="1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A927AC5" w14:textId="77777777" w:rsidR="00EB6564" w:rsidRDefault="00EB6564">
            <w:pPr>
              <w:pStyle w:val="06cTABLETEXT"/>
            </w:pPr>
            <w:r>
              <w:t>Duncraig</w:t>
            </w:r>
          </w:p>
        </w:tc>
        <w:tc>
          <w:tcPr>
            <w:tcW w:w="623" w:type="dxa"/>
            <w:tcBorders>
              <w:top w:val="single" w:sz="4" w:space="0" w:color="FFFFFF"/>
              <w:left w:val="single" w:sz="4" w:space="0" w:color="FFFFFF"/>
              <w:bottom w:val="single" w:sz="4" w:space="0" w:color="FFFFFF"/>
              <w:right w:val="single" w:sz="4" w:space="0" w:color="FFFFFF"/>
            </w:tcBorders>
            <w:shd w:val="solid" w:color="FFFFFF" w:fill="auto"/>
            <w:tcMar>
              <w:top w:w="85" w:type="dxa"/>
              <w:left w:w="85" w:type="dxa"/>
              <w:bottom w:w="85" w:type="dxa"/>
              <w:right w:w="85" w:type="dxa"/>
            </w:tcMar>
            <w:vAlign w:val="center"/>
          </w:tcPr>
          <w:p w14:paraId="707CAC9B" w14:textId="77777777" w:rsidR="00EB6564" w:rsidRDefault="00EB6564">
            <w:pPr>
              <w:pStyle w:val="NoParagraphStyle"/>
              <w:spacing w:line="240" w:lineRule="auto"/>
              <w:textAlignment w:val="auto"/>
              <w:rPr>
                <w:rFonts w:ascii="Calibri" w:hAnsi="Calibri" w:cs="Calibri"/>
                <w:color w:val="auto"/>
              </w:rPr>
            </w:pPr>
          </w:p>
        </w:tc>
        <w:tc>
          <w:tcPr>
            <w:tcW w:w="169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F6BCBA" w14:textId="77777777" w:rsidR="00EB6564" w:rsidRDefault="00EB6564">
            <w:pPr>
              <w:pStyle w:val="06cTABLETEXT"/>
            </w:pPr>
            <w:r>
              <w:t>Inner West Coast</w:t>
            </w:r>
          </w:p>
        </w:tc>
        <w:tc>
          <w:tcPr>
            <w:tcW w:w="1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B326AE" w14:textId="77777777" w:rsidR="00EB6564" w:rsidRDefault="00EB6564">
            <w:pPr>
              <w:pStyle w:val="06cTABLETEXT"/>
            </w:pPr>
            <w:r>
              <w:t>Swanbourne</w:t>
            </w:r>
          </w:p>
        </w:tc>
      </w:tr>
      <w:tr w:rsidR="00EB6564" w14:paraId="05A26A21" w14:textId="77777777">
        <w:trPr>
          <w:trHeight w:val="60"/>
        </w:trPr>
        <w:tc>
          <w:tcPr>
            <w:tcW w:w="169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6DBD8A3" w14:textId="77777777" w:rsidR="00EB6564" w:rsidRDefault="00EB6564">
            <w:pPr>
              <w:pStyle w:val="06cTABLETEXT"/>
            </w:pPr>
            <w:r>
              <w:t>South East Metro</w:t>
            </w:r>
          </w:p>
        </w:tc>
        <w:tc>
          <w:tcPr>
            <w:tcW w:w="1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12E291" w14:textId="77777777" w:rsidR="00EB6564" w:rsidRDefault="00EB6564">
            <w:pPr>
              <w:pStyle w:val="06cTABLETEXT"/>
            </w:pPr>
            <w:r>
              <w:t>South Lake</w:t>
            </w:r>
          </w:p>
        </w:tc>
        <w:tc>
          <w:tcPr>
            <w:tcW w:w="623" w:type="dxa"/>
            <w:tcBorders>
              <w:top w:val="single" w:sz="4" w:space="0" w:color="FFFFFF"/>
              <w:left w:val="single" w:sz="4" w:space="0" w:color="FFFFFF"/>
              <w:bottom w:val="single" w:sz="4" w:space="0" w:color="FFFFFF"/>
              <w:right w:val="single" w:sz="4" w:space="0" w:color="FFFFFF"/>
            </w:tcBorders>
            <w:shd w:val="solid" w:color="FFFFFF" w:fill="auto"/>
            <w:tcMar>
              <w:top w:w="85" w:type="dxa"/>
              <w:left w:w="85" w:type="dxa"/>
              <w:bottom w:w="85" w:type="dxa"/>
              <w:right w:w="85" w:type="dxa"/>
            </w:tcMar>
            <w:vAlign w:val="center"/>
          </w:tcPr>
          <w:p w14:paraId="4E8AD088" w14:textId="77777777" w:rsidR="00EB6564" w:rsidRDefault="00EB6564">
            <w:pPr>
              <w:pStyle w:val="NoParagraphStyle"/>
              <w:spacing w:line="240" w:lineRule="auto"/>
              <w:textAlignment w:val="auto"/>
              <w:rPr>
                <w:rFonts w:ascii="Calibri" w:hAnsi="Calibri" w:cs="Calibri"/>
                <w:color w:val="auto"/>
              </w:rPr>
            </w:pPr>
          </w:p>
        </w:tc>
        <w:tc>
          <w:tcPr>
            <w:tcW w:w="169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6ED4FD" w14:textId="77777777" w:rsidR="00EB6564" w:rsidRDefault="00EB6564">
            <w:pPr>
              <w:pStyle w:val="06cTABLETEXT"/>
            </w:pPr>
            <w:r>
              <w:t>South Metro</w:t>
            </w:r>
          </w:p>
        </w:tc>
        <w:tc>
          <w:tcPr>
            <w:tcW w:w="1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EDB0BF" w14:textId="77777777" w:rsidR="00EB6564" w:rsidRDefault="00EB6564">
            <w:pPr>
              <w:pStyle w:val="06cTABLETEXT"/>
            </w:pPr>
            <w:r>
              <w:t>Wattleup</w:t>
            </w:r>
          </w:p>
        </w:tc>
      </w:tr>
      <w:tr w:rsidR="00EB6564" w14:paraId="564C50A2" w14:textId="77777777">
        <w:trPr>
          <w:trHeight w:val="60"/>
        </w:trPr>
        <w:tc>
          <w:tcPr>
            <w:tcW w:w="169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CE2631" w14:textId="77777777" w:rsidR="00EB6564" w:rsidRDefault="00EB6564">
            <w:pPr>
              <w:pStyle w:val="06cTABLETEXT"/>
            </w:pPr>
            <w:r>
              <w:t>Outer East Rural</w:t>
            </w:r>
          </w:p>
        </w:tc>
        <w:tc>
          <w:tcPr>
            <w:tcW w:w="16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9BF419" w14:textId="77777777" w:rsidR="00EB6564" w:rsidRDefault="00EB6564">
            <w:pPr>
              <w:pStyle w:val="06cTABLETEXT"/>
            </w:pPr>
            <w:r>
              <w:t>Rolling Green</w:t>
            </w:r>
          </w:p>
        </w:tc>
        <w:tc>
          <w:tcPr>
            <w:tcW w:w="623" w:type="dxa"/>
            <w:tcBorders>
              <w:top w:val="single" w:sz="4" w:space="0" w:color="FFFFFF"/>
              <w:left w:val="single" w:sz="4" w:space="0" w:color="FFFFFF"/>
              <w:bottom w:val="single" w:sz="4" w:space="0" w:color="FFFFFF"/>
              <w:right w:val="single" w:sz="4" w:space="0" w:color="FFFFFF"/>
            </w:tcBorders>
            <w:shd w:val="solid" w:color="FFFFFF" w:fill="auto"/>
            <w:tcMar>
              <w:top w:w="85" w:type="dxa"/>
              <w:left w:w="85" w:type="dxa"/>
              <w:bottom w:w="85" w:type="dxa"/>
              <w:right w:w="85" w:type="dxa"/>
            </w:tcMar>
            <w:vAlign w:val="center"/>
          </w:tcPr>
          <w:p w14:paraId="6EF05C2A" w14:textId="77777777" w:rsidR="00EB6564" w:rsidRDefault="00EB6564">
            <w:pPr>
              <w:pStyle w:val="NoParagraphStyle"/>
              <w:spacing w:line="240" w:lineRule="auto"/>
              <w:textAlignment w:val="auto"/>
              <w:rPr>
                <w:rFonts w:ascii="Calibri" w:hAnsi="Calibri" w:cs="Calibri"/>
                <w:color w:val="auto"/>
              </w:rPr>
            </w:pPr>
          </w:p>
        </w:tc>
        <w:tc>
          <w:tcPr>
            <w:tcW w:w="1698" w:type="dxa"/>
            <w:tcBorders>
              <w:top w:val="single" w:sz="4" w:space="0" w:color="FFFFFF"/>
              <w:left w:val="single" w:sz="4" w:space="0" w:color="FFFFFF"/>
              <w:bottom w:val="single" w:sz="4" w:space="0" w:color="FFFFFF"/>
              <w:right w:val="single" w:sz="4" w:space="0" w:color="FFFFFF"/>
            </w:tcBorders>
            <w:shd w:val="solid" w:color="FFFFFF" w:fill="auto"/>
            <w:tcMar>
              <w:top w:w="85" w:type="dxa"/>
              <w:left w:w="85" w:type="dxa"/>
              <w:bottom w:w="85" w:type="dxa"/>
              <w:right w:w="85" w:type="dxa"/>
            </w:tcMar>
            <w:vAlign w:val="center"/>
          </w:tcPr>
          <w:p w14:paraId="160CA57B" w14:textId="77777777" w:rsidR="00EB6564" w:rsidRDefault="00EB6564">
            <w:pPr>
              <w:pStyle w:val="NoParagraphStyle"/>
              <w:spacing w:line="240" w:lineRule="auto"/>
              <w:textAlignment w:val="auto"/>
              <w:rPr>
                <w:rFonts w:ascii="Calibri" w:hAnsi="Calibri" w:cs="Calibri"/>
                <w:color w:val="auto"/>
              </w:rPr>
            </w:pPr>
          </w:p>
        </w:tc>
        <w:tc>
          <w:tcPr>
            <w:tcW w:w="1699" w:type="dxa"/>
            <w:tcBorders>
              <w:top w:val="single" w:sz="4" w:space="0" w:color="FFFFFF"/>
              <w:left w:val="single" w:sz="4" w:space="0" w:color="FFFFFF"/>
              <w:bottom w:val="single" w:sz="4" w:space="0" w:color="FFFFFF"/>
              <w:right w:val="single" w:sz="4" w:space="0" w:color="FFFFFF"/>
            </w:tcBorders>
            <w:shd w:val="solid" w:color="FFFFFF" w:fill="auto"/>
            <w:tcMar>
              <w:top w:w="85" w:type="dxa"/>
              <w:left w:w="85" w:type="dxa"/>
              <w:bottom w:w="85" w:type="dxa"/>
              <w:right w:w="85" w:type="dxa"/>
            </w:tcMar>
            <w:vAlign w:val="center"/>
          </w:tcPr>
          <w:p w14:paraId="7E351AA6" w14:textId="77777777" w:rsidR="00EB6564" w:rsidRDefault="00EB6564">
            <w:pPr>
              <w:pStyle w:val="NoParagraphStyle"/>
              <w:spacing w:line="240" w:lineRule="auto"/>
              <w:textAlignment w:val="auto"/>
              <w:rPr>
                <w:rFonts w:ascii="Calibri" w:hAnsi="Calibri" w:cs="Calibri"/>
                <w:color w:val="auto"/>
              </w:rPr>
            </w:pPr>
          </w:p>
        </w:tc>
      </w:tr>
    </w:tbl>
    <w:p w14:paraId="495F66DA" w14:textId="77777777" w:rsidR="00EB6564" w:rsidRPr="009408AB" w:rsidRDefault="00EB6564" w:rsidP="00CB0DA6">
      <w:pPr>
        <w:pStyle w:val="Heading2"/>
      </w:pPr>
      <w:bookmarkStart w:id="30" w:name="_Toc58254384"/>
      <w:r w:rsidRPr="009408AB">
        <w:t>South Australia</w:t>
      </w:r>
      <w:bookmarkEnd w:id="30"/>
    </w:p>
    <w:p w14:paraId="6BF99102" w14:textId="77777777" w:rsidR="00EB6564" w:rsidRDefault="00EB6564" w:rsidP="00276A45">
      <w:pPr>
        <w:pStyle w:val="05BODYTEXT"/>
        <w:keepNext/>
        <w:spacing w:line="240" w:lineRule="auto"/>
        <w:rPr>
          <w:rStyle w:val="ITALIC"/>
        </w:rPr>
      </w:pPr>
      <w:r>
        <w:rPr>
          <w:rStyle w:val="ITALIC"/>
        </w:rPr>
        <w:t>Report to the NEPC on the implementation of the National Environment Protection (Ambient Air Quality) Measure for South Australia by the Hon. David Speirs, Minister for Environment and Water, for the reporting year ended 30 June 2019.</w:t>
      </w:r>
    </w:p>
    <w:p w14:paraId="603CF56E" w14:textId="77777777" w:rsidR="00EB6564" w:rsidRDefault="00EB6564" w:rsidP="00276A45">
      <w:pPr>
        <w:pStyle w:val="02HEADING2"/>
        <w:spacing w:line="240" w:lineRule="auto"/>
      </w:pPr>
      <w:r>
        <w:t>Part 1—Implementation of the NEPM and any significant issues</w:t>
      </w:r>
    </w:p>
    <w:p w14:paraId="1DA078F8" w14:textId="77777777" w:rsidR="00EB6564" w:rsidRDefault="00EB6564" w:rsidP="00276A45">
      <w:pPr>
        <w:pStyle w:val="05bDOTPOINTS"/>
        <w:keepNext/>
        <w:spacing w:line="240" w:lineRule="auto"/>
      </w:pPr>
      <w:r>
        <w:t>•</w:t>
      </w:r>
      <w:r>
        <w:tab/>
        <w:t>In South Australia the Environment Protection Authority (SA EPA) is responsible for implementing the National Environment Protection (Ambient Air Quality) Measure (AAQ NEPM), taking into account the Ambient Air Quality Monitoring Plan for South Australia, developed under the AAQ NEPM, and Peer Review Committee Technical Papers.</w:t>
      </w:r>
    </w:p>
    <w:p w14:paraId="304D8D2C" w14:textId="77777777" w:rsidR="00EB6564" w:rsidRDefault="00EB6564" w:rsidP="00EB6564">
      <w:pPr>
        <w:pStyle w:val="05bDOTPOINTS"/>
      </w:pPr>
      <w:r>
        <w:t>•</w:t>
      </w:r>
      <w:r>
        <w:tab/>
        <w:t xml:space="preserve">South Australia has made access to air quality monitoring data available on a variety of publicly available </w:t>
      </w:r>
      <w:proofErr w:type="gramStart"/>
      <w:r>
        <w:t>platforms, and</w:t>
      </w:r>
      <w:proofErr w:type="gramEnd"/>
      <w:r>
        <w:t xml:space="preserve"> will continue to work on improving data visualisation. </w:t>
      </w:r>
    </w:p>
    <w:p w14:paraId="2A2DAAFA" w14:textId="77777777" w:rsidR="00EB6564" w:rsidRDefault="00EB6564" w:rsidP="00EB6564">
      <w:pPr>
        <w:pStyle w:val="05bDOTPOINTS"/>
      </w:pPr>
      <w:r>
        <w:t>•</w:t>
      </w:r>
      <w:r>
        <w:tab/>
        <w:t xml:space="preserve">Apart from conventional NEPM monitoring, the SA EPA has also commenced targeted/community-based air quality monitoring to evaluate local air quality concerns. For example, the EPA’s mobile monitoring station at Port Augusta has been operational since March 2017 to evaluate local </w:t>
      </w:r>
      <w:r>
        <w:lastRenderedPageBreak/>
        <w:t>dust concerns. This station is equipped to continuously monitor total suspended particulates (TSP), particles (PM</w:t>
      </w:r>
      <w:r>
        <w:rPr>
          <w:vertAlign w:val="subscript"/>
        </w:rPr>
        <w:t>10</w:t>
      </w:r>
      <w:r>
        <w:t xml:space="preserve"> and PM</w:t>
      </w:r>
      <w:r>
        <w:rPr>
          <w:vertAlign w:val="subscript"/>
        </w:rPr>
        <w:t>2.5</w:t>
      </w:r>
      <w:r>
        <w:t>) and meteorological conditions.</w:t>
      </w:r>
    </w:p>
    <w:p w14:paraId="3504F211" w14:textId="77777777" w:rsidR="00EB6564" w:rsidRDefault="00EB6564" w:rsidP="00EB6564">
      <w:pPr>
        <w:pStyle w:val="05bDOTPOINTS"/>
      </w:pPr>
      <w:r>
        <w:t>•</w:t>
      </w:r>
      <w:r>
        <w:tab/>
        <w:t>Compliance with the standards and goals could not be demonstrated for some pollutants at some sites, due to data availability rates less than the 75% criteria for one or more quarters. This was due to a number of factors including technical issues with instrumentation and equipment breakdowns. The SA EPA is reviewing the capability and suitability of its equipment with an aim to increase the data capture rate.</w:t>
      </w:r>
    </w:p>
    <w:p w14:paraId="19C74753" w14:textId="77777777" w:rsidR="00EB6564" w:rsidRDefault="00EB6564" w:rsidP="00EB6564">
      <w:pPr>
        <w:pStyle w:val="05bDOTPOINTS2ndlevel"/>
      </w:pPr>
      <w:r>
        <w:t>–</w:t>
      </w:r>
      <w:r>
        <w:tab/>
        <w:t xml:space="preserve">Nitrogen dioxide—the data capture target of 75% was not achieved at Elizabeth Downs, Kensington Gardens or Netley. High data capture rates were achieved at the other three stations. </w:t>
      </w:r>
    </w:p>
    <w:p w14:paraId="0D080A21" w14:textId="77777777" w:rsidR="00EB6564" w:rsidRDefault="00EB6564" w:rsidP="00EB6564">
      <w:pPr>
        <w:pStyle w:val="05bDOTPOINTS2ndlevel"/>
      </w:pPr>
      <w:r>
        <w:t>–</w:t>
      </w:r>
      <w:r>
        <w:tab/>
        <w:t>Ozone—data capture rates were generally high, with the target of 75% data availability each quarter being met at all sites except Elizabeth Downs.</w:t>
      </w:r>
    </w:p>
    <w:p w14:paraId="087958B4" w14:textId="77777777" w:rsidR="00EB6564" w:rsidRDefault="00EB6564" w:rsidP="00EB6564">
      <w:pPr>
        <w:pStyle w:val="05bDOTPOINTS2ndlevel"/>
      </w:pPr>
      <w:r>
        <w:t>–</w:t>
      </w:r>
      <w:r>
        <w:tab/>
      </w:r>
      <w:proofErr w:type="spellStart"/>
      <w:r>
        <w:t>Sulfur</w:t>
      </w:r>
      <w:proofErr w:type="spellEnd"/>
      <w:r>
        <w:t xml:space="preserve"> dioxide—high data capture rates were achieved at </w:t>
      </w:r>
      <w:proofErr w:type="gramStart"/>
      <w:r>
        <w:t>Northfield,</w:t>
      </w:r>
      <w:proofErr w:type="gramEnd"/>
      <w:r>
        <w:t xml:space="preserve"> however, insufficient data was obtained at North Haven and Port Pirie Oliver Street to meet the target.</w:t>
      </w:r>
    </w:p>
    <w:p w14:paraId="324C9429" w14:textId="77777777" w:rsidR="00EB6564" w:rsidRDefault="00EB6564" w:rsidP="00EB6564">
      <w:pPr>
        <w:pStyle w:val="05bDOTPOINTS2ndlevel"/>
      </w:pPr>
      <w:r>
        <w:t>–</w:t>
      </w:r>
      <w:r>
        <w:tab/>
        <w:t>Lead—high data capture rates were achieved at both sites in Port Pirie.</w:t>
      </w:r>
    </w:p>
    <w:p w14:paraId="3EDCA729" w14:textId="77777777" w:rsidR="00EB6564" w:rsidRDefault="00EB6564" w:rsidP="00EB6564">
      <w:pPr>
        <w:pStyle w:val="05bDOTPOINTS2ndlevel"/>
      </w:pPr>
      <w:r>
        <w:t>–</w:t>
      </w:r>
      <w:r>
        <w:tab/>
        <w:t>Particles (PM</w:t>
      </w:r>
      <w:r>
        <w:rPr>
          <w:vertAlign w:val="subscript"/>
        </w:rPr>
        <w:t>10</w:t>
      </w:r>
      <w:r>
        <w:t>)—data capture rates above 75% were achieved at most sites in the Adelaide metropolitan area, with the exception of Elizabeth Downs and North Haven. Both sites in the Spencer region (Port Pirie Oliver Street and Whyalla Schulz Reserve) had more than 75% data capture in all quarters.</w:t>
      </w:r>
    </w:p>
    <w:p w14:paraId="3205A790" w14:textId="77777777" w:rsidR="00EB6564" w:rsidRDefault="00EB6564" w:rsidP="00EB6564">
      <w:pPr>
        <w:pStyle w:val="05bDOTPOINTS2ndlevel"/>
      </w:pPr>
      <w:r>
        <w:t>–</w:t>
      </w:r>
      <w:r>
        <w:tab/>
        <w:t>Particles (PM</w:t>
      </w:r>
      <w:r>
        <w:rPr>
          <w:vertAlign w:val="subscript"/>
        </w:rPr>
        <w:t>2.5</w:t>
      </w:r>
      <w:r>
        <w:t>)—data availability at Elizabeth Downs was less than the target of 75%. Sufficient data was obtained at Netley and North Haven to meet the 75% target.</w:t>
      </w:r>
    </w:p>
    <w:p w14:paraId="1DFA06B9" w14:textId="77777777" w:rsidR="00EB6564" w:rsidRDefault="00EB6564" w:rsidP="00EB6564">
      <w:pPr>
        <w:pStyle w:val="05bDOTPOINTS"/>
      </w:pPr>
      <w:r>
        <w:t>•</w:t>
      </w:r>
      <w:r>
        <w:tab/>
        <w:t>There were no other significant implementation issues.</w:t>
      </w:r>
    </w:p>
    <w:p w14:paraId="1BE09EA8" w14:textId="77777777" w:rsidR="00EB6564" w:rsidRDefault="00EB6564" w:rsidP="008B4D97">
      <w:pPr>
        <w:pStyle w:val="02HEADING2"/>
      </w:pPr>
      <w:r>
        <w:t>Part 2—Assessment of NEPM effectiveness</w:t>
      </w:r>
    </w:p>
    <w:p w14:paraId="13335665" w14:textId="77777777" w:rsidR="00EB6564" w:rsidRDefault="00EB6564" w:rsidP="008B4D97">
      <w:pPr>
        <w:pStyle w:val="05BODYTEXT"/>
        <w:keepNext/>
      </w:pPr>
      <w:r>
        <w:t xml:space="preserve">Data for South Australia shows that air quality was generally good in 2018. </w:t>
      </w:r>
    </w:p>
    <w:p w14:paraId="33861F7B" w14:textId="77777777" w:rsidR="00EB6564" w:rsidRDefault="00EB6564" w:rsidP="008B4D97">
      <w:pPr>
        <w:pStyle w:val="05BODYTEXT"/>
        <w:keepNext/>
      </w:pPr>
      <w:r>
        <w:t>In the Adelaide metropolitan region:</w:t>
      </w:r>
    </w:p>
    <w:p w14:paraId="3B7293C4" w14:textId="77777777" w:rsidR="00EB6564" w:rsidRDefault="00EB6564" w:rsidP="008B4D97">
      <w:pPr>
        <w:pStyle w:val="05bDOTPOINTS"/>
        <w:keepNext/>
      </w:pPr>
      <w:r>
        <w:t>•</w:t>
      </w:r>
      <w:r>
        <w:tab/>
        <w:t xml:space="preserve">Monitoring of carbon monoxide at Elizabeth Downs ceased in 2017 due to consistently low concentrations being measured. </w:t>
      </w:r>
    </w:p>
    <w:p w14:paraId="359B9720" w14:textId="77777777" w:rsidR="00EB6564" w:rsidRDefault="00EB6564" w:rsidP="008B4D97">
      <w:pPr>
        <w:pStyle w:val="05bDOTPOINTS"/>
        <w:keepNext/>
      </w:pPr>
      <w:r>
        <w:t>•</w:t>
      </w:r>
      <w:r>
        <w:tab/>
        <w:t>There were multiple exceedances of the 1-day PM</w:t>
      </w:r>
      <w:r>
        <w:rPr>
          <w:vertAlign w:val="subscript"/>
        </w:rPr>
        <w:t>10</w:t>
      </w:r>
      <w:r>
        <w:t xml:space="preserve"> standard which were likely due to dust storms and prescribed burns. </w:t>
      </w:r>
    </w:p>
    <w:p w14:paraId="2D01870F" w14:textId="77777777" w:rsidR="00EB6564" w:rsidRDefault="00EB6564" w:rsidP="008B4D97">
      <w:pPr>
        <w:pStyle w:val="05bDOTPOINTS"/>
        <w:keepNext/>
      </w:pPr>
      <w:r>
        <w:t>•</w:t>
      </w:r>
      <w:r>
        <w:tab/>
        <w:t>The 1-year PM</w:t>
      </w:r>
      <w:r>
        <w:rPr>
          <w:vertAlign w:val="subscript"/>
        </w:rPr>
        <w:t>10</w:t>
      </w:r>
      <w:r>
        <w:t xml:space="preserve"> standard was marginally exceeded at Netley, possibly due to 2018 being a dry year. </w:t>
      </w:r>
    </w:p>
    <w:p w14:paraId="2EA71B86" w14:textId="77777777" w:rsidR="00EB6564" w:rsidRDefault="00EB6564" w:rsidP="008B4D97">
      <w:pPr>
        <w:pStyle w:val="05bDOTPOINTS"/>
        <w:keepNext/>
      </w:pPr>
      <w:r>
        <w:t>•</w:t>
      </w:r>
      <w:r>
        <w:tab/>
        <w:t>In 2018, the EPA completed the replacement of tapered element oscillating microbalances (TEOMs) with Beta Attenuation Monitors (BAMs) for monitoring PM</w:t>
      </w:r>
      <w:r>
        <w:rPr>
          <w:vertAlign w:val="subscript"/>
        </w:rPr>
        <w:t>10</w:t>
      </w:r>
      <w:r>
        <w:t>. The SA EPA is continuing to evaluate this change in technology.</w:t>
      </w:r>
    </w:p>
    <w:p w14:paraId="5BD7ABAF" w14:textId="77777777" w:rsidR="00EB6564" w:rsidRDefault="00EB6564" w:rsidP="00EB6564">
      <w:pPr>
        <w:pStyle w:val="05BODYTEXT"/>
      </w:pPr>
      <w:r>
        <w:t>In the Spencer region:</w:t>
      </w:r>
    </w:p>
    <w:p w14:paraId="7BE247C4" w14:textId="77777777" w:rsidR="00EB6564" w:rsidRDefault="00EB6564" w:rsidP="00EB6564">
      <w:pPr>
        <w:pStyle w:val="05bDOTPOINTS"/>
      </w:pPr>
      <w:r>
        <w:t>•</w:t>
      </w:r>
      <w:r>
        <w:tab/>
        <w:t>Exceedances of the 1-day PM</w:t>
      </w:r>
      <w:r>
        <w:rPr>
          <w:vertAlign w:val="subscript"/>
        </w:rPr>
        <w:t>10</w:t>
      </w:r>
      <w:r>
        <w:t xml:space="preserve"> standard occurred at both Port Pirie and Whyalla, due to local sources and dust storms. </w:t>
      </w:r>
    </w:p>
    <w:p w14:paraId="32E81953" w14:textId="77777777" w:rsidR="00EB6564" w:rsidRDefault="00EB6564" w:rsidP="00EB6564">
      <w:pPr>
        <w:pStyle w:val="05bDOTPOINTS"/>
      </w:pPr>
      <w:r>
        <w:t>•</w:t>
      </w:r>
      <w:r>
        <w:tab/>
        <w:t>At Port Pirie there were multiple exceedances of the 1-hour SO</w:t>
      </w:r>
      <w:r>
        <w:rPr>
          <w:vertAlign w:val="subscript"/>
        </w:rPr>
        <w:t>2</w:t>
      </w:r>
      <w:r>
        <w:t xml:space="preserve"> standard, and a single exceedance of the 1-day SO</w:t>
      </w:r>
      <w:r>
        <w:rPr>
          <w:vertAlign w:val="subscript"/>
        </w:rPr>
        <w:t>2</w:t>
      </w:r>
      <w:r>
        <w:t xml:space="preserve"> standard that were the result of industrial emissions. </w:t>
      </w:r>
    </w:p>
    <w:p w14:paraId="0D204705" w14:textId="77777777" w:rsidR="00EB6564" w:rsidRDefault="00EB6564" w:rsidP="00EB6564">
      <w:pPr>
        <w:pStyle w:val="05bDOTPOINTS"/>
      </w:pPr>
      <w:r>
        <w:t>•</w:t>
      </w:r>
      <w:r>
        <w:tab/>
        <w:t>Annual average lead concentrations exceeded the standard at Port Pirie Oliver Street.</w:t>
      </w:r>
    </w:p>
    <w:p w14:paraId="2A513155" w14:textId="77777777" w:rsidR="00EB6564" w:rsidRDefault="00EB6564" w:rsidP="00EB6564">
      <w:pPr>
        <w:pStyle w:val="05bDOTPOINTS"/>
      </w:pPr>
      <w:r>
        <w:t>•</w:t>
      </w:r>
      <w:r>
        <w:tab/>
        <w:t>The SA EPA is working to ensure required ongoing environmental improvements associated with the Nyrstar Port Pirie’s transformation are effectively implemented, and the new smelter and acid plant is expected to significantly reduce SO</w:t>
      </w:r>
      <w:r>
        <w:rPr>
          <w:vertAlign w:val="subscript"/>
        </w:rPr>
        <w:t>2</w:t>
      </w:r>
      <w:r>
        <w:t xml:space="preserve"> emissions. </w:t>
      </w:r>
    </w:p>
    <w:p w14:paraId="07DE4B4C" w14:textId="77777777" w:rsidR="00EB6564" w:rsidRDefault="00EB6564" w:rsidP="00EB6564">
      <w:pPr>
        <w:pStyle w:val="05BODYTEXT"/>
      </w:pPr>
      <w:r>
        <w:t>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the standard for a pollutant is exceeded on no more than a specified number of days in a calendar year (one day per year for all pollutants except PM</w:t>
      </w:r>
      <w:r>
        <w:rPr>
          <w:vertAlign w:val="subscript"/>
        </w:rPr>
        <w:t>10</w:t>
      </w:r>
      <w:r>
        <w:t xml:space="preserve"> and PM</w:t>
      </w:r>
      <w:r>
        <w:rPr>
          <w:vertAlign w:val="subscript"/>
        </w:rPr>
        <w:t>2.5</w:t>
      </w:r>
      <w:r>
        <w:t xml:space="preserve"> which does not allow for any exceedances except where they can be attributed to exceptional events) and at least 75% of data are captured in each quarter. </w:t>
      </w:r>
    </w:p>
    <w:p w14:paraId="75FB45AC" w14:textId="21D169D7" w:rsidR="00EB6564" w:rsidRDefault="00EB6564" w:rsidP="00EB6564">
      <w:pPr>
        <w:pStyle w:val="05BODYTEXT"/>
      </w:pPr>
      <w:r>
        <w:t xml:space="preserve">The data presented in greater detail are available from quarterly air quality monitoring reports published on the SA EPA website here: </w:t>
      </w:r>
      <w:hyperlink r:id="rId47" w:history="1">
        <w:r w:rsidRPr="00276A45">
          <w:rPr>
            <w:rStyle w:val="Hyperlink"/>
            <w:color w:val="4472C4" w:themeColor="accent1"/>
            <w:u w:val="single"/>
          </w:rPr>
          <w:t>https://www.epa.sa.gov.au/data_and_publications/air_quality_monitoring/reports_and_summaries</w:t>
        </w:r>
      </w:hyperlink>
    </w:p>
    <w:p w14:paraId="43ACD7FD" w14:textId="207B2399" w:rsidR="00EB6564" w:rsidRDefault="00EB6564" w:rsidP="00EB6564">
      <w:pPr>
        <w:pStyle w:val="05BODYTEXT"/>
      </w:pPr>
      <w:r>
        <w:t xml:space="preserve">The monitoring plan for South Australia is available from </w:t>
      </w:r>
      <w:hyperlink r:id="rId48" w:history="1">
        <w:r w:rsidRPr="00276A45">
          <w:rPr>
            <w:rStyle w:val="Hyperlink"/>
            <w:color w:val="4472C4" w:themeColor="accent1"/>
            <w:u w:val="single"/>
          </w:rPr>
          <w:t>https://www.epa.sa.gov.au/files/12061_airnepm.pdf</w:t>
        </w:r>
      </w:hyperlink>
      <w:r>
        <w:t xml:space="preserve">. </w:t>
      </w:r>
    </w:p>
    <w:p w14:paraId="58E6CC2A" w14:textId="77777777" w:rsidR="00EB6564" w:rsidRDefault="00EB6564" w:rsidP="00276A45">
      <w:pPr>
        <w:pStyle w:val="05BODYTEXT"/>
        <w:keepNext/>
        <w:keepLines/>
      </w:pPr>
      <w:r>
        <w:t>The Environment Protection Authority also publishes monitoring data on the EPA and Data SA websites:</w:t>
      </w:r>
    </w:p>
    <w:p w14:paraId="29335D7F" w14:textId="36AB901A" w:rsidR="00EB6564" w:rsidRPr="00276A45" w:rsidRDefault="00EB6564" w:rsidP="00276A45">
      <w:pPr>
        <w:pStyle w:val="05bDOTPOINTS"/>
        <w:keepNext/>
        <w:keepLines/>
        <w:rPr>
          <w:color w:val="4472C4" w:themeColor="accent1"/>
          <w:u w:val="single"/>
        </w:rPr>
      </w:pPr>
      <w:r>
        <w:t>•</w:t>
      </w:r>
      <w:r>
        <w:tab/>
        <w:t xml:space="preserve">Hourly updates </w:t>
      </w:r>
      <w:hyperlink r:id="rId49" w:history="1">
        <w:r w:rsidRPr="00276A45">
          <w:rPr>
            <w:rStyle w:val="Hyperlink"/>
            <w:color w:val="4472C4" w:themeColor="accent1"/>
            <w:u w:val="single"/>
          </w:rPr>
          <w:t>https://www.epa.sa.gov.au/data_and_publications/air_quality_monitoring</w:t>
        </w:r>
      </w:hyperlink>
    </w:p>
    <w:p w14:paraId="32969CBE" w14:textId="01AEBA39" w:rsidR="00EB6564" w:rsidRDefault="00EB6564" w:rsidP="00276A45">
      <w:pPr>
        <w:pStyle w:val="05bDOTPOINTS"/>
        <w:keepNext/>
        <w:keepLines/>
      </w:pPr>
      <w:r>
        <w:t>•</w:t>
      </w:r>
      <w:r>
        <w:tab/>
        <w:t xml:space="preserve">Air quality summary reports </w:t>
      </w:r>
      <w:hyperlink r:id="rId50" w:history="1">
        <w:r w:rsidRPr="00276A45">
          <w:rPr>
            <w:rStyle w:val="Hyperlink"/>
            <w:color w:val="4472C4" w:themeColor="accent1"/>
            <w:u w:val="single"/>
          </w:rPr>
          <w:t>https://www.epa.sa.gov.au/data_and_publications/air_quality_monitoring/reports_and_summaries</w:t>
        </w:r>
      </w:hyperlink>
    </w:p>
    <w:p w14:paraId="5707E310" w14:textId="2BDD8A81" w:rsidR="00EB6564" w:rsidRDefault="00EB6564" w:rsidP="00276A45">
      <w:pPr>
        <w:pStyle w:val="05bDOTPOINTS"/>
        <w:keepNext/>
        <w:keepLines/>
      </w:pPr>
      <w:r>
        <w:t>•</w:t>
      </w:r>
      <w:r>
        <w:tab/>
        <w:t xml:space="preserve">Validated datasets </w:t>
      </w:r>
      <w:hyperlink r:id="rId51" w:history="1">
        <w:r w:rsidRPr="00276A45">
          <w:rPr>
            <w:rStyle w:val="Hyperlink"/>
            <w:color w:val="4472C4" w:themeColor="accent1"/>
            <w:u w:val="single"/>
          </w:rPr>
          <w:t>https://data.sa.gov.au/</w:t>
        </w:r>
      </w:hyperlink>
    </w:p>
    <w:p w14:paraId="649EC5EF" w14:textId="77777777" w:rsidR="00EB6564" w:rsidRDefault="00EB6564" w:rsidP="00EB6564">
      <w:pPr>
        <w:pStyle w:val="05BODYTEXT"/>
        <w:spacing w:after="0"/>
      </w:pP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4C6E2E3A" w14:textId="77777777" w:rsidTr="00134EA2">
        <w:trPr>
          <w:trHeight w:val="60"/>
          <w:tblHeader/>
        </w:trPr>
        <w:tc>
          <w:tcPr>
            <w:tcW w:w="1701" w:type="dxa"/>
            <w:vMerge w:val="restart"/>
            <w:tcMar>
              <w:top w:w="85" w:type="dxa"/>
              <w:left w:w="85" w:type="dxa"/>
              <w:bottom w:w="85" w:type="dxa"/>
              <w:right w:w="85" w:type="dxa"/>
            </w:tcMar>
          </w:tcPr>
          <w:p w14:paraId="3A1C5BF5" w14:textId="77777777" w:rsidR="00EB6564" w:rsidRDefault="00EB6564" w:rsidP="00134EA2">
            <w:pPr>
              <w:pStyle w:val="CHEMICALCHEMTABLES"/>
              <w:spacing w:after="0" w:line="240" w:lineRule="auto"/>
            </w:pPr>
            <w:r>
              <w:lastRenderedPageBreak/>
              <w:t>NO</w:t>
            </w:r>
            <w:r>
              <w:rPr>
                <w:vertAlign w:val="subscript"/>
              </w:rPr>
              <w:t>2</w:t>
            </w:r>
          </w:p>
        </w:tc>
        <w:tc>
          <w:tcPr>
            <w:tcW w:w="5731" w:type="dxa"/>
            <w:tcMar>
              <w:top w:w="85" w:type="dxa"/>
              <w:left w:w="85" w:type="dxa"/>
              <w:bottom w:w="85" w:type="dxa"/>
              <w:right w:w="85" w:type="dxa"/>
            </w:tcMar>
          </w:tcPr>
          <w:p w14:paraId="6D00A2B0" w14:textId="77777777" w:rsidR="00EB6564" w:rsidRDefault="00EB6564" w:rsidP="00134EA2">
            <w:pPr>
              <w:pStyle w:val="CHEMICALfullnameCHEMTABLES"/>
              <w:spacing w:after="0" w:line="240" w:lineRule="auto"/>
            </w:pPr>
            <w:r>
              <w:t>Nitrogen dioxide</w:t>
            </w:r>
          </w:p>
        </w:tc>
      </w:tr>
      <w:tr w:rsidR="00EB6564" w14:paraId="0106AE11" w14:textId="77777777" w:rsidTr="00134EA2">
        <w:trPr>
          <w:trHeight w:val="60"/>
          <w:tblHeader/>
        </w:trPr>
        <w:tc>
          <w:tcPr>
            <w:tcW w:w="1701" w:type="dxa"/>
            <w:vMerge/>
          </w:tcPr>
          <w:p w14:paraId="39F03D50"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506D0286" w14:textId="77777777" w:rsidR="00EB6564" w:rsidRDefault="00EB6564" w:rsidP="00134EA2">
            <w:pPr>
              <w:pStyle w:val="NEPMstandardCHEMTABLES"/>
              <w:spacing w:after="0" w:line="240" w:lineRule="auto"/>
            </w:pPr>
            <w:r>
              <w:t>(NEPM standard: 1 hour = 0.12ppm, 1 year = 0.03ppm)</w:t>
            </w:r>
          </w:p>
        </w:tc>
      </w:tr>
      <w:tr w:rsidR="00EB6564" w14:paraId="24A4A8D2" w14:textId="77777777" w:rsidTr="00134EA2">
        <w:trPr>
          <w:trHeight w:hRule="exact" w:val="113"/>
        </w:trPr>
        <w:tc>
          <w:tcPr>
            <w:tcW w:w="1701" w:type="dxa"/>
            <w:tcMar>
              <w:top w:w="85" w:type="dxa"/>
              <w:left w:w="85" w:type="dxa"/>
              <w:bottom w:w="85" w:type="dxa"/>
              <w:right w:w="85" w:type="dxa"/>
            </w:tcMar>
          </w:tcPr>
          <w:p w14:paraId="78507E6A"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430EAA36" w14:textId="77777777" w:rsidR="00EB6564" w:rsidRDefault="00EB6564" w:rsidP="00134EA2">
            <w:pPr>
              <w:pStyle w:val="NoParagraphStyle"/>
              <w:spacing w:line="240" w:lineRule="auto"/>
              <w:textAlignment w:val="auto"/>
              <w:rPr>
                <w:rFonts w:ascii="Calibri" w:hAnsi="Calibri" w:cs="Calibri"/>
                <w:color w:val="auto"/>
              </w:rPr>
            </w:pPr>
          </w:p>
        </w:tc>
      </w:tr>
    </w:tbl>
    <w:p w14:paraId="5BED338A" w14:textId="77777777" w:rsidR="00EB6564" w:rsidRDefault="00EB6564" w:rsidP="00134EA2">
      <w:pPr>
        <w:pStyle w:val="05BODYT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1483"/>
        <w:gridCol w:w="1484"/>
        <w:gridCol w:w="1483"/>
        <w:gridCol w:w="1483"/>
        <w:gridCol w:w="1484"/>
      </w:tblGrid>
      <w:tr w:rsidR="00EB6564" w14:paraId="436CE79B" w14:textId="77777777">
        <w:trPr>
          <w:trHeight w:val="6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5DF1844" w14:textId="77777777" w:rsidR="00EB6564" w:rsidRDefault="00EB6564">
            <w:pPr>
              <w:pStyle w:val="06bTABLEHEADERROW"/>
            </w:pPr>
            <w:r>
              <w:t>Station</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AB2A818" w14:textId="77777777" w:rsidR="00EB6564" w:rsidRDefault="00EB6564">
            <w:pPr>
              <w:pStyle w:val="06bTABLEHEADERROW"/>
              <w:jc w:val="center"/>
            </w:pPr>
            <w:r>
              <w:t>1 hour</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2E76DD2" w14:textId="77777777" w:rsidR="00EB6564" w:rsidRDefault="00EB6564">
            <w:pPr>
              <w:pStyle w:val="06bTABLEHEADERROW"/>
              <w:jc w:val="center"/>
            </w:pPr>
            <w:r>
              <w:t>1 year</w:t>
            </w:r>
          </w:p>
        </w:tc>
      </w:tr>
      <w:tr w:rsidR="00EB6564" w14:paraId="1BD68736" w14:textId="77777777" w:rsidTr="00134EA2">
        <w:trPr>
          <w:trHeight w:val="60"/>
          <w:tblHeader/>
        </w:trPr>
        <w:tc>
          <w:tcPr>
            <w:tcW w:w="1483" w:type="dxa"/>
            <w:vMerge/>
            <w:tcBorders>
              <w:top w:val="single" w:sz="8" w:space="0" w:color="FFFFFF"/>
              <w:left w:val="single" w:sz="4" w:space="0" w:color="FFFFFF"/>
              <w:bottom w:val="single" w:sz="4" w:space="0" w:color="FFFFFF"/>
              <w:right w:val="single" w:sz="4" w:space="0" w:color="FFFFFF"/>
            </w:tcBorders>
          </w:tcPr>
          <w:p w14:paraId="43FE08BD" w14:textId="77777777" w:rsidR="00EB6564" w:rsidRDefault="00EB6564">
            <w:pPr>
              <w:pStyle w:val="NoParagraphStyle"/>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3A215ED" w14:textId="77777777" w:rsidR="00EB6564" w:rsidRDefault="00EB6564">
            <w:pPr>
              <w:pStyle w:val="06bTABLEHEADERROW"/>
              <w:jc w:val="center"/>
            </w:pPr>
            <w:r>
              <w:t>Number of exceedances</w:t>
            </w:r>
          </w:p>
        </w:tc>
        <w:tc>
          <w:tcPr>
            <w:tcW w:w="148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C2FE1B6" w14:textId="77777777" w:rsidR="00EB6564" w:rsidRDefault="00EB6564">
            <w:pPr>
              <w:pStyle w:val="06bTABLEHEADERROW"/>
              <w:jc w:val="center"/>
            </w:pPr>
            <w:r>
              <w:t>NEPM goal compliance</w:t>
            </w:r>
          </w:p>
        </w:tc>
        <w:tc>
          <w:tcPr>
            <w:tcW w:w="148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3F3014C" w14:textId="77777777" w:rsidR="00EB6564" w:rsidRDefault="00EB6564">
            <w:pPr>
              <w:pStyle w:val="06bTABLEHEADERROW"/>
              <w:jc w:val="center"/>
            </w:pPr>
            <w:r>
              <w:t>Annual average (ppm)</w:t>
            </w:r>
          </w:p>
        </w:tc>
        <w:tc>
          <w:tcPr>
            <w:tcW w:w="148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C8595F4" w14:textId="77777777" w:rsidR="00EB6564" w:rsidRDefault="00EB6564">
            <w:pPr>
              <w:pStyle w:val="06bTABLEHEADERROW"/>
              <w:jc w:val="center"/>
            </w:pPr>
            <w:r>
              <w:t>NEPM goal compliance</w:t>
            </w:r>
          </w:p>
        </w:tc>
      </w:tr>
      <w:tr w:rsidR="00EB6564" w14:paraId="00594BAF" w14:textId="77777777" w:rsidTr="00134EA2">
        <w:trPr>
          <w:trHeight w:val="60"/>
        </w:trPr>
        <w:tc>
          <w:tcPr>
            <w:tcW w:w="7417" w:type="dxa"/>
            <w:gridSpan w:val="5"/>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100DE6BB" w14:textId="77777777" w:rsidR="00EB6564" w:rsidRDefault="00EB6564">
            <w:pPr>
              <w:pStyle w:val="06cTABLETEXT"/>
            </w:pPr>
            <w:r>
              <w:rPr>
                <w:rStyle w:val="BOLD"/>
              </w:rPr>
              <w:t>Adelaide</w:t>
            </w:r>
          </w:p>
        </w:tc>
      </w:tr>
      <w:tr w:rsidR="00EB6564" w14:paraId="64F8413C" w14:textId="77777777" w:rsidTr="00134EA2">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CB93171" w14:textId="77777777" w:rsidR="00EB6564" w:rsidRDefault="00EB6564">
            <w:pPr>
              <w:pStyle w:val="06cTABLETEXT"/>
            </w:pPr>
            <w:r>
              <w:t>CHD01- Christie Downs</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7AAB715"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B3E9299"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A8AB59F" w14:textId="77777777" w:rsidR="00EB6564" w:rsidRDefault="00EB6564">
            <w:pPr>
              <w:pStyle w:val="06cTABLETEXT"/>
              <w:jc w:val="center"/>
            </w:pPr>
            <w:r>
              <w:t>0.005</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6667DE3" w14:textId="77777777" w:rsidR="00EB6564" w:rsidRDefault="00EB6564">
            <w:pPr>
              <w:pStyle w:val="06cTABLETEXT"/>
              <w:jc w:val="center"/>
            </w:pPr>
            <w:r>
              <w:t>Met</w:t>
            </w:r>
          </w:p>
        </w:tc>
      </w:tr>
      <w:tr w:rsidR="00EB6564" w14:paraId="03F6925B" w14:textId="77777777" w:rsidTr="00134EA2">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2EB777C" w14:textId="77777777" w:rsidR="00EB6564" w:rsidRDefault="00EB6564">
            <w:pPr>
              <w:pStyle w:val="06cTABLETEXT"/>
            </w:pPr>
            <w:r>
              <w:t>ELI01 - Elizabeth Downs</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E539DF9"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8E02FB4" w14:textId="77777777" w:rsidR="00EB6564" w:rsidRDefault="00EB6564">
            <w:pPr>
              <w:pStyle w:val="06cTABLETEXT"/>
              <w:jc w:val="center"/>
            </w:pPr>
            <w:r>
              <w:t>Not Demonstrated*</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B92C27D" w14:textId="77777777" w:rsidR="00EB6564" w:rsidRDefault="00EB6564">
            <w:pPr>
              <w:pStyle w:val="06cTABLETEXT"/>
              <w:jc w:val="center"/>
            </w:pPr>
            <w:r>
              <w:t>0.004</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83C14CC" w14:textId="77777777" w:rsidR="00EB6564" w:rsidRDefault="00EB6564">
            <w:pPr>
              <w:pStyle w:val="06cTABLETEXT"/>
              <w:jc w:val="center"/>
            </w:pPr>
            <w:r>
              <w:t>Not Demonstrated*</w:t>
            </w:r>
          </w:p>
        </w:tc>
      </w:tr>
      <w:tr w:rsidR="00EB6564" w14:paraId="106373BB" w14:textId="77777777" w:rsidTr="00134EA2">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5596209" w14:textId="77777777" w:rsidR="00EB6564" w:rsidRDefault="00EB6564">
            <w:pPr>
              <w:pStyle w:val="06cTABLETEXT"/>
            </w:pPr>
            <w:r>
              <w:t>KEN01 - Kensington Gardens</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112B6DA"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5FDC340" w14:textId="77777777" w:rsidR="00EB6564" w:rsidRDefault="00EB6564">
            <w:pPr>
              <w:pStyle w:val="06cTABLETEXT"/>
              <w:jc w:val="center"/>
            </w:pPr>
            <w:r>
              <w:t>Not Demonstrated*</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3386A69" w14:textId="77777777" w:rsidR="00EB6564" w:rsidRDefault="00EB6564">
            <w:pPr>
              <w:pStyle w:val="06cTABLETEXT"/>
              <w:jc w:val="center"/>
            </w:pPr>
            <w:r>
              <w:t>0.003</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4656F0DF" w14:textId="77777777" w:rsidR="00EB6564" w:rsidRDefault="00EB6564">
            <w:pPr>
              <w:pStyle w:val="06cTABLETEXT"/>
              <w:jc w:val="center"/>
            </w:pPr>
            <w:r>
              <w:t>Not Demonstrated*</w:t>
            </w:r>
          </w:p>
        </w:tc>
      </w:tr>
      <w:tr w:rsidR="00EB6564" w14:paraId="4B854F38" w14:textId="77777777" w:rsidTr="00134EA2">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25B82CE" w14:textId="77777777" w:rsidR="00EB6564" w:rsidRDefault="00EB6564">
            <w:pPr>
              <w:pStyle w:val="06cTABLETEXT"/>
            </w:pPr>
            <w:r>
              <w:t>NET01 - Netley</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BB609AE"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19E20D1" w14:textId="77777777" w:rsidR="00EB6564" w:rsidRDefault="00EB6564">
            <w:pPr>
              <w:pStyle w:val="06cTABLETEXT"/>
              <w:jc w:val="center"/>
            </w:pPr>
            <w:r>
              <w:t>Not Demonstrated*</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A5DCC24" w14:textId="77777777" w:rsidR="00EB6564" w:rsidRDefault="00EB6564">
            <w:pPr>
              <w:pStyle w:val="06cTABLETEXT"/>
              <w:jc w:val="center"/>
            </w:pPr>
            <w:r>
              <w:t>0.007</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B6D4F3B" w14:textId="77777777" w:rsidR="00EB6564" w:rsidRDefault="00EB6564">
            <w:pPr>
              <w:pStyle w:val="06cTABLETEXT"/>
              <w:jc w:val="center"/>
            </w:pPr>
            <w:r>
              <w:t>Not Demonstrated*</w:t>
            </w:r>
          </w:p>
        </w:tc>
      </w:tr>
      <w:tr w:rsidR="00EB6564" w14:paraId="33E9C7AE" w14:textId="77777777" w:rsidTr="00134EA2">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43CE771" w14:textId="77777777" w:rsidR="00EB6564" w:rsidRDefault="00EB6564">
            <w:pPr>
              <w:pStyle w:val="06cTABLETEXT"/>
            </w:pPr>
            <w:r>
              <w:t>NOR01 - Northfield</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F87BA8F"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50CD7FD"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68C6EF28" w14:textId="77777777" w:rsidR="00EB6564" w:rsidRDefault="00EB6564">
            <w:pPr>
              <w:pStyle w:val="06cTABLETEXT"/>
              <w:jc w:val="center"/>
            </w:pPr>
            <w:r>
              <w:t>0.006</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2D1C11A" w14:textId="77777777" w:rsidR="00EB6564" w:rsidRDefault="00EB6564">
            <w:pPr>
              <w:pStyle w:val="06cTABLETEXT"/>
              <w:jc w:val="center"/>
            </w:pPr>
            <w:r>
              <w:t>Met</w:t>
            </w:r>
          </w:p>
        </w:tc>
      </w:tr>
      <w:tr w:rsidR="00EB6564" w14:paraId="274770E7" w14:textId="77777777" w:rsidTr="00134EA2">
        <w:trPr>
          <w:trHeight w:val="60"/>
        </w:trPr>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A9E31C2" w14:textId="77777777" w:rsidR="00EB6564" w:rsidRDefault="00EB6564">
            <w:pPr>
              <w:pStyle w:val="06cTABLETEXT"/>
            </w:pPr>
            <w:r>
              <w:t>NHV01 - North Haven</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1E7A743"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F086943"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00BB2AD3" w14:textId="77777777" w:rsidR="00EB6564" w:rsidRDefault="00EB6564">
            <w:pPr>
              <w:pStyle w:val="06cTABLETEXT"/>
              <w:jc w:val="center"/>
            </w:pPr>
            <w:r>
              <w:t>0.005</w:t>
            </w:r>
          </w:p>
        </w:tc>
        <w:tc>
          <w:tcPr>
            <w:tcW w:w="148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766A151" w14:textId="77777777" w:rsidR="00EB6564" w:rsidRDefault="00EB6564">
            <w:pPr>
              <w:pStyle w:val="06cTABLETEXT"/>
              <w:jc w:val="center"/>
            </w:pPr>
            <w:r>
              <w:t>Met</w:t>
            </w:r>
          </w:p>
        </w:tc>
      </w:tr>
    </w:tbl>
    <w:p w14:paraId="284B4815" w14:textId="77777777" w:rsidR="00EB6564" w:rsidRDefault="00EB6564" w:rsidP="00EB6564">
      <w:pPr>
        <w:pStyle w:val="07FOOTNOTES"/>
      </w:pPr>
      <w:r>
        <w:t>*</w:t>
      </w:r>
      <w:r>
        <w:tab/>
        <w:t>Insufficient data to demonstrate compliance, data availability was less than 75% in one or more quarters during 2018</w:t>
      </w:r>
    </w:p>
    <w:p w14:paraId="6B1913D6" w14:textId="77777777" w:rsidR="00EB6564" w:rsidRDefault="00EB6564" w:rsidP="00EB6564">
      <w:pPr>
        <w:pStyle w:val="05BODYTEXT"/>
        <w:spacing w:after="0"/>
      </w:pP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5C4EABD1" w14:textId="77777777" w:rsidTr="00134EA2">
        <w:trPr>
          <w:trHeight w:val="60"/>
          <w:tblHeader/>
        </w:trPr>
        <w:tc>
          <w:tcPr>
            <w:tcW w:w="1701" w:type="dxa"/>
            <w:vMerge w:val="restart"/>
            <w:tcMar>
              <w:top w:w="85" w:type="dxa"/>
              <w:left w:w="85" w:type="dxa"/>
              <w:bottom w:w="85" w:type="dxa"/>
              <w:right w:w="85" w:type="dxa"/>
            </w:tcMar>
          </w:tcPr>
          <w:p w14:paraId="3C1ADA26" w14:textId="77777777" w:rsidR="00EB6564" w:rsidRDefault="00EB6564" w:rsidP="00134EA2">
            <w:pPr>
              <w:pStyle w:val="CHEMICALCHEMTABLES"/>
              <w:spacing w:after="0" w:line="240" w:lineRule="auto"/>
            </w:pPr>
            <w:r>
              <w:t>O</w:t>
            </w:r>
            <w:r>
              <w:rPr>
                <w:vertAlign w:val="subscript"/>
              </w:rPr>
              <w:t>3</w:t>
            </w:r>
          </w:p>
        </w:tc>
        <w:tc>
          <w:tcPr>
            <w:tcW w:w="5731" w:type="dxa"/>
            <w:tcMar>
              <w:top w:w="85" w:type="dxa"/>
              <w:left w:w="85" w:type="dxa"/>
              <w:bottom w:w="85" w:type="dxa"/>
              <w:right w:w="85" w:type="dxa"/>
            </w:tcMar>
          </w:tcPr>
          <w:p w14:paraId="6D2FC2BD" w14:textId="77777777" w:rsidR="00EB6564" w:rsidRDefault="00EB6564" w:rsidP="00134EA2">
            <w:pPr>
              <w:pStyle w:val="CHEMICALfullnameCHEMTABLES"/>
              <w:spacing w:after="0" w:line="240" w:lineRule="auto"/>
            </w:pPr>
            <w:r>
              <w:t>Ozone</w:t>
            </w:r>
          </w:p>
        </w:tc>
      </w:tr>
      <w:tr w:rsidR="00EB6564" w14:paraId="18018E48" w14:textId="77777777" w:rsidTr="00134EA2">
        <w:trPr>
          <w:trHeight w:val="60"/>
          <w:tblHeader/>
        </w:trPr>
        <w:tc>
          <w:tcPr>
            <w:tcW w:w="1701" w:type="dxa"/>
            <w:vMerge/>
          </w:tcPr>
          <w:p w14:paraId="51226524"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2F8EE55B" w14:textId="77777777" w:rsidR="00EB6564" w:rsidRDefault="00EB6564" w:rsidP="00134EA2">
            <w:pPr>
              <w:pStyle w:val="NEPMstandardCHEMTABLES"/>
              <w:spacing w:after="0" w:line="240" w:lineRule="auto"/>
            </w:pPr>
            <w:r>
              <w:t>(NEPM standard: 1 hour = 0.10ppm, 4 hours = 0.08ppm)</w:t>
            </w:r>
          </w:p>
        </w:tc>
      </w:tr>
      <w:tr w:rsidR="00EB6564" w14:paraId="4AD71B86" w14:textId="77777777" w:rsidTr="00134EA2">
        <w:trPr>
          <w:trHeight w:hRule="exact" w:val="113"/>
        </w:trPr>
        <w:tc>
          <w:tcPr>
            <w:tcW w:w="1701" w:type="dxa"/>
            <w:tcMar>
              <w:top w:w="85" w:type="dxa"/>
              <w:left w:w="85" w:type="dxa"/>
              <w:bottom w:w="85" w:type="dxa"/>
              <w:right w:w="85" w:type="dxa"/>
            </w:tcMar>
          </w:tcPr>
          <w:p w14:paraId="0EBC18CE"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1105699" w14:textId="77777777" w:rsidR="00EB6564" w:rsidRDefault="00EB6564" w:rsidP="00134EA2">
            <w:pPr>
              <w:pStyle w:val="NoParagraphStyle"/>
              <w:spacing w:line="240" w:lineRule="auto"/>
              <w:textAlignment w:val="auto"/>
              <w:rPr>
                <w:rFonts w:ascii="Calibri" w:hAnsi="Calibri" w:cs="Calibri"/>
                <w:color w:val="auto"/>
              </w:rPr>
            </w:pPr>
          </w:p>
        </w:tc>
      </w:tr>
    </w:tbl>
    <w:p w14:paraId="3947CBC1" w14:textId="77777777" w:rsidR="00EB6564" w:rsidRDefault="00EB6564" w:rsidP="00134EA2">
      <w:pPr>
        <w:pStyle w:val="05BODYT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1480"/>
        <w:gridCol w:w="1454"/>
        <w:gridCol w:w="1188"/>
        <w:gridCol w:w="1574"/>
        <w:gridCol w:w="1721"/>
      </w:tblGrid>
      <w:tr w:rsidR="00EB6564" w14:paraId="17A66364" w14:textId="77777777">
        <w:trPr>
          <w:trHeight w:val="60"/>
          <w:tblHeader/>
        </w:trPr>
        <w:tc>
          <w:tcPr>
            <w:tcW w:w="1480"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260906B" w14:textId="77777777" w:rsidR="00EB6564" w:rsidRDefault="00EB6564">
            <w:pPr>
              <w:pStyle w:val="06bTABLEHEADERROW"/>
            </w:pPr>
            <w:r>
              <w:t>Station</w:t>
            </w:r>
          </w:p>
        </w:tc>
        <w:tc>
          <w:tcPr>
            <w:tcW w:w="2642"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D912287" w14:textId="77777777" w:rsidR="00EB6564" w:rsidRDefault="00EB6564">
            <w:pPr>
              <w:pStyle w:val="06bTABLEHEADERROW"/>
              <w:jc w:val="center"/>
            </w:pPr>
            <w:r>
              <w:t>1 hour</w:t>
            </w:r>
          </w:p>
        </w:tc>
        <w:tc>
          <w:tcPr>
            <w:tcW w:w="3295"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3E65DB9" w14:textId="77777777" w:rsidR="00EB6564" w:rsidRDefault="00EB6564">
            <w:pPr>
              <w:pStyle w:val="06bTABLEHEADERROW"/>
              <w:jc w:val="center"/>
            </w:pPr>
            <w:r>
              <w:t>4 hours</w:t>
            </w:r>
          </w:p>
        </w:tc>
      </w:tr>
      <w:tr w:rsidR="00EB6564" w14:paraId="260C346D" w14:textId="77777777">
        <w:trPr>
          <w:trHeight w:val="60"/>
          <w:tblHeader/>
        </w:trPr>
        <w:tc>
          <w:tcPr>
            <w:tcW w:w="1480" w:type="dxa"/>
            <w:vMerge/>
            <w:tcBorders>
              <w:top w:val="single" w:sz="8" w:space="0" w:color="FFFFFF"/>
              <w:left w:val="single" w:sz="4" w:space="0" w:color="FFFFFF"/>
              <w:bottom w:val="single" w:sz="8" w:space="0" w:color="FFFFFF"/>
              <w:right w:val="single" w:sz="4" w:space="0" w:color="FFFFFF"/>
            </w:tcBorders>
          </w:tcPr>
          <w:p w14:paraId="653FBD5B" w14:textId="77777777" w:rsidR="00EB6564" w:rsidRDefault="00EB6564">
            <w:pPr>
              <w:pStyle w:val="NoParagraphStyle"/>
              <w:spacing w:line="240" w:lineRule="auto"/>
              <w:textAlignment w:val="auto"/>
              <w:rPr>
                <w:rFonts w:ascii="Calibri" w:hAnsi="Calibri" w:cs="Calibri"/>
                <w:color w:val="auto"/>
              </w:rPr>
            </w:pPr>
          </w:p>
        </w:tc>
        <w:tc>
          <w:tcPr>
            <w:tcW w:w="1454"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9503794" w14:textId="77777777" w:rsidR="00EB6564" w:rsidRDefault="00EB6564">
            <w:pPr>
              <w:pStyle w:val="06bTABLEHEADERROW"/>
              <w:jc w:val="center"/>
            </w:pPr>
            <w:r>
              <w:t>Number of exceedances</w:t>
            </w:r>
          </w:p>
        </w:tc>
        <w:tc>
          <w:tcPr>
            <w:tcW w:w="1188"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5711BB4" w14:textId="77777777" w:rsidR="00EB6564" w:rsidRDefault="00EB6564">
            <w:pPr>
              <w:pStyle w:val="06bTABLEHEADERROW"/>
              <w:jc w:val="center"/>
            </w:pPr>
            <w:r>
              <w:t>NEPM goal compliance</w:t>
            </w:r>
          </w:p>
        </w:tc>
        <w:tc>
          <w:tcPr>
            <w:tcW w:w="1574"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F40BAA9" w14:textId="77777777" w:rsidR="00EB6564" w:rsidRDefault="00EB6564">
            <w:pPr>
              <w:pStyle w:val="06bTABLEHEADERROW"/>
              <w:jc w:val="center"/>
            </w:pPr>
            <w:r>
              <w:t>Number of exceedances</w:t>
            </w:r>
          </w:p>
        </w:tc>
        <w:tc>
          <w:tcPr>
            <w:tcW w:w="1721"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1459905" w14:textId="77777777" w:rsidR="00EB6564" w:rsidRDefault="00EB6564">
            <w:pPr>
              <w:pStyle w:val="06bTABLEHEADERROW"/>
              <w:jc w:val="center"/>
            </w:pPr>
            <w:r>
              <w:t>NEPM goal compliance</w:t>
            </w:r>
          </w:p>
        </w:tc>
      </w:tr>
      <w:tr w:rsidR="00EB6564" w14:paraId="59BB2C61" w14:textId="77777777">
        <w:trPr>
          <w:trHeight w:val="60"/>
        </w:trPr>
        <w:tc>
          <w:tcPr>
            <w:tcW w:w="14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440ABF" w14:textId="77777777" w:rsidR="00EB6564" w:rsidRPr="00134EA2" w:rsidRDefault="00EB6564">
            <w:pPr>
              <w:pStyle w:val="06cTABLETEXT"/>
              <w:rPr>
                <w:b/>
                <w:bCs/>
              </w:rPr>
            </w:pPr>
            <w:r w:rsidRPr="00134EA2">
              <w:rPr>
                <w:b/>
                <w:bCs/>
              </w:rPr>
              <w:t>Adelaide</w:t>
            </w:r>
          </w:p>
        </w:tc>
        <w:tc>
          <w:tcPr>
            <w:tcW w:w="14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65D105C" w14:textId="77777777" w:rsidR="00EB6564" w:rsidRDefault="00EB6564">
            <w:pPr>
              <w:pStyle w:val="NoParagraphStyle"/>
              <w:spacing w:line="240" w:lineRule="auto"/>
              <w:textAlignment w:val="auto"/>
              <w:rPr>
                <w:rFonts w:ascii="Calibri" w:hAnsi="Calibri" w:cs="Calibri"/>
                <w:color w:val="auto"/>
              </w:rPr>
            </w:pPr>
          </w:p>
        </w:tc>
        <w:tc>
          <w:tcPr>
            <w:tcW w:w="11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49847E" w14:textId="77777777" w:rsidR="00EB6564" w:rsidRDefault="00EB6564">
            <w:pPr>
              <w:pStyle w:val="NoParagraphStyle"/>
              <w:spacing w:line="240" w:lineRule="auto"/>
              <w:textAlignment w:val="auto"/>
              <w:rPr>
                <w:rFonts w:ascii="Calibri" w:hAnsi="Calibri" w:cs="Calibri"/>
                <w:color w:val="auto"/>
              </w:rPr>
            </w:pPr>
          </w:p>
        </w:tc>
        <w:tc>
          <w:tcPr>
            <w:tcW w:w="15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6CC557" w14:textId="77777777" w:rsidR="00EB6564" w:rsidRDefault="00EB6564">
            <w:pPr>
              <w:pStyle w:val="NoParagraphStyle"/>
              <w:spacing w:line="240" w:lineRule="auto"/>
              <w:textAlignment w:val="auto"/>
              <w:rPr>
                <w:rFonts w:ascii="Calibri" w:hAnsi="Calibri" w:cs="Calibri"/>
                <w:color w:val="auto"/>
              </w:rPr>
            </w:pPr>
          </w:p>
        </w:tc>
        <w:tc>
          <w:tcPr>
            <w:tcW w:w="172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DDB8647" w14:textId="77777777" w:rsidR="00EB6564" w:rsidRDefault="00EB6564">
            <w:pPr>
              <w:pStyle w:val="NoParagraphStyle"/>
              <w:spacing w:line="240" w:lineRule="auto"/>
              <w:textAlignment w:val="auto"/>
              <w:rPr>
                <w:rFonts w:ascii="Calibri" w:hAnsi="Calibri" w:cs="Calibri"/>
                <w:color w:val="auto"/>
              </w:rPr>
            </w:pPr>
          </w:p>
        </w:tc>
      </w:tr>
      <w:tr w:rsidR="00EB6564" w14:paraId="061A322C" w14:textId="77777777">
        <w:trPr>
          <w:trHeight w:val="60"/>
        </w:trPr>
        <w:tc>
          <w:tcPr>
            <w:tcW w:w="14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A2763A" w14:textId="77777777" w:rsidR="00EB6564" w:rsidRDefault="00EB6564">
            <w:pPr>
              <w:pStyle w:val="06cTABLETEXT"/>
            </w:pPr>
            <w:r>
              <w:t>CHD01 - Christie Downs</w:t>
            </w:r>
          </w:p>
        </w:tc>
        <w:tc>
          <w:tcPr>
            <w:tcW w:w="14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F9E8BF9" w14:textId="77777777" w:rsidR="00EB6564" w:rsidRDefault="00EB6564">
            <w:pPr>
              <w:pStyle w:val="06cTABLETEXT"/>
              <w:jc w:val="center"/>
            </w:pPr>
            <w:r>
              <w:t>0</w:t>
            </w:r>
          </w:p>
        </w:tc>
        <w:tc>
          <w:tcPr>
            <w:tcW w:w="11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6CC7DF" w14:textId="77777777" w:rsidR="00EB6564" w:rsidRDefault="00EB6564">
            <w:pPr>
              <w:pStyle w:val="06cTABLETEXT"/>
              <w:jc w:val="center"/>
            </w:pPr>
            <w:r>
              <w:t>Met</w:t>
            </w:r>
          </w:p>
        </w:tc>
        <w:tc>
          <w:tcPr>
            <w:tcW w:w="15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3C6597" w14:textId="77777777" w:rsidR="00EB6564" w:rsidRDefault="00EB6564">
            <w:pPr>
              <w:pStyle w:val="06cTABLETEXT"/>
              <w:jc w:val="center"/>
            </w:pPr>
            <w:r>
              <w:t>0</w:t>
            </w:r>
          </w:p>
        </w:tc>
        <w:tc>
          <w:tcPr>
            <w:tcW w:w="172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1238CE" w14:textId="77777777" w:rsidR="00EB6564" w:rsidRDefault="00EB6564">
            <w:pPr>
              <w:pStyle w:val="06cTABLETEXT"/>
              <w:jc w:val="center"/>
            </w:pPr>
            <w:r>
              <w:t>Met</w:t>
            </w:r>
          </w:p>
        </w:tc>
      </w:tr>
      <w:tr w:rsidR="00EB6564" w14:paraId="71D443FE" w14:textId="77777777">
        <w:trPr>
          <w:trHeight w:val="60"/>
        </w:trPr>
        <w:tc>
          <w:tcPr>
            <w:tcW w:w="14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0374DD" w14:textId="77777777" w:rsidR="00EB6564" w:rsidRDefault="00EB6564">
            <w:pPr>
              <w:pStyle w:val="06cTABLETEXT"/>
            </w:pPr>
            <w:r>
              <w:t>ELI01 - Elizabeth Downs</w:t>
            </w:r>
          </w:p>
        </w:tc>
        <w:tc>
          <w:tcPr>
            <w:tcW w:w="14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A70293" w14:textId="77777777" w:rsidR="00EB6564" w:rsidRDefault="00EB6564">
            <w:pPr>
              <w:pStyle w:val="06cTABLETEXT"/>
              <w:jc w:val="center"/>
            </w:pPr>
            <w:r>
              <w:t>0</w:t>
            </w:r>
          </w:p>
        </w:tc>
        <w:tc>
          <w:tcPr>
            <w:tcW w:w="11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1A9566" w14:textId="77777777" w:rsidR="00EB6564" w:rsidRDefault="00EB6564">
            <w:pPr>
              <w:pStyle w:val="06cTABLETEXT"/>
              <w:jc w:val="center"/>
            </w:pPr>
            <w:r>
              <w:t>Not Demonstrated*</w:t>
            </w:r>
          </w:p>
        </w:tc>
        <w:tc>
          <w:tcPr>
            <w:tcW w:w="15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E23548" w14:textId="77777777" w:rsidR="00EB6564" w:rsidRDefault="00EB6564">
            <w:pPr>
              <w:pStyle w:val="06cTABLETEXT"/>
              <w:jc w:val="center"/>
            </w:pPr>
            <w:r>
              <w:t>0</w:t>
            </w:r>
          </w:p>
        </w:tc>
        <w:tc>
          <w:tcPr>
            <w:tcW w:w="172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22F314" w14:textId="77777777" w:rsidR="00EB6564" w:rsidRDefault="00EB6564">
            <w:pPr>
              <w:pStyle w:val="06cTABLETEXT"/>
              <w:jc w:val="center"/>
            </w:pPr>
            <w:r>
              <w:t>Not Demonstrated*</w:t>
            </w:r>
          </w:p>
        </w:tc>
      </w:tr>
      <w:tr w:rsidR="00EB6564" w14:paraId="2B67CC71" w14:textId="77777777">
        <w:trPr>
          <w:trHeight w:val="60"/>
        </w:trPr>
        <w:tc>
          <w:tcPr>
            <w:tcW w:w="14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415F88" w14:textId="77777777" w:rsidR="00EB6564" w:rsidRDefault="00EB6564">
            <w:pPr>
              <w:pStyle w:val="06cTABLETEXT"/>
            </w:pPr>
            <w:r>
              <w:t>KEN01 - Kensington Gardens</w:t>
            </w:r>
          </w:p>
        </w:tc>
        <w:tc>
          <w:tcPr>
            <w:tcW w:w="14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FAD2C7" w14:textId="77777777" w:rsidR="00EB6564" w:rsidRDefault="00EB6564">
            <w:pPr>
              <w:pStyle w:val="06cTABLETEXT"/>
              <w:jc w:val="center"/>
            </w:pPr>
            <w:r>
              <w:t>0</w:t>
            </w:r>
          </w:p>
        </w:tc>
        <w:tc>
          <w:tcPr>
            <w:tcW w:w="11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74E533" w14:textId="77777777" w:rsidR="00EB6564" w:rsidRDefault="00EB6564">
            <w:pPr>
              <w:pStyle w:val="06cTABLETEXT"/>
              <w:jc w:val="center"/>
            </w:pPr>
            <w:r>
              <w:t>Met</w:t>
            </w:r>
          </w:p>
        </w:tc>
        <w:tc>
          <w:tcPr>
            <w:tcW w:w="15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89A540" w14:textId="77777777" w:rsidR="00EB6564" w:rsidRDefault="00EB6564">
            <w:pPr>
              <w:pStyle w:val="06cTABLETEXT"/>
              <w:jc w:val="center"/>
            </w:pPr>
            <w:r>
              <w:t>0</w:t>
            </w:r>
          </w:p>
        </w:tc>
        <w:tc>
          <w:tcPr>
            <w:tcW w:w="172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956C48" w14:textId="77777777" w:rsidR="00EB6564" w:rsidRDefault="00EB6564">
            <w:pPr>
              <w:pStyle w:val="06cTABLETEXT"/>
              <w:jc w:val="center"/>
            </w:pPr>
            <w:r>
              <w:t>Met</w:t>
            </w:r>
          </w:p>
        </w:tc>
      </w:tr>
      <w:tr w:rsidR="00EB6564" w14:paraId="664A2FD5" w14:textId="77777777">
        <w:trPr>
          <w:trHeight w:val="60"/>
        </w:trPr>
        <w:tc>
          <w:tcPr>
            <w:tcW w:w="14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1ACD10" w14:textId="77777777" w:rsidR="00EB6564" w:rsidRDefault="00EB6564">
            <w:pPr>
              <w:pStyle w:val="06cTABLETEXT"/>
            </w:pPr>
            <w:r>
              <w:t>NET01 - Netley</w:t>
            </w:r>
          </w:p>
        </w:tc>
        <w:tc>
          <w:tcPr>
            <w:tcW w:w="14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39B9A0" w14:textId="77777777" w:rsidR="00EB6564" w:rsidRDefault="00EB6564">
            <w:pPr>
              <w:pStyle w:val="06cTABLETEXT"/>
              <w:jc w:val="center"/>
            </w:pPr>
            <w:r>
              <w:t>0</w:t>
            </w:r>
          </w:p>
        </w:tc>
        <w:tc>
          <w:tcPr>
            <w:tcW w:w="11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930EA9" w14:textId="77777777" w:rsidR="00EB6564" w:rsidRDefault="00EB6564">
            <w:pPr>
              <w:pStyle w:val="06cTABLETEXT"/>
              <w:jc w:val="center"/>
            </w:pPr>
            <w:r>
              <w:t>Met</w:t>
            </w:r>
          </w:p>
        </w:tc>
        <w:tc>
          <w:tcPr>
            <w:tcW w:w="15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A63394" w14:textId="77777777" w:rsidR="00EB6564" w:rsidRDefault="00EB6564">
            <w:pPr>
              <w:pStyle w:val="06cTABLETEXT"/>
              <w:jc w:val="center"/>
            </w:pPr>
            <w:r>
              <w:t>0</w:t>
            </w:r>
          </w:p>
        </w:tc>
        <w:tc>
          <w:tcPr>
            <w:tcW w:w="172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156180" w14:textId="77777777" w:rsidR="00EB6564" w:rsidRDefault="00EB6564">
            <w:pPr>
              <w:pStyle w:val="06cTABLETEXT"/>
              <w:jc w:val="center"/>
            </w:pPr>
            <w:r>
              <w:t>Met</w:t>
            </w:r>
          </w:p>
        </w:tc>
      </w:tr>
      <w:tr w:rsidR="00EB6564" w14:paraId="591C34D3" w14:textId="77777777">
        <w:trPr>
          <w:trHeight w:val="60"/>
        </w:trPr>
        <w:tc>
          <w:tcPr>
            <w:tcW w:w="14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19FCE5" w14:textId="77777777" w:rsidR="00EB6564" w:rsidRDefault="00EB6564">
            <w:pPr>
              <w:pStyle w:val="06cTABLETEXT"/>
            </w:pPr>
            <w:r>
              <w:t>NOR01 - Northfield</w:t>
            </w:r>
          </w:p>
        </w:tc>
        <w:tc>
          <w:tcPr>
            <w:tcW w:w="14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07A7BF" w14:textId="77777777" w:rsidR="00EB6564" w:rsidRDefault="00EB6564">
            <w:pPr>
              <w:pStyle w:val="06cTABLETEXT"/>
              <w:jc w:val="center"/>
            </w:pPr>
            <w:r>
              <w:t>0</w:t>
            </w:r>
          </w:p>
        </w:tc>
        <w:tc>
          <w:tcPr>
            <w:tcW w:w="11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FBB19F5" w14:textId="77777777" w:rsidR="00EB6564" w:rsidRDefault="00EB6564">
            <w:pPr>
              <w:pStyle w:val="06cTABLETEXT"/>
              <w:jc w:val="center"/>
            </w:pPr>
            <w:r>
              <w:t>Met</w:t>
            </w:r>
          </w:p>
        </w:tc>
        <w:tc>
          <w:tcPr>
            <w:tcW w:w="15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DFC876" w14:textId="77777777" w:rsidR="00EB6564" w:rsidRDefault="00EB6564">
            <w:pPr>
              <w:pStyle w:val="06cTABLETEXT"/>
              <w:jc w:val="center"/>
            </w:pPr>
            <w:r>
              <w:t>0</w:t>
            </w:r>
          </w:p>
        </w:tc>
        <w:tc>
          <w:tcPr>
            <w:tcW w:w="172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1A2577" w14:textId="77777777" w:rsidR="00EB6564" w:rsidRDefault="00EB6564">
            <w:pPr>
              <w:pStyle w:val="06cTABLETEXT"/>
              <w:jc w:val="center"/>
            </w:pPr>
            <w:r>
              <w:t>Met</w:t>
            </w:r>
          </w:p>
        </w:tc>
      </w:tr>
      <w:tr w:rsidR="00EB6564" w14:paraId="686EB4C9" w14:textId="77777777">
        <w:trPr>
          <w:trHeight w:val="60"/>
        </w:trPr>
        <w:tc>
          <w:tcPr>
            <w:tcW w:w="14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236064" w14:textId="77777777" w:rsidR="00EB6564" w:rsidRDefault="00EB6564">
            <w:pPr>
              <w:pStyle w:val="06cTABLETEXT"/>
            </w:pPr>
            <w:r>
              <w:lastRenderedPageBreak/>
              <w:t>NHV01 - North Haven</w:t>
            </w:r>
          </w:p>
        </w:tc>
        <w:tc>
          <w:tcPr>
            <w:tcW w:w="14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3598B9" w14:textId="77777777" w:rsidR="00EB6564" w:rsidRDefault="00EB6564">
            <w:pPr>
              <w:pStyle w:val="06cTABLETEXT"/>
              <w:jc w:val="center"/>
            </w:pPr>
            <w:r>
              <w:t>0</w:t>
            </w:r>
          </w:p>
        </w:tc>
        <w:tc>
          <w:tcPr>
            <w:tcW w:w="11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30B41E" w14:textId="77777777" w:rsidR="00EB6564" w:rsidRDefault="00EB6564">
            <w:pPr>
              <w:pStyle w:val="06cTABLETEXT"/>
              <w:jc w:val="center"/>
            </w:pPr>
            <w:r>
              <w:t>Met</w:t>
            </w:r>
          </w:p>
        </w:tc>
        <w:tc>
          <w:tcPr>
            <w:tcW w:w="15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7AC49C" w14:textId="77777777" w:rsidR="00EB6564" w:rsidRDefault="00EB6564">
            <w:pPr>
              <w:pStyle w:val="06cTABLETEXT"/>
              <w:jc w:val="center"/>
            </w:pPr>
            <w:r>
              <w:t>0</w:t>
            </w:r>
          </w:p>
        </w:tc>
        <w:tc>
          <w:tcPr>
            <w:tcW w:w="172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8D542C1" w14:textId="77777777" w:rsidR="00EB6564" w:rsidRDefault="00EB6564">
            <w:pPr>
              <w:pStyle w:val="06cTABLETEXT"/>
              <w:jc w:val="center"/>
            </w:pPr>
            <w:r>
              <w:t>Met</w:t>
            </w:r>
          </w:p>
        </w:tc>
      </w:tr>
    </w:tbl>
    <w:p w14:paraId="6490C5BE" w14:textId="77777777" w:rsidR="00EB6564" w:rsidRDefault="00EB6564" w:rsidP="00EB6564">
      <w:pPr>
        <w:pStyle w:val="07FOOTNOTES"/>
      </w:pPr>
      <w:r>
        <w:t>*</w:t>
      </w:r>
      <w:r>
        <w:tab/>
        <w:t>Insufficient data to demonstrate compliance, data availability was less than 75% in one or more quarters during 2018</w:t>
      </w:r>
    </w:p>
    <w:tbl>
      <w:tblPr>
        <w:tblW w:w="0" w:type="auto"/>
        <w:tblInd w:w="-8" w:type="dxa"/>
        <w:tblLayout w:type="fixed"/>
        <w:tblCellMar>
          <w:left w:w="0" w:type="dxa"/>
          <w:right w:w="0" w:type="dxa"/>
        </w:tblCellMar>
        <w:tblLook w:val="0000" w:firstRow="0" w:lastRow="0" w:firstColumn="0" w:lastColumn="0" w:noHBand="0" w:noVBand="0"/>
      </w:tblPr>
      <w:tblGrid>
        <w:gridCol w:w="8"/>
        <w:gridCol w:w="1060"/>
        <w:gridCol w:w="633"/>
        <w:gridCol w:w="426"/>
        <w:gridCol w:w="1060"/>
        <w:gridCol w:w="1059"/>
        <w:gridCol w:w="1060"/>
        <w:gridCol w:w="1059"/>
        <w:gridCol w:w="1060"/>
        <w:gridCol w:w="7"/>
      </w:tblGrid>
      <w:tr w:rsidR="00EB6564" w14:paraId="614A3022" w14:textId="77777777" w:rsidTr="00134EA2">
        <w:trPr>
          <w:trHeight w:val="60"/>
          <w:tblHeader/>
        </w:trPr>
        <w:tc>
          <w:tcPr>
            <w:tcW w:w="1701" w:type="dxa"/>
            <w:gridSpan w:val="3"/>
            <w:vMerge w:val="restart"/>
            <w:tcMar>
              <w:top w:w="80" w:type="dxa"/>
              <w:left w:w="80" w:type="dxa"/>
              <w:bottom w:w="80" w:type="dxa"/>
              <w:right w:w="80" w:type="dxa"/>
            </w:tcMar>
          </w:tcPr>
          <w:p w14:paraId="6EDCD6EB" w14:textId="77777777" w:rsidR="00EB6564" w:rsidRDefault="00EB6564" w:rsidP="00134EA2">
            <w:pPr>
              <w:pStyle w:val="CHEMICALCHEMTABLES"/>
              <w:keepNext/>
              <w:spacing w:after="0" w:line="240" w:lineRule="auto"/>
            </w:pPr>
            <w:r>
              <w:t>SO</w:t>
            </w:r>
            <w:r>
              <w:rPr>
                <w:vertAlign w:val="subscript"/>
              </w:rPr>
              <w:t>2</w:t>
            </w:r>
          </w:p>
        </w:tc>
        <w:tc>
          <w:tcPr>
            <w:tcW w:w="5731" w:type="dxa"/>
            <w:gridSpan w:val="7"/>
            <w:tcMar>
              <w:top w:w="80" w:type="dxa"/>
              <w:left w:w="80" w:type="dxa"/>
              <w:bottom w:w="80" w:type="dxa"/>
              <w:right w:w="80" w:type="dxa"/>
            </w:tcMar>
          </w:tcPr>
          <w:p w14:paraId="292DE8D6" w14:textId="77777777" w:rsidR="00EB6564" w:rsidRDefault="00EB6564" w:rsidP="00134EA2">
            <w:pPr>
              <w:pStyle w:val="CHEMICALfullnameCHEMTABLES"/>
              <w:keepNext/>
              <w:spacing w:after="0" w:line="240" w:lineRule="auto"/>
            </w:pPr>
            <w:r>
              <w:t>Sulfur dioxide</w:t>
            </w:r>
          </w:p>
        </w:tc>
      </w:tr>
      <w:tr w:rsidR="00EB6564" w14:paraId="1D053C43" w14:textId="77777777" w:rsidTr="00134EA2">
        <w:trPr>
          <w:trHeight w:val="60"/>
          <w:tblHeader/>
        </w:trPr>
        <w:tc>
          <w:tcPr>
            <w:tcW w:w="1701" w:type="dxa"/>
            <w:gridSpan w:val="3"/>
            <w:vMerge/>
          </w:tcPr>
          <w:p w14:paraId="762572BF"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gridSpan w:val="7"/>
            <w:tcMar>
              <w:top w:w="80" w:type="dxa"/>
              <w:left w:w="80" w:type="dxa"/>
              <w:bottom w:w="80" w:type="dxa"/>
              <w:right w:w="80" w:type="dxa"/>
            </w:tcMar>
          </w:tcPr>
          <w:p w14:paraId="15B006E5" w14:textId="77777777" w:rsidR="00EB6564" w:rsidRDefault="00EB6564" w:rsidP="00134EA2">
            <w:pPr>
              <w:pStyle w:val="NEPMstandardCHEMTABLES"/>
              <w:keepNext/>
              <w:spacing w:after="0" w:line="240" w:lineRule="auto"/>
            </w:pPr>
            <w:r>
              <w:t>(NEPM standard: 1 hour = 0.20ppm, 1 day = 0.08ppm, 1 year = 0.02ppm)</w:t>
            </w:r>
          </w:p>
        </w:tc>
      </w:tr>
      <w:tr w:rsidR="00EB6564" w14:paraId="63F5EAF8" w14:textId="77777777" w:rsidTr="00134EA2">
        <w:trPr>
          <w:trHeight w:hRule="exact" w:val="113"/>
        </w:trPr>
        <w:tc>
          <w:tcPr>
            <w:tcW w:w="1701" w:type="dxa"/>
            <w:gridSpan w:val="3"/>
            <w:tcMar>
              <w:top w:w="85" w:type="dxa"/>
              <w:left w:w="85" w:type="dxa"/>
              <w:bottom w:w="85" w:type="dxa"/>
              <w:right w:w="85" w:type="dxa"/>
            </w:tcMar>
          </w:tcPr>
          <w:p w14:paraId="6CE58B3D"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gridSpan w:val="7"/>
            <w:tcMar>
              <w:top w:w="85" w:type="dxa"/>
              <w:left w:w="85" w:type="dxa"/>
              <w:bottom w:w="85" w:type="dxa"/>
              <w:right w:w="85" w:type="dxa"/>
            </w:tcMar>
          </w:tcPr>
          <w:p w14:paraId="3D1B8624" w14:textId="77777777" w:rsidR="00EB6564" w:rsidRDefault="00EB6564" w:rsidP="00134EA2">
            <w:pPr>
              <w:pStyle w:val="NoParagraphStyle"/>
              <w:keepNext/>
              <w:spacing w:line="240" w:lineRule="auto"/>
              <w:textAlignment w:val="auto"/>
              <w:rPr>
                <w:rFonts w:ascii="Calibri" w:hAnsi="Calibri" w:cs="Calibri"/>
                <w:color w:val="auto"/>
              </w:rPr>
            </w:pPr>
          </w:p>
        </w:tc>
      </w:tr>
      <w:tr w:rsidR="00EB6564" w14:paraId="1C9DE762" w14:textId="77777777" w:rsidTr="00134EA2">
        <w:trPr>
          <w:gridBefore w:val="1"/>
          <w:gridAfter w:val="1"/>
          <w:wBefore w:w="8" w:type="dxa"/>
          <w:wAfter w:w="7" w:type="dxa"/>
          <w:trHeight w:val="60"/>
          <w:tblHeader/>
        </w:trPr>
        <w:tc>
          <w:tcPr>
            <w:tcW w:w="1060"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9034F3B" w14:textId="77777777" w:rsidR="00EB6564" w:rsidRDefault="00EB6564" w:rsidP="008B4D97">
            <w:pPr>
              <w:pStyle w:val="06bTABLEHEADERROW"/>
              <w:spacing w:line="240" w:lineRule="auto"/>
            </w:pPr>
            <w:r>
              <w:t>Station</w:t>
            </w:r>
          </w:p>
        </w:tc>
        <w:tc>
          <w:tcPr>
            <w:tcW w:w="2119" w:type="dxa"/>
            <w:gridSpan w:val="3"/>
            <w:tcBorders>
              <w:top w:val="single" w:sz="4"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5F034EFE" w14:textId="77777777" w:rsidR="00EB6564" w:rsidRDefault="00EB6564" w:rsidP="008B4D97">
            <w:pPr>
              <w:pStyle w:val="06bTABLEHEADERROW"/>
              <w:spacing w:line="240" w:lineRule="auto"/>
              <w:jc w:val="center"/>
            </w:pPr>
            <w:r>
              <w:t>1 hour</w:t>
            </w:r>
          </w:p>
        </w:tc>
        <w:tc>
          <w:tcPr>
            <w:tcW w:w="2119"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1CFA47D5" w14:textId="77777777" w:rsidR="00EB6564" w:rsidRDefault="00EB6564" w:rsidP="008B4D97">
            <w:pPr>
              <w:pStyle w:val="06bTABLEHEADERROW"/>
              <w:spacing w:line="240" w:lineRule="auto"/>
              <w:jc w:val="center"/>
            </w:pPr>
            <w:r>
              <w:t>1 day</w:t>
            </w:r>
          </w:p>
        </w:tc>
        <w:tc>
          <w:tcPr>
            <w:tcW w:w="2119"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48A27CE3" w14:textId="77777777" w:rsidR="00EB6564" w:rsidRDefault="00EB6564" w:rsidP="008B4D97">
            <w:pPr>
              <w:pStyle w:val="06bTABLEHEADERROW"/>
              <w:spacing w:line="240" w:lineRule="auto"/>
              <w:jc w:val="center"/>
            </w:pPr>
            <w:r>
              <w:t>1 year</w:t>
            </w:r>
          </w:p>
        </w:tc>
      </w:tr>
      <w:tr w:rsidR="00EB6564" w14:paraId="73714A8B" w14:textId="77777777" w:rsidTr="00134EA2">
        <w:trPr>
          <w:gridBefore w:val="1"/>
          <w:gridAfter w:val="1"/>
          <w:wBefore w:w="8" w:type="dxa"/>
          <w:wAfter w:w="7" w:type="dxa"/>
          <w:trHeight w:val="60"/>
          <w:tblHeader/>
        </w:trPr>
        <w:tc>
          <w:tcPr>
            <w:tcW w:w="1060" w:type="dxa"/>
            <w:vMerge/>
            <w:tcBorders>
              <w:top w:val="single" w:sz="8" w:space="0" w:color="FFFFFF"/>
              <w:left w:val="single" w:sz="4" w:space="0" w:color="FFFFFF"/>
              <w:bottom w:val="single" w:sz="4" w:space="0" w:color="FFFFFF"/>
              <w:right w:val="single" w:sz="4" w:space="0" w:color="FFFFFF"/>
            </w:tcBorders>
          </w:tcPr>
          <w:p w14:paraId="70C2690D" w14:textId="77777777" w:rsidR="00EB6564" w:rsidRDefault="00EB6564" w:rsidP="008B4D97">
            <w:pPr>
              <w:pStyle w:val="NoParagraphStyle"/>
              <w:keepNext/>
              <w:spacing w:line="240" w:lineRule="auto"/>
              <w:textAlignment w:val="auto"/>
              <w:rPr>
                <w:rFonts w:ascii="Calibri" w:hAnsi="Calibri" w:cs="Calibri"/>
                <w:color w:val="auto"/>
              </w:rPr>
            </w:pPr>
          </w:p>
        </w:tc>
        <w:tc>
          <w:tcPr>
            <w:tcW w:w="1059"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6D44F861" w14:textId="77777777" w:rsidR="00EB6564" w:rsidRDefault="00EB6564" w:rsidP="008B4D97">
            <w:pPr>
              <w:pStyle w:val="06bTABLEHEADERROW"/>
              <w:spacing w:line="240" w:lineRule="auto"/>
              <w:jc w:val="center"/>
            </w:pPr>
            <w:r>
              <w:t>Number of exceedances</w:t>
            </w:r>
          </w:p>
        </w:tc>
        <w:tc>
          <w:tcPr>
            <w:tcW w:w="1060" w:type="dxa"/>
            <w:tcBorders>
              <w:top w:val="single" w:sz="4"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09F9875F" w14:textId="77777777" w:rsidR="00EB6564" w:rsidRDefault="00EB6564" w:rsidP="008B4D97">
            <w:pPr>
              <w:pStyle w:val="06bTABLEHEADERROW"/>
              <w:spacing w:line="240" w:lineRule="auto"/>
              <w:jc w:val="center"/>
            </w:pPr>
            <w:r>
              <w:t>NEPM goal compliance</w:t>
            </w:r>
          </w:p>
        </w:tc>
        <w:tc>
          <w:tcPr>
            <w:tcW w:w="1059" w:type="dxa"/>
            <w:tcBorders>
              <w:top w:val="single" w:sz="4"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44CAEACE" w14:textId="77777777" w:rsidR="00EB6564" w:rsidRDefault="00EB6564" w:rsidP="008B4D97">
            <w:pPr>
              <w:pStyle w:val="06bTABLEHEADERROW"/>
              <w:spacing w:line="240" w:lineRule="auto"/>
              <w:jc w:val="center"/>
            </w:pPr>
            <w:r>
              <w:t>Number of exceedances</w:t>
            </w:r>
          </w:p>
        </w:tc>
        <w:tc>
          <w:tcPr>
            <w:tcW w:w="1060" w:type="dxa"/>
            <w:tcBorders>
              <w:top w:val="single" w:sz="4"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379EA984" w14:textId="77777777" w:rsidR="00EB6564" w:rsidRDefault="00EB6564" w:rsidP="008B4D97">
            <w:pPr>
              <w:pStyle w:val="06bTABLEHEADERROW"/>
              <w:spacing w:line="240" w:lineRule="auto"/>
              <w:jc w:val="center"/>
            </w:pPr>
            <w:r>
              <w:t>NEPM goal compliance</w:t>
            </w:r>
          </w:p>
        </w:tc>
        <w:tc>
          <w:tcPr>
            <w:tcW w:w="1059" w:type="dxa"/>
            <w:tcBorders>
              <w:top w:val="single" w:sz="4"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5CDA0E22" w14:textId="77777777" w:rsidR="00EB6564" w:rsidRDefault="00EB6564" w:rsidP="008B4D97">
            <w:pPr>
              <w:pStyle w:val="06bTABLEHEADERROW"/>
              <w:spacing w:line="240" w:lineRule="auto"/>
              <w:jc w:val="center"/>
            </w:pPr>
            <w:r>
              <w:t>Annual average (ppm)</w:t>
            </w:r>
          </w:p>
        </w:tc>
        <w:tc>
          <w:tcPr>
            <w:tcW w:w="1060" w:type="dxa"/>
            <w:tcBorders>
              <w:top w:val="single" w:sz="4"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345D1EBF" w14:textId="77777777" w:rsidR="00EB6564" w:rsidRDefault="00EB6564" w:rsidP="008B4D97">
            <w:pPr>
              <w:pStyle w:val="06bTABLEHEADERROW"/>
              <w:spacing w:line="240" w:lineRule="auto"/>
              <w:jc w:val="center"/>
            </w:pPr>
            <w:r>
              <w:t>NEPM goal compliance</w:t>
            </w:r>
          </w:p>
        </w:tc>
      </w:tr>
      <w:tr w:rsidR="00EB6564" w14:paraId="7781F9BD" w14:textId="77777777" w:rsidTr="00134EA2">
        <w:trPr>
          <w:gridBefore w:val="1"/>
          <w:gridAfter w:val="1"/>
          <w:wBefore w:w="8" w:type="dxa"/>
          <w:wAfter w:w="7" w:type="dxa"/>
          <w:trHeight w:val="60"/>
        </w:trPr>
        <w:tc>
          <w:tcPr>
            <w:tcW w:w="7417" w:type="dxa"/>
            <w:gridSpan w:val="8"/>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5C45A96F" w14:textId="77777777" w:rsidR="00EB6564" w:rsidRDefault="00EB6564" w:rsidP="008B4D97">
            <w:pPr>
              <w:pStyle w:val="06cTABLETEXT"/>
              <w:keepNext/>
              <w:spacing w:line="240" w:lineRule="auto"/>
            </w:pPr>
            <w:r>
              <w:rPr>
                <w:rStyle w:val="BOLD"/>
              </w:rPr>
              <w:t>Adelaide</w:t>
            </w:r>
          </w:p>
        </w:tc>
      </w:tr>
      <w:tr w:rsidR="00EB6564" w14:paraId="291177EE" w14:textId="77777777" w:rsidTr="00134EA2">
        <w:trPr>
          <w:gridBefore w:val="1"/>
          <w:gridAfter w:val="1"/>
          <w:wBefore w:w="8" w:type="dxa"/>
          <w:wAfter w:w="7" w:type="dxa"/>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056AF83" w14:textId="77777777" w:rsidR="00EB6564" w:rsidRDefault="00EB6564" w:rsidP="008B4D97">
            <w:pPr>
              <w:pStyle w:val="06cTABLETEXT"/>
              <w:keepNext/>
              <w:spacing w:line="240" w:lineRule="auto"/>
            </w:pPr>
            <w:r>
              <w:t>NOR01 – Northfield</w:t>
            </w:r>
          </w:p>
        </w:tc>
        <w:tc>
          <w:tcPr>
            <w:tcW w:w="1059"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28980524"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6B09F3AB" w14:textId="77777777" w:rsidR="00EB6564" w:rsidRDefault="00EB6564" w:rsidP="008B4D97">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77D5CCCC"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601E9AAE" w14:textId="77777777" w:rsidR="00EB6564" w:rsidRDefault="00EB6564" w:rsidP="008B4D97">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1120E6B2" w14:textId="77777777" w:rsidR="00EB6564" w:rsidRDefault="00EB6564" w:rsidP="008B4D97">
            <w:pPr>
              <w:pStyle w:val="06cTABLETEXT"/>
              <w:keepNext/>
              <w:spacing w:line="240" w:lineRule="auto"/>
              <w:jc w:val="center"/>
            </w:pPr>
            <w:r>
              <w:t>0.000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363EFA34" w14:textId="77777777" w:rsidR="00EB6564" w:rsidRDefault="00EB6564" w:rsidP="008B4D97">
            <w:pPr>
              <w:pStyle w:val="06cTABLETEXT"/>
              <w:keepNext/>
              <w:spacing w:line="240" w:lineRule="auto"/>
              <w:jc w:val="center"/>
            </w:pPr>
            <w:r>
              <w:t>Met</w:t>
            </w:r>
          </w:p>
        </w:tc>
      </w:tr>
      <w:tr w:rsidR="00EB6564" w14:paraId="700594CB" w14:textId="77777777" w:rsidTr="00134EA2">
        <w:trPr>
          <w:gridBefore w:val="1"/>
          <w:gridAfter w:val="1"/>
          <w:wBefore w:w="8" w:type="dxa"/>
          <w:wAfter w:w="7" w:type="dxa"/>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E32B38A" w14:textId="77777777" w:rsidR="00EB6564" w:rsidRDefault="00EB6564" w:rsidP="008B4D97">
            <w:pPr>
              <w:pStyle w:val="06cTABLETEXT"/>
              <w:keepNext/>
              <w:spacing w:line="240" w:lineRule="auto"/>
            </w:pPr>
            <w:r>
              <w:t>NHV01 – North Haven</w:t>
            </w:r>
          </w:p>
        </w:tc>
        <w:tc>
          <w:tcPr>
            <w:tcW w:w="1059"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1A1E72F4"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1D2CA880" w14:textId="77777777" w:rsidR="00EB6564" w:rsidRDefault="00EB6564" w:rsidP="008B4D97">
            <w:pPr>
              <w:pStyle w:val="06cTABLETEXT"/>
              <w:keepNext/>
              <w:spacing w:line="240" w:lineRule="auto"/>
              <w:jc w:val="center"/>
            </w:pPr>
            <w:r>
              <w:t>Not Demonstrated*</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5548F045" w14:textId="77777777" w:rsidR="00EB6564" w:rsidRDefault="00EB6564" w:rsidP="008B4D97">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6A3662A0" w14:textId="77777777" w:rsidR="00EB6564" w:rsidRDefault="00EB6564" w:rsidP="008B4D97">
            <w:pPr>
              <w:pStyle w:val="06cTABLETEXT"/>
              <w:keepNext/>
              <w:spacing w:line="240" w:lineRule="auto"/>
              <w:jc w:val="center"/>
            </w:pPr>
            <w:r>
              <w:t>Not Demonstrated*</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437292FB" w14:textId="77777777" w:rsidR="00EB6564" w:rsidRDefault="00EB6564" w:rsidP="008B4D97">
            <w:pPr>
              <w:pStyle w:val="06cTABLETEXT"/>
              <w:keepNext/>
              <w:spacing w:line="240" w:lineRule="auto"/>
              <w:jc w:val="center"/>
            </w:pPr>
            <w:r>
              <w:t>0.000</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1D7D6E85" w14:textId="77777777" w:rsidR="00EB6564" w:rsidRDefault="00EB6564" w:rsidP="008B4D97">
            <w:pPr>
              <w:pStyle w:val="06cTABLETEXT"/>
              <w:keepNext/>
              <w:spacing w:line="240" w:lineRule="auto"/>
              <w:jc w:val="center"/>
            </w:pPr>
            <w:r>
              <w:t>Not Demonstrated*</w:t>
            </w:r>
          </w:p>
        </w:tc>
      </w:tr>
      <w:tr w:rsidR="00EB6564" w14:paraId="3B1399B5" w14:textId="77777777" w:rsidTr="00134EA2">
        <w:trPr>
          <w:gridBefore w:val="1"/>
          <w:gridAfter w:val="1"/>
          <w:wBefore w:w="8" w:type="dxa"/>
          <w:wAfter w:w="7" w:type="dxa"/>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212A1D98" w14:textId="77777777" w:rsidR="00EB6564" w:rsidRDefault="00EB6564" w:rsidP="008B4D97">
            <w:pPr>
              <w:pStyle w:val="06cTABLETEXT"/>
              <w:keepNext/>
              <w:spacing w:line="240" w:lineRule="auto"/>
            </w:pPr>
            <w:r>
              <w:t>Spencer</w:t>
            </w:r>
          </w:p>
        </w:tc>
        <w:tc>
          <w:tcPr>
            <w:tcW w:w="1059"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67BE0EC8" w14:textId="77777777" w:rsidR="00EB6564" w:rsidRDefault="00EB6564" w:rsidP="008B4D97">
            <w:pPr>
              <w:pStyle w:val="NoParagraphStyle"/>
              <w:keepNext/>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014A0233" w14:textId="77777777" w:rsidR="00EB6564" w:rsidRDefault="00EB6564" w:rsidP="008B4D97">
            <w:pPr>
              <w:pStyle w:val="NoParagraphStyle"/>
              <w:keepNext/>
              <w:spacing w:line="240" w:lineRule="auto"/>
              <w:textAlignment w:val="auto"/>
              <w:rPr>
                <w:rFonts w:ascii="Calibri" w:hAnsi="Calibri" w:cs="Calibri"/>
                <w:color w:val="auto"/>
              </w:rPr>
            </w:pP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0F431574" w14:textId="77777777" w:rsidR="00EB6564" w:rsidRDefault="00EB6564" w:rsidP="008B4D97">
            <w:pPr>
              <w:pStyle w:val="NoParagraphStyle"/>
              <w:keepNext/>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1B9ABC17" w14:textId="77777777" w:rsidR="00EB6564" w:rsidRDefault="00EB6564" w:rsidP="008B4D97">
            <w:pPr>
              <w:pStyle w:val="NoParagraphStyle"/>
              <w:keepNext/>
              <w:spacing w:line="240" w:lineRule="auto"/>
              <w:textAlignment w:val="auto"/>
              <w:rPr>
                <w:rFonts w:ascii="Calibri" w:hAnsi="Calibri" w:cs="Calibri"/>
                <w:color w:val="auto"/>
              </w:rPr>
            </w:pP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1A2E7F22" w14:textId="77777777" w:rsidR="00EB6564" w:rsidRDefault="00EB6564" w:rsidP="008B4D97">
            <w:pPr>
              <w:pStyle w:val="NoParagraphStyle"/>
              <w:keepNext/>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04D00319" w14:textId="77777777" w:rsidR="00EB6564" w:rsidRDefault="00EB6564" w:rsidP="008B4D97">
            <w:pPr>
              <w:pStyle w:val="NoParagraphStyle"/>
              <w:keepNext/>
              <w:spacing w:line="240" w:lineRule="auto"/>
              <w:textAlignment w:val="auto"/>
              <w:rPr>
                <w:rFonts w:ascii="Calibri" w:hAnsi="Calibri" w:cs="Calibri"/>
                <w:color w:val="auto"/>
              </w:rPr>
            </w:pPr>
          </w:p>
        </w:tc>
      </w:tr>
      <w:tr w:rsidR="00EB6564" w14:paraId="680B6A9A" w14:textId="77777777" w:rsidTr="00134EA2">
        <w:trPr>
          <w:gridBefore w:val="1"/>
          <w:gridAfter w:val="1"/>
          <w:wBefore w:w="8" w:type="dxa"/>
          <w:wAfter w:w="7" w:type="dxa"/>
          <w:trHeight w:val="60"/>
        </w:trPr>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79FC78C0" w14:textId="77777777" w:rsidR="00EB6564" w:rsidRDefault="00EB6564">
            <w:pPr>
              <w:pStyle w:val="06cTABLETEXT"/>
            </w:pPr>
            <w:r>
              <w:t>PTP01 – Pt Pirie Oliver Street</w:t>
            </w:r>
          </w:p>
        </w:tc>
        <w:tc>
          <w:tcPr>
            <w:tcW w:w="1059" w:type="dxa"/>
            <w:gridSpan w:val="2"/>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65B1448D" w14:textId="77777777" w:rsidR="00EB6564" w:rsidRDefault="00EB6564">
            <w:pPr>
              <w:pStyle w:val="06cTABLETEXT"/>
              <w:jc w:val="center"/>
            </w:pPr>
            <w:r>
              <w:t>21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5C9FB727" w14:textId="77777777" w:rsidR="00EB6564" w:rsidRDefault="00EB6564">
            <w:pPr>
              <w:pStyle w:val="06cTABLETEXT"/>
              <w:jc w:val="center"/>
            </w:pPr>
            <w:r>
              <w:t>Not Met</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76423C84" w14:textId="77777777" w:rsidR="00EB6564" w:rsidRDefault="00EB6564">
            <w:pPr>
              <w:pStyle w:val="06cTABLETEXT"/>
              <w:jc w:val="center"/>
            </w:pPr>
            <w:r>
              <w:t>1</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66187CA0" w14:textId="77777777" w:rsidR="00EB6564" w:rsidRDefault="00EB6564">
            <w:pPr>
              <w:pStyle w:val="06cTABLETEXT"/>
              <w:jc w:val="center"/>
            </w:pPr>
            <w:r>
              <w:t>Not Demonstrated*</w:t>
            </w:r>
          </w:p>
        </w:tc>
        <w:tc>
          <w:tcPr>
            <w:tcW w:w="105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5471FCE3" w14:textId="77777777" w:rsidR="00EB6564" w:rsidRDefault="00EB6564">
            <w:pPr>
              <w:pStyle w:val="06cTABLETEXT"/>
              <w:jc w:val="center"/>
            </w:pPr>
            <w:r>
              <w:t>0.006</w:t>
            </w:r>
          </w:p>
        </w:tc>
        <w:tc>
          <w:tcPr>
            <w:tcW w:w="10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0" w:type="dxa"/>
              <w:bottom w:w="85" w:type="dxa"/>
              <w:right w:w="0" w:type="dxa"/>
            </w:tcMar>
            <w:vAlign w:val="center"/>
          </w:tcPr>
          <w:p w14:paraId="33FF667C" w14:textId="77777777" w:rsidR="00EB6564" w:rsidRDefault="00EB6564">
            <w:pPr>
              <w:pStyle w:val="06cTABLETEXT"/>
              <w:jc w:val="center"/>
            </w:pPr>
            <w:r>
              <w:t>Not Demonstrated*</w:t>
            </w:r>
          </w:p>
        </w:tc>
      </w:tr>
    </w:tbl>
    <w:p w14:paraId="034D44C9" w14:textId="77777777" w:rsidR="00EB6564" w:rsidRDefault="00EB6564" w:rsidP="00EB6564">
      <w:pPr>
        <w:pStyle w:val="07FOOTNOTES"/>
      </w:pPr>
      <w:r>
        <w:t>*</w:t>
      </w:r>
      <w:r>
        <w:tab/>
        <w:t>Insufficient data to demonstrate compliance, data availability was less than 75% in one or more quarters during 2018</w:t>
      </w: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2404FD06" w14:textId="77777777" w:rsidTr="00134EA2">
        <w:trPr>
          <w:trHeight w:val="60"/>
          <w:tblHeader/>
        </w:trPr>
        <w:tc>
          <w:tcPr>
            <w:tcW w:w="1701" w:type="dxa"/>
            <w:vMerge w:val="restart"/>
            <w:tcMar>
              <w:top w:w="85" w:type="dxa"/>
              <w:left w:w="85" w:type="dxa"/>
              <w:bottom w:w="85" w:type="dxa"/>
              <w:right w:w="85" w:type="dxa"/>
            </w:tcMar>
          </w:tcPr>
          <w:p w14:paraId="358752FE" w14:textId="77777777" w:rsidR="00EB6564" w:rsidRDefault="00EB6564" w:rsidP="00134EA2">
            <w:pPr>
              <w:pStyle w:val="CHEMICALCHEMTABLES"/>
              <w:spacing w:after="0" w:line="240" w:lineRule="auto"/>
            </w:pPr>
            <w:r>
              <w:t>Pb</w:t>
            </w:r>
          </w:p>
        </w:tc>
        <w:tc>
          <w:tcPr>
            <w:tcW w:w="5731" w:type="dxa"/>
            <w:tcMar>
              <w:top w:w="85" w:type="dxa"/>
              <w:left w:w="85" w:type="dxa"/>
              <w:bottom w:w="85" w:type="dxa"/>
              <w:right w:w="85" w:type="dxa"/>
            </w:tcMar>
          </w:tcPr>
          <w:p w14:paraId="238798FE" w14:textId="77777777" w:rsidR="00EB6564" w:rsidRDefault="00EB6564" w:rsidP="00134EA2">
            <w:pPr>
              <w:pStyle w:val="CHEMICALfullnameCHEMTABLES"/>
              <w:spacing w:after="0" w:line="240" w:lineRule="auto"/>
            </w:pPr>
            <w:r>
              <w:t>Lead</w:t>
            </w:r>
          </w:p>
        </w:tc>
      </w:tr>
      <w:tr w:rsidR="00EB6564" w14:paraId="264579F3" w14:textId="77777777" w:rsidTr="00134EA2">
        <w:trPr>
          <w:trHeight w:val="60"/>
          <w:tblHeader/>
        </w:trPr>
        <w:tc>
          <w:tcPr>
            <w:tcW w:w="1701" w:type="dxa"/>
            <w:vMerge/>
          </w:tcPr>
          <w:p w14:paraId="6E6BA439"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3287FEC4" w14:textId="77777777" w:rsidR="00EB6564" w:rsidRDefault="00EB6564" w:rsidP="00134EA2">
            <w:pPr>
              <w:pStyle w:val="NEPMstandardCHEMTABLES"/>
              <w:spacing w:after="0" w:line="240" w:lineRule="auto"/>
            </w:pPr>
            <w:r>
              <w:t>(NEPM standard 1 year = 0.50µg/m</w:t>
            </w:r>
            <w:r>
              <w:rPr>
                <w:vertAlign w:val="superscript"/>
              </w:rPr>
              <w:t>3</w:t>
            </w:r>
            <w:r>
              <w:t>)</w:t>
            </w:r>
          </w:p>
        </w:tc>
      </w:tr>
      <w:tr w:rsidR="00EB6564" w14:paraId="3A950107" w14:textId="77777777" w:rsidTr="00134EA2">
        <w:trPr>
          <w:trHeight w:hRule="exact" w:val="113"/>
        </w:trPr>
        <w:tc>
          <w:tcPr>
            <w:tcW w:w="1701" w:type="dxa"/>
            <w:tcMar>
              <w:top w:w="85" w:type="dxa"/>
              <w:left w:w="85" w:type="dxa"/>
              <w:bottom w:w="85" w:type="dxa"/>
              <w:right w:w="85" w:type="dxa"/>
            </w:tcMar>
          </w:tcPr>
          <w:p w14:paraId="52642376"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6B14AF2" w14:textId="77777777" w:rsidR="00EB6564" w:rsidRDefault="00EB6564" w:rsidP="00134EA2">
            <w:pPr>
              <w:pStyle w:val="NoParagraphStyle"/>
              <w:spacing w:line="240" w:lineRule="auto"/>
              <w:textAlignment w:val="auto"/>
              <w:rPr>
                <w:rFonts w:ascii="Calibri" w:hAnsi="Calibri" w:cs="Calibri"/>
                <w:color w:val="auto"/>
              </w:rPr>
            </w:pPr>
          </w:p>
        </w:tc>
      </w:tr>
    </w:tbl>
    <w:p w14:paraId="01553E97"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2472"/>
        <w:gridCol w:w="2473"/>
        <w:gridCol w:w="2472"/>
      </w:tblGrid>
      <w:tr w:rsidR="00EB6564" w14:paraId="2BCEB461" w14:textId="77777777" w:rsidTr="00134EA2">
        <w:trPr>
          <w:trHeight w:val="60"/>
          <w:tblHeader/>
        </w:trPr>
        <w:tc>
          <w:tcPr>
            <w:tcW w:w="2472"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E4EE08D" w14:textId="77777777" w:rsidR="00EB6564" w:rsidRDefault="00EB6564">
            <w:pPr>
              <w:pStyle w:val="06bTABLEHEADERROW"/>
            </w:pPr>
            <w:r>
              <w:t>Station</w:t>
            </w:r>
          </w:p>
        </w:tc>
        <w:tc>
          <w:tcPr>
            <w:tcW w:w="247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30955D1" w14:textId="77777777" w:rsidR="00EB6564" w:rsidRDefault="00EB6564">
            <w:pPr>
              <w:pStyle w:val="06bTABLEHEADERROW"/>
              <w:jc w:val="center"/>
            </w:pPr>
            <w:r>
              <w:t>Annual average (µg/m</w:t>
            </w:r>
            <w:r>
              <w:rPr>
                <w:vertAlign w:val="superscript"/>
              </w:rPr>
              <w:t>3</w:t>
            </w:r>
            <w:r>
              <w:t>)</w:t>
            </w:r>
          </w:p>
        </w:tc>
        <w:tc>
          <w:tcPr>
            <w:tcW w:w="2472"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82E1B00" w14:textId="77777777" w:rsidR="00EB6564" w:rsidRDefault="00EB6564">
            <w:pPr>
              <w:pStyle w:val="06bTABLEHEADERROW"/>
              <w:jc w:val="center"/>
            </w:pPr>
            <w:r>
              <w:t>NEPM goal compliance</w:t>
            </w:r>
          </w:p>
        </w:tc>
      </w:tr>
      <w:tr w:rsidR="00EB6564" w14:paraId="4F828BD8" w14:textId="77777777" w:rsidTr="00134EA2">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33EABDDD" w14:textId="77777777" w:rsidR="00EB6564" w:rsidRDefault="00EB6564">
            <w:pPr>
              <w:pStyle w:val="06cTABLETEXT"/>
            </w:pPr>
            <w:r>
              <w:rPr>
                <w:rStyle w:val="BOLD"/>
              </w:rPr>
              <w:t>Spencer</w:t>
            </w:r>
          </w:p>
        </w:tc>
      </w:tr>
      <w:tr w:rsidR="00EB6564" w14:paraId="725ECD06" w14:textId="77777777" w:rsidTr="00134EA2">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5E3BBF06" w14:textId="77777777" w:rsidR="00EB6564" w:rsidRDefault="00EB6564">
            <w:pPr>
              <w:pStyle w:val="06cTABLETEXT"/>
            </w:pPr>
            <w:r>
              <w:t>PTP05 – Pt Pirie Frank Green Park</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51C360D" w14:textId="77777777" w:rsidR="00EB6564" w:rsidRDefault="00EB6564">
            <w:pPr>
              <w:pStyle w:val="06cTABLETEXT"/>
              <w:jc w:val="center"/>
            </w:pPr>
            <w:r>
              <w:t>0.27</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65267A4" w14:textId="77777777" w:rsidR="00EB6564" w:rsidRDefault="00EB6564">
            <w:pPr>
              <w:pStyle w:val="06cTABLETEXT"/>
              <w:jc w:val="center"/>
            </w:pPr>
            <w:r>
              <w:t>Met</w:t>
            </w:r>
          </w:p>
        </w:tc>
      </w:tr>
      <w:tr w:rsidR="00EB6564" w14:paraId="60C2FEBF" w14:textId="77777777" w:rsidTr="00134EA2">
        <w:trPr>
          <w:trHeight w:val="60"/>
        </w:trPr>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9EC6634" w14:textId="77777777" w:rsidR="00EB6564" w:rsidRDefault="00EB6564">
            <w:pPr>
              <w:pStyle w:val="06cTABLETEXT"/>
            </w:pPr>
            <w:r>
              <w:t>PTP05 – Pt Pirie Oliver Street</w:t>
            </w:r>
          </w:p>
        </w:tc>
        <w:tc>
          <w:tcPr>
            <w:tcW w:w="247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3D1998A8" w14:textId="77777777" w:rsidR="00EB6564" w:rsidRDefault="00EB6564">
            <w:pPr>
              <w:pStyle w:val="06cTABLETEXT"/>
              <w:jc w:val="center"/>
            </w:pPr>
            <w:r>
              <w:t>0.54</w:t>
            </w:r>
          </w:p>
        </w:tc>
        <w:tc>
          <w:tcPr>
            <w:tcW w:w="24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vAlign w:val="center"/>
          </w:tcPr>
          <w:p w14:paraId="1A022E9D" w14:textId="77777777" w:rsidR="00EB6564" w:rsidRDefault="00EB6564">
            <w:pPr>
              <w:pStyle w:val="06cTABLETEXT"/>
              <w:jc w:val="center"/>
            </w:pPr>
            <w:r>
              <w:t>Not Met</w:t>
            </w:r>
          </w:p>
        </w:tc>
      </w:tr>
    </w:tbl>
    <w:p w14:paraId="33B3CAB1" w14:textId="23E4EE6D" w:rsidR="00134EA2" w:rsidRDefault="00134EA2" w:rsidP="00EB6564">
      <w:pPr>
        <w:pStyle w:val="05BODYTEXT"/>
      </w:pPr>
    </w:p>
    <w:p w14:paraId="209B8179" w14:textId="77777777" w:rsidR="00134EA2" w:rsidRDefault="00134EA2">
      <w:pPr>
        <w:rPr>
          <w:rFonts w:ascii="Calibri" w:hAnsi="Calibri" w:cs="Calibri"/>
          <w:color w:val="000000"/>
          <w:sz w:val="16"/>
          <w:szCs w:val="16"/>
        </w:rPr>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1715"/>
        <w:gridCol w:w="5731"/>
      </w:tblGrid>
      <w:tr w:rsidR="00EB6564" w14:paraId="12647A82" w14:textId="77777777" w:rsidTr="00134EA2">
        <w:trPr>
          <w:trHeight w:val="60"/>
          <w:tblHeader/>
        </w:trPr>
        <w:tc>
          <w:tcPr>
            <w:tcW w:w="1715" w:type="dxa"/>
            <w:vMerge w:val="restart"/>
            <w:tcMar>
              <w:top w:w="85" w:type="dxa"/>
              <w:left w:w="85" w:type="dxa"/>
              <w:bottom w:w="85" w:type="dxa"/>
              <w:right w:w="85" w:type="dxa"/>
            </w:tcMar>
          </w:tcPr>
          <w:p w14:paraId="587ECCAF" w14:textId="77777777" w:rsidR="00EB6564" w:rsidRDefault="00EB6564" w:rsidP="00134EA2">
            <w:pPr>
              <w:pStyle w:val="CHEMICALCHEMTABLES"/>
              <w:keepNext/>
              <w:spacing w:after="0" w:line="240" w:lineRule="auto"/>
            </w:pPr>
            <w:r>
              <w:lastRenderedPageBreak/>
              <w:t>PM</w:t>
            </w:r>
            <w:r>
              <w:rPr>
                <w:vertAlign w:val="subscript"/>
              </w:rPr>
              <w:t>10</w:t>
            </w:r>
          </w:p>
        </w:tc>
        <w:tc>
          <w:tcPr>
            <w:tcW w:w="5731" w:type="dxa"/>
            <w:tcMar>
              <w:top w:w="85" w:type="dxa"/>
              <w:left w:w="85" w:type="dxa"/>
              <w:bottom w:w="85" w:type="dxa"/>
              <w:right w:w="85" w:type="dxa"/>
            </w:tcMar>
          </w:tcPr>
          <w:p w14:paraId="137F36C2" w14:textId="77777777" w:rsidR="00EB6564" w:rsidRDefault="00EB6564" w:rsidP="00134EA2">
            <w:pPr>
              <w:pStyle w:val="CHEMICALfullnameCHEMTABLES"/>
              <w:keepNext/>
              <w:spacing w:after="0" w:line="240" w:lineRule="auto"/>
            </w:pPr>
            <w:r>
              <w:t>Particles as PM</w:t>
            </w:r>
            <w:r>
              <w:rPr>
                <w:vertAlign w:val="subscript"/>
              </w:rPr>
              <w:t>10</w:t>
            </w:r>
          </w:p>
        </w:tc>
      </w:tr>
      <w:tr w:rsidR="00EB6564" w14:paraId="53101C66" w14:textId="77777777" w:rsidTr="00134EA2">
        <w:trPr>
          <w:trHeight w:val="60"/>
          <w:tblHeader/>
        </w:trPr>
        <w:tc>
          <w:tcPr>
            <w:tcW w:w="1715" w:type="dxa"/>
            <w:vMerge/>
          </w:tcPr>
          <w:p w14:paraId="33BC9263"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448AC8A" w14:textId="77777777" w:rsidR="00EB6564" w:rsidRDefault="00EB6564" w:rsidP="00134EA2">
            <w:pPr>
              <w:pStyle w:val="NEPMstandardCHEMTABLES"/>
              <w:keepNext/>
              <w:spacing w:after="0" w:line="240" w:lineRule="auto"/>
            </w:pPr>
            <w:r>
              <w:t>(NEPM standard 1 day = 50µg/m</w:t>
            </w:r>
            <w:r>
              <w:rPr>
                <w:vertAlign w:val="superscript"/>
              </w:rPr>
              <w:t>3</w:t>
            </w:r>
            <w:r>
              <w:t>, 1 year = 25µg/m</w:t>
            </w:r>
            <w:r>
              <w:rPr>
                <w:vertAlign w:val="superscript"/>
              </w:rPr>
              <w:t>3</w:t>
            </w:r>
            <w:r>
              <w:t>)</w:t>
            </w:r>
          </w:p>
        </w:tc>
      </w:tr>
      <w:tr w:rsidR="00EB6564" w14:paraId="1E00F991" w14:textId="77777777" w:rsidTr="00134EA2">
        <w:trPr>
          <w:trHeight w:hRule="exact" w:val="113"/>
        </w:trPr>
        <w:tc>
          <w:tcPr>
            <w:tcW w:w="1715" w:type="dxa"/>
            <w:tcMar>
              <w:top w:w="85" w:type="dxa"/>
              <w:left w:w="85" w:type="dxa"/>
              <w:bottom w:w="85" w:type="dxa"/>
              <w:right w:w="85" w:type="dxa"/>
            </w:tcMar>
          </w:tcPr>
          <w:p w14:paraId="2C1E4EF8"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21C858BC" w14:textId="77777777" w:rsidR="00EB6564" w:rsidRDefault="00EB6564" w:rsidP="00134EA2">
            <w:pPr>
              <w:pStyle w:val="NoParagraphStyle"/>
              <w:keepNext/>
              <w:spacing w:line="240" w:lineRule="auto"/>
              <w:textAlignment w:val="auto"/>
              <w:rPr>
                <w:rFonts w:ascii="Calibri" w:hAnsi="Calibri" w:cs="Calibri"/>
                <w:color w:val="auto"/>
              </w:rPr>
            </w:pPr>
          </w:p>
        </w:tc>
      </w:tr>
    </w:tbl>
    <w:p w14:paraId="2672FE47" w14:textId="77777777" w:rsidR="00EB6564" w:rsidRDefault="00EB6564" w:rsidP="002A5286">
      <w:pPr>
        <w:pStyle w:val="05BODYTEXT"/>
        <w:keepN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1483"/>
        <w:gridCol w:w="1484"/>
        <w:gridCol w:w="1483"/>
        <w:gridCol w:w="1483"/>
        <w:gridCol w:w="1484"/>
      </w:tblGrid>
      <w:tr w:rsidR="00EB6564" w14:paraId="3D54FE1D" w14:textId="77777777">
        <w:trPr>
          <w:trHeight w:val="6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491B207" w14:textId="77777777" w:rsidR="00EB6564" w:rsidRDefault="00EB6564" w:rsidP="002A5286">
            <w:pPr>
              <w:pStyle w:val="06bTABLEHEADERROW"/>
              <w:spacing w:line="240" w:lineRule="auto"/>
            </w:pPr>
            <w:r>
              <w:t>Station</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4676DEB" w14:textId="77777777" w:rsidR="00EB6564" w:rsidRDefault="00EB6564" w:rsidP="002A5286">
            <w:pPr>
              <w:pStyle w:val="06bTABLEHEADERROW"/>
              <w:spacing w:line="240" w:lineRule="auto"/>
              <w:jc w:val="center"/>
            </w:pPr>
            <w:r>
              <w:t>1 day</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EF08CC4" w14:textId="77777777" w:rsidR="00EB6564" w:rsidRDefault="00EB6564" w:rsidP="002A5286">
            <w:pPr>
              <w:pStyle w:val="06bTABLEHEADERROW"/>
              <w:spacing w:line="240" w:lineRule="auto"/>
              <w:jc w:val="center"/>
            </w:pPr>
            <w:r>
              <w:t>1 year</w:t>
            </w:r>
          </w:p>
        </w:tc>
      </w:tr>
      <w:tr w:rsidR="00EB6564" w14:paraId="463F6012" w14:textId="77777777">
        <w:trPr>
          <w:trHeight w:val="60"/>
          <w:tblHeader/>
        </w:trPr>
        <w:tc>
          <w:tcPr>
            <w:tcW w:w="1483" w:type="dxa"/>
            <w:vMerge/>
            <w:tcBorders>
              <w:top w:val="single" w:sz="8" w:space="0" w:color="FFFFFF"/>
              <w:left w:val="single" w:sz="4" w:space="0" w:color="FFFFFF"/>
              <w:bottom w:val="single" w:sz="8" w:space="0" w:color="FFFFFF"/>
              <w:right w:val="single" w:sz="4" w:space="0" w:color="FFFFFF"/>
            </w:tcBorders>
          </w:tcPr>
          <w:p w14:paraId="00A5803F" w14:textId="77777777" w:rsidR="00EB6564" w:rsidRDefault="00EB6564" w:rsidP="002A5286">
            <w:pPr>
              <w:pStyle w:val="NoParagraphStyle"/>
              <w:keepNext/>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8359EF7" w14:textId="77777777" w:rsidR="00EB6564" w:rsidRDefault="00EB6564" w:rsidP="002A5286">
            <w:pPr>
              <w:pStyle w:val="06bTABLEHEADERROW"/>
              <w:spacing w:line="240" w:lineRule="auto"/>
              <w:jc w:val="center"/>
            </w:pPr>
            <w:r>
              <w:t>Number of exceedances</w:t>
            </w:r>
          </w:p>
        </w:tc>
        <w:tc>
          <w:tcPr>
            <w:tcW w:w="148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C205EC4" w14:textId="77777777" w:rsidR="00EB6564" w:rsidRDefault="00EB6564" w:rsidP="002A5286">
            <w:pPr>
              <w:pStyle w:val="06bTABLEHEADERROW"/>
              <w:spacing w:line="240" w:lineRule="auto"/>
              <w:jc w:val="center"/>
            </w:pPr>
            <w:r>
              <w:t>NEPM goal compliance</w:t>
            </w:r>
          </w:p>
        </w:tc>
        <w:tc>
          <w:tcPr>
            <w:tcW w:w="148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0E0863B" w14:textId="77777777" w:rsidR="00EB6564" w:rsidRDefault="00EB6564" w:rsidP="002A5286">
            <w:pPr>
              <w:pStyle w:val="06bTABLEHEADERROW"/>
              <w:spacing w:line="240" w:lineRule="auto"/>
              <w:jc w:val="center"/>
            </w:pPr>
            <w:r>
              <w:t>Annual average (µg/m</w:t>
            </w:r>
            <w:r>
              <w:rPr>
                <w:vertAlign w:val="superscript"/>
              </w:rPr>
              <w:t>3</w:t>
            </w:r>
            <w:r>
              <w:t>)</w:t>
            </w:r>
          </w:p>
        </w:tc>
        <w:tc>
          <w:tcPr>
            <w:tcW w:w="148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08A572E" w14:textId="77777777" w:rsidR="00EB6564" w:rsidRDefault="00EB6564" w:rsidP="002A5286">
            <w:pPr>
              <w:pStyle w:val="06bTABLEHEADERROW"/>
              <w:spacing w:line="240" w:lineRule="auto"/>
              <w:jc w:val="center"/>
            </w:pPr>
            <w:r>
              <w:t>NEPM goal compliance</w:t>
            </w:r>
          </w:p>
        </w:tc>
      </w:tr>
      <w:tr w:rsidR="00EB6564" w14:paraId="3713A474"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555CA6" w14:textId="77777777" w:rsidR="00EB6564" w:rsidRPr="00134EA2" w:rsidRDefault="00EB6564" w:rsidP="002A5286">
            <w:pPr>
              <w:pStyle w:val="06cTABLETEXT"/>
              <w:keepNext/>
              <w:spacing w:line="240" w:lineRule="auto"/>
              <w:rPr>
                <w:b/>
                <w:bCs/>
              </w:rPr>
            </w:pPr>
            <w:r w:rsidRPr="00134EA2">
              <w:rPr>
                <w:b/>
                <w:bCs/>
              </w:rPr>
              <w:t>Adelaide</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DCFF211" w14:textId="77777777" w:rsidR="00EB6564" w:rsidRDefault="00EB6564" w:rsidP="002A5286">
            <w:pPr>
              <w:pStyle w:val="NoParagraphStyle"/>
              <w:keepNext/>
              <w:spacing w:line="240" w:lineRule="auto"/>
              <w:textAlignment w:val="auto"/>
              <w:rPr>
                <w:rFonts w:ascii="Calibri" w:hAnsi="Calibri" w:cs="Calibri"/>
                <w:color w:val="auto"/>
              </w:rPr>
            </w:pP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8664FF" w14:textId="77777777" w:rsidR="00EB6564" w:rsidRDefault="00EB6564" w:rsidP="002A5286">
            <w:pPr>
              <w:pStyle w:val="NoParagraphStyle"/>
              <w:keepNext/>
              <w:spacing w:line="240" w:lineRule="auto"/>
              <w:textAlignment w:val="auto"/>
              <w:rPr>
                <w:rFonts w:ascii="Calibri" w:hAnsi="Calibri" w:cs="Calibri"/>
                <w:color w:val="auto"/>
              </w:rPr>
            </w:pP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7DD56E9" w14:textId="77777777" w:rsidR="00EB6564" w:rsidRDefault="00EB6564" w:rsidP="002A5286">
            <w:pPr>
              <w:pStyle w:val="NoParagraphStyle"/>
              <w:keepNext/>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5C2567" w14:textId="77777777" w:rsidR="00EB6564" w:rsidRDefault="00EB6564" w:rsidP="002A5286">
            <w:pPr>
              <w:pStyle w:val="NoParagraphStyle"/>
              <w:keepNext/>
              <w:spacing w:line="240" w:lineRule="auto"/>
              <w:textAlignment w:val="auto"/>
              <w:rPr>
                <w:rFonts w:ascii="Calibri" w:hAnsi="Calibri" w:cs="Calibri"/>
                <w:color w:val="auto"/>
              </w:rPr>
            </w:pPr>
          </w:p>
        </w:tc>
      </w:tr>
      <w:tr w:rsidR="00EB6564" w14:paraId="07C96BBF"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798CD49" w14:textId="77777777" w:rsidR="00EB6564" w:rsidRDefault="00EB6564" w:rsidP="002A5286">
            <w:pPr>
              <w:pStyle w:val="06cTABLETEXT"/>
              <w:keepNext/>
              <w:spacing w:line="240" w:lineRule="auto"/>
            </w:pPr>
            <w:r>
              <w:t>CHD01 – Christie Downs</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082684" w14:textId="77777777" w:rsidR="00EB6564" w:rsidRDefault="00EB6564" w:rsidP="002A5286">
            <w:pPr>
              <w:pStyle w:val="06cTABLETEXT"/>
              <w:keepNext/>
              <w:spacing w:line="240" w:lineRule="auto"/>
              <w:jc w:val="center"/>
            </w:pPr>
            <w:r>
              <w:t>4</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FBA43E3" w14:textId="77777777" w:rsidR="00EB6564" w:rsidRDefault="00EB6564" w:rsidP="002A5286">
            <w:pPr>
              <w:pStyle w:val="06cTABLETEXT"/>
              <w:keepNext/>
              <w:spacing w:line="240" w:lineRule="auto"/>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CB1C35" w14:textId="77777777" w:rsidR="00EB6564" w:rsidRDefault="00EB6564" w:rsidP="002A5286">
            <w:pPr>
              <w:pStyle w:val="06cTABLETEXT"/>
              <w:keepNext/>
              <w:spacing w:line="240" w:lineRule="auto"/>
              <w:jc w:val="center"/>
            </w:pPr>
            <w:r>
              <w:t>17.5</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605CE54" w14:textId="77777777" w:rsidR="00EB6564" w:rsidRDefault="00EB6564" w:rsidP="002A5286">
            <w:pPr>
              <w:pStyle w:val="06cTABLETEXT"/>
              <w:keepNext/>
              <w:spacing w:line="240" w:lineRule="auto"/>
              <w:jc w:val="center"/>
            </w:pPr>
            <w:r>
              <w:t>Met</w:t>
            </w:r>
          </w:p>
        </w:tc>
      </w:tr>
      <w:tr w:rsidR="00EB6564" w14:paraId="726423F2"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374232" w14:textId="77777777" w:rsidR="00EB6564" w:rsidRDefault="00EB6564" w:rsidP="002A5286">
            <w:pPr>
              <w:pStyle w:val="06cTABLETEXT"/>
              <w:keepNext/>
              <w:spacing w:line="240" w:lineRule="auto"/>
            </w:pPr>
            <w:r>
              <w:t>ELI01 – Elizabeth Downs</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3F360C4" w14:textId="77777777" w:rsidR="00EB6564" w:rsidRDefault="00EB6564" w:rsidP="002A5286">
            <w:pPr>
              <w:pStyle w:val="06cTABLETEXT"/>
              <w:keepNext/>
              <w:spacing w:line="240" w:lineRule="auto"/>
              <w:jc w:val="center"/>
            </w:pPr>
            <w:r>
              <w:t>3</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AD4088E" w14:textId="77777777" w:rsidR="00EB6564" w:rsidRDefault="00EB6564" w:rsidP="002A5286">
            <w:pPr>
              <w:pStyle w:val="06cTABLETEXT"/>
              <w:keepNext/>
              <w:spacing w:line="240" w:lineRule="auto"/>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359291E" w14:textId="77777777" w:rsidR="00EB6564" w:rsidRDefault="00EB6564" w:rsidP="002A5286">
            <w:pPr>
              <w:pStyle w:val="06cTABLETEXT"/>
              <w:keepNext/>
              <w:spacing w:line="240" w:lineRule="auto"/>
              <w:jc w:val="center"/>
            </w:pPr>
            <w:r>
              <w:t>16.4</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E8B55B6" w14:textId="77777777" w:rsidR="00EB6564" w:rsidRDefault="00EB6564" w:rsidP="002A5286">
            <w:pPr>
              <w:pStyle w:val="06cTABLETEXT"/>
              <w:keepNext/>
              <w:spacing w:line="240" w:lineRule="auto"/>
              <w:jc w:val="center"/>
            </w:pPr>
            <w:r>
              <w:t>Not Demonstrated*</w:t>
            </w:r>
          </w:p>
        </w:tc>
      </w:tr>
      <w:tr w:rsidR="00EB6564" w14:paraId="71EF157B"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6C3EC6F" w14:textId="77777777" w:rsidR="00EB6564" w:rsidRDefault="00EB6564" w:rsidP="002A5286">
            <w:pPr>
              <w:pStyle w:val="06cTABLETEXT"/>
              <w:keepNext/>
              <w:spacing w:line="240" w:lineRule="auto"/>
            </w:pPr>
            <w:r>
              <w:t>KEN01 – Kensington Gardens</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5218FF" w14:textId="77777777" w:rsidR="00EB6564" w:rsidRDefault="00EB6564" w:rsidP="002A5286">
            <w:pPr>
              <w:pStyle w:val="06cTABLETEXT"/>
              <w:keepNext/>
              <w:spacing w:line="240" w:lineRule="auto"/>
              <w:jc w:val="center"/>
            </w:pPr>
            <w:r>
              <w:t>3</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95AABA" w14:textId="77777777" w:rsidR="00EB6564" w:rsidRDefault="00EB6564" w:rsidP="002A5286">
            <w:pPr>
              <w:pStyle w:val="06cTABLETEXT"/>
              <w:keepNext/>
              <w:spacing w:line="240" w:lineRule="auto"/>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C39555" w14:textId="77777777" w:rsidR="00EB6564" w:rsidRDefault="00EB6564" w:rsidP="002A5286">
            <w:pPr>
              <w:pStyle w:val="06cTABLETEXT"/>
              <w:keepNext/>
              <w:spacing w:line="240" w:lineRule="auto"/>
              <w:jc w:val="center"/>
            </w:pPr>
            <w:r>
              <w:t>14.2</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44D012" w14:textId="77777777" w:rsidR="00EB6564" w:rsidRDefault="00EB6564" w:rsidP="002A5286">
            <w:pPr>
              <w:pStyle w:val="06cTABLETEXT"/>
              <w:keepNext/>
              <w:spacing w:line="240" w:lineRule="auto"/>
              <w:jc w:val="center"/>
            </w:pPr>
            <w:r>
              <w:t>Met</w:t>
            </w:r>
          </w:p>
        </w:tc>
      </w:tr>
      <w:tr w:rsidR="00EB6564" w14:paraId="72B98E72"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1812CE" w14:textId="77777777" w:rsidR="00EB6564" w:rsidRDefault="00EB6564" w:rsidP="002A5286">
            <w:pPr>
              <w:pStyle w:val="06cTABLETEXT"/>
              <w:keepNext/>
              <w:spacing w:line="240" w:lineRule="auto"/>
            </w:pPr>
            <w:r>
              <w:t>NET01 – Netley</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96643E" w14:textId="77777777" w:rsidR="00EB6564" w:rsidRDefault="00EB6564" w:rsidP="002A5286">
            <w:pPr>
              <w:pStyle w:val="06cTABLETEXT"/>
              <w:keepNext/>
              <w:spacing w:line="240" w:lineRule="auto"/>
              <w:jc w:val="center"/>
            </w:pPr>
            <w:r>
              <w:t>4</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907EA9" w14:textId="77777777" w:rsidR="00EB6564" w:rsidRDefault="00EB6564" w:rsidP="002A5286">
            <w:pPr>
              <w:pStyle w:val="06cTABLETEXT"/>
              <w:keepNext/>
              <w:spacing w:line="240" w:lineRule="auto"/>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857CE98" w14:textId="77777777" w:rsidR="00EB6564" w:rsidRDefault="00EB6564" w:rsidP="002A5286">
            <w:pPr>
              <w:pStyle w:val="06cTABLETEXT"/>
              <w:keepNext/>
              <w:spacing w:line="240" w:lineRule="auto"/>
              <w:jc w:val="center"/>
            </w:pPr>
            <w:r>
              <w:t>25.4</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9D75B5" w14:textId="77777777" w:rsidR="00EB6564" w:rsidRDefault="00EB6564" w:rsidP="002A5286">
            <w:pPr>
              <w:pStyle w:val="06cTABLETEXT"/>
              <w:keepNext/>
              <w:spacing w:line="240" w:lineRule="auto"/>
              <w:jc w:val="center"/>
            </w:pPr>
            <w:r>
              <w:t>Not Met</w:t>
            </w:r>
          </w:p>
        </w:tc>
      </w:tr>
      <w:tr w:rsidR="00EB6564" w14:paraId="302C152C"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39AA89E" w14:textId="77777777" w:rsidR="00EB6564" w:rsidRDefault="00EB6564" w:rsidP="002A5286">
            <w:pPr>
              <w:pStyle w:val="06cTABLETEXT"/>
              <w:keepNext/>
              <w:spacing w:line="240" w:lineRule="auto"/>
            </w:pPr>
            <w:r>
              <w:t>NHV01 – North Haven</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43A351" w14:textId="77777777" w:rsidR="00EB6564" w:rsidRDefault="00EB6564" w:rsidP="002A5286">
            <w:pPr>
              <w:pStyle w:val="06cTABLETEXT"/>
              <w:keepNext/>
              <w:spacing w:line="240" w:lineRule="auto"/>
              <w:jc w:val="center"/>
            </w:pPr>
            <w:r>
              <w:t>3</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DD462D" w14:textId="77777777" w:rsidR="00EB6564" w:rsidRDefault="00EB6564" w:rsidP="002A5286">
            <w:pPr>
              <w:pStyle w:val="06cTABLETEXT"/>
              <w:keepNext/>
              <w:spacing w:line="240" w:lineRule="auto"/>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3D9E79E" w14:textId="77777777" w:rsidR="00EB6564" w:rsidRDefault="00EB6564" w:rsidP="002A5286">
            <w:pPr>
              <w:pStyle w:val="06cTABLETEXT"/>
              <w:keepNext/>
              <w:spacing w:line="240" w:lineRule="auto"/>
              <w:jc w:val="center"/>
            </w:pPr>
            <w:r>
              <w:t>21.2</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9765E0" w14:textId="77777777" w:rsidR="00EB6564" w:rsidRDefault="00EB6564" w:rsidP="002A5286">
            <w:pPr>
              <w:pStyle w:val="06cTABLETEXT"/>
              <w:keepNext/>
              <w:spacing w:line="240" w:lineRule="auto"/>
              <w:jc w:val="center"/>
            </w:pPr>
            <w:r>
              <w:t>Not Demonstrated*</w:t>
            </w:r>
          </w:p>
        </w:tc>
      </w:tr>
      <w:tr w:rsidR="00EB6564" w14:paraId="0202EB1A"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3507D0" w14:textId="77777777" w:rsidR="00EB6564" w:rsidRPr="00134EA2" w:rsidRDefault="00EB6564">
            <w:pPr>
              <w:pStyle w:val="06cTABLETEXT"/>
              <w:rPr>
                <w:b/>
                <w:bCs/>
              </w:rPr>
            </w:pPr>
            <w:r w:rsidRPr="00134EA2">
              <w:rPr>
                <w:b/>
                <w:bCs/>
              </w:rPr>
              <w:t>Spencer</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B796D55" w14:textId="77777777" w:rsidR="00EB6564" w:rsidRDefault="00EB6564">
            <w:pPr>
              <w:pStyle w:val="NoParagraphStyle"/>
              <w:spacing w:line="240" w:lineRule="auto"/>
              <w:textAlignment w:val="auto"/>
              <w:rPr>
                <w:rFonts w:ascii="Calibri" w:hAnsi="Calibri" w:cs="Calibri"/>
                <w:color w:val="auto"/>
              </w:rPr>
            </w:pP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C644D9D" w14:textId="77777777" w:rsidR="00EB6564" w:rsidRDefault="00EB6564">
            <w:pPr>
              <w:pStyle w:val="NoParagraphStyle"/>
              <w:spacing w:line="240" w:lineRule="auto"/>
              <w:textAlignment w:val="auto"/>
              <w:rPr>
                <w:rFonts w:ascii="Calibri" w:hAnsi="Calibri" w:cs="Calibri"/>
                <w:color w:val="auto"/>
              </w:rPr>
            </w:pP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F0263EB" w14:textId="77777777" w:rsidR="00EB6564" w:rsidRDefault="00EB6564">
            <w:pPr>
              <w:pStyle w:val="NoParagraphStyle"/>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BFE6B7" w14:textId="77777777" w:rsidR="00EB6564" w:rsidRDefault="00EB6564">
            <w:pPr>
              <w:pStyle w:val="NoParagraphStyle"/>
              <w:spacing w:line="240" w:lineRule="auto"/>
              <w:textAlignment w:val="auto"/>
              <w:rPr>
                <w:rFonts w:ascii="Calibri" w:hAnsi="Calibri" w:cs="Calibri"/>
                <w:color w:val="auto"/>
              </w:rPr>
            </w:pPr>
          </w:p>
        </w:tc>
      </w:tr>
      <w:tr w:rsidR="00EB6564" w14:paraId="5CA52B59"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501F825" w14:textId="77777777" w:rsidR="00EB6564" w:rsidRDefault="00EB6564">
            <w:pPr>
              <w:pStyle w:val="06cTABLETEXT"/>
            </w:pPr>
            <w:r>
              <w:t>PTP01 – Pt Pirie Oliver Street</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998A04" w14:textId="77777777" w:rsidR="00EB6564" w:rsidRDefault="00EB6564">
            <w:pPr>
              <w:pStyle w:val="06cTABLETEXT"/>
              <w:jc w:val="center"/>
            </w:pPr>
            <w:r>
              <w:t>12</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50C5D8" w14:textId="77777777" w:rsidR="00EB6564" w:rsidRDefault="00EB6564">
            <w:pPr>
              <w:pStyle w:val="06cTABLETEXT"/>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DC2DC31" w14:textId="77777777" w:rsidR="00EB6564" w:rsidRDefault="00EB6564">
            <w:pPr>
              <w:pStyle w:val="06cTABLETEXT"/>
              <w:jc w:val="center"/>
            </w:pPr>
            <w:r>
              <w:t>19.7</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860CC8" w14:textId="77777777" w:rsidR="00EB6564" w:rsidRDefault="00EB6564">
            <w:pPr>
              <w:pStyle w:val="06cTABLETEXT"/>
              <w:jc w:val="center"/>
            </w:pPr>
            <w:r>
              <w:t>Met</w:t>
            </w:r>
          </w:p>
        </w:tc>
      </w:tr>
      <w:tr w:rsidR="00EB6564" w14:paraId="18521C09"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7CD53D" w14:textId="77777777" w:rsidR="00EB6564" w:rsidRDefault="00EB6564">
            <w:pPr>
              <w:pStyle w:val="06cTABLETEXT"/>
            </w:pPr>
            <w:r>
              <w:t>WHY07 – Whyalla Schulz Reserve</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0D722F" w14:textId="77777777" w:rsidR="00EB6564" w:rsidRDefault="00EB6564">
            <w:pPr>
              <w:pStyle w:val="06cTABLETEXT"/>
              <w:jc w:val="center"/>
            </w:pPr>
            <w:r>
              <w:t>7</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E23390" w14:textId="77777777" w:rsidR="00EB6564" w:rsidRDefault="00EB6564">
            <w:pPr>
              <w:pStyle w:val="06cTABLETEXT"/>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E107E3" w14:textId="77777777" w:rsidR="00EB6564" w:rsidRDefault="00EB6564">
            <w:pPr>
              <w:pStyle w:val="06cTABLETEXT"/>
              <w:jc w:val="center"/>
            </w:pPr>
            <w:r>
              <w:t>17.0</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F84A95" w14:textId="77777777" w:rsidR="00EB6564" w:rsidRDefault="00EB6564">
            <w:pPr>
              <w:pStyle w:val="06cTABLETEXT"/>
              <w:jc w:val="center"/>
            </w:pPr>
            <w:r>
              <w:t>Met</w:t>
            </w:r>
          </w:p>
        </w:tc>
      </w:tr>
    </w:tbl>
    <w:p w14:paraId="205DC6FE" w14:textId="77777777" w:rsidR="00EB6564" w:rsidRDefault="00EB6564" w:rsidP="00EB6564">
      <w:pPr>
        <w:pStyle w:val="07FOOTNOTES"/>
      </w:pPr>
      <w:r>
        <w:t>*</w:t>
      </w:r>
      <w:r>
        <w:tab/>
        <w:t>Insufficient data to demonstrate compliance, data availability was less than 75% in one or more quarters during 2018</w:t>
      </w: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0CB4F056" w14:textId="77777777" w:rsidTr="00134EA2">
        <w:trPr>
          <w:trHeight w:val="60"/>
          <w:tblHeader/>
        </w:trPr>
        <w:tc>
          <w:tcPr>
            <w:tcW w:w="1701" w:type="dxa"/>
            <w:vMerge w:val="restart"/>
            <w:tcMar>
              <w:top w:w="85" w:type="dxa"/>
              <w:left w:w="85" w:type="dxa"/>
              <w:bottom w:w="85" w:type="dxa"/>
              <w:right w:w="85" w:type="dxa"/>
            </w:tcMar>
          </w:tcPr>
          <w:p w14:paraId="65E79293" w14:textId="77777777" w:rsidR="00EB6564" w:rsidRDefault="00EB6564" w:rsidP="00134EA2">
            <w:pPr>
              <w:pStyle w:val="CHEMICALCHEMTABLES"/>
              <w:spacing w:after="0" w:line="240" w:lineRule="auto"/>
            </w:pPr>
            <w:r>
              <w:t>PM</w:t>
            </w:r>
            <w:r>
              <w:rPr>
                <w:vertAlign w:val="subscript"/>
              </w:rPr>
              <w:t>2.5</w:t>
            </w:r>
          </w:p>
        </w:tc>
        <w:tc>
          <w:tcPr>
            <w:tcW w:w="5731" w:type="dxa"/>
            <w:tcMar>
              <w:top w:w="85" w:type="dxa"/>
              <w:left w:w="85" w:type="dxa"/>
              <w:bottom w:w="85" w:type="dxa"/>
              <w:right w:w="85" w:type="dxa"/>
            </w:tcMar>
          </w:tcPr>
          <w:p w14:paraId="7FEEF188" w14:textId="77777777" w:rsidR="00EB6564" w:rsidRDefault="00EB6564" w:rsidP="00134EA2">
            <w:pPr>
              <w:pStyle w:val="CHEMICALfullnameCHEMTABLES"/>
              <w:spacing w:after="0" w:line="240" w:lineRule="auto"/>
            </w:pPr>
            <w:r>
              <w:t>Particles as PM</w:t>
            </w:r>
            <w:r>
              <w:rPr>
                <w:vertAlign w:val="subscript"/>
              </w:rPr>
              <w:t>2.5</w:t>
            </w:r>
          </w:p>
        </w:tc>
      </w:tr>
      <w:tr w:rsidR="00EB6564" w14:paraId="131BCD18" w14:textId="77777777" w:rsidTr="00134EA2">
        <w:trPr>
          <w:trHeight w:val="60"/>
          <w:tblHeader/>
        </w:trPr>
        <w:tc>
          <w:tcPr>
            <w:tcW w:w="1701" w:type="dxa"/>
            <w:vMerge/>
          </w:tcPr>
          <w:p w14:paraId="1474C586"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5ECA5495" w14:textId="77777777" w:rsidR="00EB6564" w:rsidRDefault="00EB6564" w:rsidP="00134EA2">
            <w:pPr>
              <w:pStyle w:val="NEPMstandardCHEMTABLES"/>
              <w:spacing w:after="0" w:line="240" w:lineRule="auto"/>
            </w:pPr>
            <w:r>
              <w:t>(NEPM standard 1 day = 25µg/m</w:t>
            </w:r>
            <w:r>
              <w:rPr>
                <w:vertAlign w:val="superscript"/>
              </w:rPr>
              <w:t>3</w:t>
            </w:r>
            <w:r>
              <w:t>, 1 year = 8µg/m</w:t>
            </w:r>
            <w:r>
              <w:rPr>
                <w:vertAlign w:val="superscript"/>
              </w:rPr>
              <w:t>3</w:t>
            </w:r>
            <w:r>
              <w:t>)</w:t>
            </w:r>
          </w:p>
        </w:tc>
      </w:tr>
      <w:tr w:rsidR="00EB6564" w14:paraId="5212DED8" w14:textId="77777777" w:rsidTr="00134EA2">
        <w:trPr>
          <w:trHeight w:hRule="exact" w:val="113"/>
        </w:trPr>
        <w:tc>
          <w:tcPr>
            <w:tcW w:w="1701" w:type="dxa"/>
            <w:tcMar>
              <w:top w:w="85" w:type="dxa"/>
              <w:left w:w="85" w:type="dxa"/>
              <w:bottom w:w="85" w:type="dxa"/>
              <w:right w:w="85" w:type="dxa"/>
            </w:tcMar>
          </w:tcPr>
          <w:p w14:paraId="2C97D9F3"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58911D03" w14:textId="77777777" w:rsidR="00EB6564" w:rsidRDefault="00EB6564" w:rsidP="00134EA2">
            <w:pPr>
              <w:pStyle w:val="NoParagraphStyle"/>
              <w:spacing w:line="240" w:lineRule="auto"/>
              <w:textAlignment w:val="auto"/>
              <w:rPr>
                <w:rFonts w:ascii="Calibri" w:hAnsi="Calibri" w:cs="Calibri"/>
                <w:color w:val="auto"/>
              </w:rPr>
            </w:pPr>
          </w:p>
        </w:tc>
      </w:tr>
    </w:tbl>
    <w:p w14:paraId="38FBEDBE" w14:textId="77777777" w:rsidR="00EB6564" w:rsidRDefault="00EB6564" w:rsidP="00134EA2">
      <w:pPr>
        <w:pStyle w:val="05BODYT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1483"/>
        <w:gridCol w:w="1484"/>
        <w:gridCol w:w="1483"/>
        <w:gridCol w:w="1483"/>
        <w:gridCol w:w="1484"/>
      </w:tblGrid>
      <w:tr w:rsidR="00EB6564" w14:paraId="2B33E435" w14:textId="77777777">
        <w:trPr>
          <w:trHeight w:val="6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3DC73BB" w14:textId="77777777" w:rsidR="00EB6564" w:rsidRDefault="00EB6564">
            <w:pPr>
              <w:pStyle w:val="06bTABLEHEADERROW"/>
            </w:pPr>
            <w:r>
              <w:t>Station</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B50A161" w14:textId="77777777" w:rsidR="00EB6564" w:rsidRDefault="00EB6564">
            <w:pPr>
              <w:pStyle w:val="06bTABLEHEADERROW"/>
              <w:jc w:val="center"/>
            </w:pPr>
            <w:r>
              <w:t>1 day</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F4BD4EA" w14:textId="77777777" w:rsidR="00EB6564" w:rsidRDefault="00EB6564">
            <w:pPr>
              <w:pStyle w:val="06bTABLEHEADERROW"/>
              <w:jc w:val="center"/>
            </w:pPr>
            <w:r>
              <w:t>1 year</w:t>
            </w:r>
          </w:p>
        </w:tc>
      </w:tr>
      <w:tr w:rsidR="00EB6564" w14:paraId="3B4B1E84" w14:textId="77777777">
        <w:trPr>
          <w:trHeight w:val="60"/>
          <w:tblHeader/>
        </w:trPr>
        <w:tc>
          <w:tcPr>
            <w:tcW w:w="1483" w:type="dxa"/>
            <w:vMerge/>
            <w:tcBorders>
              <w:top w:val="single" w:sz="8" w:space="0" w:color="FFFFFF"/>
              <w:left w:val="single" w:sz="4" w:space="0" w:color="FFFFFF"/>
              <w:bottom w:val="single" w:sz="8" w:space="0" w:color="FFFFFF"/>
              <w:right w:val="single" w:sz="4" w:space="0" w:color="FFFFFF"/>
            </w:tcBorders>
          </w:tcPr>
          <w:p w14:paraId="00C69EDF" w14:textId="77777777" w:rsidR="00EB6564" w:rsidRDefault="00EB6564">
            <w:pPr>
              <w:pStyle w:val="NoParagraphStyle"/>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EC98DC7" w14:textId="77777777" w:rsidR="00EB6564" w:rsidRDefault="00EB6564">
            <w:pPr>
              <w:pStyle w:val="06bTABLEHEADERROW"/>
              <w:jc w:val="center"/>
            </w:pPr>
            <w:r>
              <w:t>Number of exceedances</w:t>
            </w:r>
          </w:p>
        </w:tc>
        <w:tc>
          <w:tcPr>
            <w:tcW w:w="148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550F10B" w14:textId="77777777" w:rsidR="00EB6564" w:rsidRDefault="00EB6564">
            <w:pPr>
              <w:pStyle w:val="06bTABLEHEADERROW"/>
              <w:jc w:val="center"/>
            </w:pPr>
            <w:r>
              <w:t>NEPM goal compliance</w:t>
            </w:r>
          </w:p>
        </w:tc>
        <w:tc>
          <w:tcPr>
            <w:tcW w:w="148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D3C31ED" w14:textId="77777777" w:rsidR="00EB6564" w:rsidRDefault="00EB6564">
            <w:pPr>
              <w:pStyle w:val="06bTABLEHEADERROW"/>
              <w:jc w:val="center"/>
            </w:pPr>
            <w:r>
              <w:t>Annual average (µg/m</w:t>
            </w:r>
            <w:r>
              <w:rPr>
                <w:vertAlign w:val="superscript"/>
              </w:rPr>
              <w:t>3</w:t>
            </w:r>
            <w:r>
              <w:t>)</w:t>
            </w:r>
          </w:p>
        </w:tc>
        <w:tc>
          <w:tcPr>
            <w:tcW w:w="148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9541F8C" w14:textId="77777777" w:rsidR="00EB6564" w:rsidRDefault="00EB6564">
            <w:pPr>
              <w:pStyle w:val="06bTABLEHEADERROW"/>
              <w:jc w:val="center"/>
            </w:pPr>
            <w:r>
              <w:t>NEPM goal compliance</w:t>
            </w:r>
          </w:p>
        </w:tc>
      </w:tr>
      <w:tr w:rsidR="00EB6564" w14:paraId="2DC916C8"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DE93EE" w14:textId="77777777" w:rsidR="00EB6564" w:rsidRPr="00134EA2" w:rsidRDefault="00EB6564">
            <w:pPr>
              <w:pStyle w:val="06cTABLETEXT"/>
              <w:rPr>
                <w:b/>
                <w:bCs/>
              </w:rPr>
            </w:pPr>
            <w:r w:rsidRPr="00134EA2">
              <w:rPr>
                <w:b/>
                <w:bCs/>
              </w:rPr>
              <w:t>Adelaide</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4DDF378" w14:textId="77777777" w:rsidR="00EB6564" w:rsidRDefault="00EB6564">
            <w:pPr>
              <w:pStyle w:val="NoParagraphStyle"/>
              <w:spacing w:line="240" w:lineRule="auto"/>
              <w:textAlignment w:val="auto"/>
              <w:rPr>
                <w:rFonts w:ascii="Calibri" w:hAnsi="Calibri" w:cs="Calibri"/>
                <w:color w:val="auto"/>
              </w:rPr>
            </w:pP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D20C8C" w14:textId="77777777" w:rsidR="00EB6564" w:rsidRDefault="00EB6564">
            <w:pPr>
              <w:pStyle w:val="NoParagraphStyle"/>
              <w:spacing w:line="240" w:lineRule="auto"/>
              <w:textAlignment w:val="auto"/>
              <w:rPr>
                <w:rFonts w:ascii="Calibri" w:hAnsi="Calibri" w:cs="Calibri"/>
                <w:color w:val="auto"/>
              </w:rPr>
            </w:pP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383B6A" w14:textId="77777777" w:rsidR="00EB6564" w:rsidRDefault="00EB6564">
            <w:pPr>
              <w:pStyle w:val="NoParagraphStyle"/>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4C2235" w14:textId="77777777" w:rsidR="00EB6564" w:rsidRDefault="00EB6564">
            <w:pPr>
              <w:pStyle w:val="NoParagraphStyle"/>
              <w:spacing w:line="240" w:lineRule="auto"/>
              <w:textAlignment w:val="auto"/>
              <w:rPr>
                <w:rFonts w:ascii="Calibri" w:hAnsi="Calibri" w:cs="Calibri"/>
                <w:color w:val="auto"/>
              </w:rPr>
            </w:pPr>
          </w:p>
        </w:tc>
      </w:tr>
      <w:tr w:rsidR="00EB6564" w14:paraId="2397CA2A"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67BD418" w14:textId="77777777" w:rsidR="00EB6564" w:rsidRDefault="00EB6564">
            <w:pPr>
              <w:pStyle w:val="06cTABLETEXT"/>
            </w:pPr>
            <w:r>
              <w:t>ELI01 - Elizabeth Downs</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84639A"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EDDE58" w14:textId="77777777" w:rsidR="00EB6564" w:rsidRDefault="00EB6564">
            <w:pPr>
              <w:pStyle w:val="06cTABLETEXT"/>
              <w:jc w:val="center"/>
            </w:pPr>
            <w:r>
              <w:t>Not Demonstrated*</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778FD0" w14:textId="77777777" w:rsidR="00EB6564" w:rsidRDefault="00EB6564">
            <w:pPr>
              <w:pStyle w:val="06cTABLETEXT"/>
              <w:jc w:val="center"/>
            </w:pPr>
            <w:r>
              <w:t>6.5</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D50118" w14:textId="77777777" w:rsidR="00EB6564" w:rsidRDefault="00EB6564">
            <w:pPr>
              <w:pStyle w:val="06cTABLETEXT"/>
              <w:jc w:val="center"/>
            </w:pPr>
            <w:r>
              <w:t>Not Demonstrated*</w:t>
            </w:r>
          </w:p>
        </w:tc>
      </w:tr>
      <w:tr w:rsidR="00EB6564" w14:paraId="29C251F6"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337BF0" w14:textId="77777777" w:rsidR="00EB6564" w:rsidRDefault="00EB6564">
            <w:pPr>
              <w:pStyle w:val="06cTABLETEXT"/>
            </w:pPr>
            <w:r>
              <w:t>NET01 – Netley</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F264F05"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BB272CA"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7EAB8E1" w14:textId="77777777" w:rsidR="00EB6564" w:rsidRDefault="00EB6564">
            <w:pPr>
              <w:pStyle w:val="06cTABLETEXT"/>
              <w:jc w:val="center"/>
            </w:pPr>
            <w:r>
              <w:t>7.3</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C34F34" w14:textId="77777777" w:rsidR="00EB6564" w:rsidRDefault="00EB6564">
            <w:pPr>
              <w:pStyle w:val="06cTABLETEXT"/>
              <w:jc w:val="center"/>
            </w:pPr>
            <w:r>
              <w:t>Met</w:t>
            </w:r>
          </w:p>
        </w:tc>
      </w:tr>
      <w:tr w:rsidR="00EB6564" w14:paraId="39FEBD9D"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CF1C91" w14:textId="77777777" w:rsidR="00EB6564" w:rsidRDefault="00EB6564">
            <w:pPr>
              <w:pStyle w:val="06cTABLETEXT"/>
            </w:pPr>
            <w:r>
              <w:t>NHV01 – North Haven</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87A41F"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AFEAA5"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C963F4" w14:textId="77777777" w:rsidR="00EB6564" w:rsidRDefault="00EB6564">
            <w:pPr>
              <w:pStyle w:val="06cTABLETEXT"/>
              <w:jc w:val="center"/>
            </w:pPr>
            <w:r>
              <w:t>7.2</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0C6155" w14:textId="77777777" w:rsidR="00EB6564" w:rsidRDefault="00EB6564">
            <w:pPr>
              <w:pStyle w:val="06cTABLETEXT"/>
              <w:jc w:val="center"/>
            </w:pPr>
            <w:r>
              <w:t>Met</w:t>
            </w:r>
          </w:p>
        </w:tc>
      </w:tr>
    </w:tbl>
    <w:p w14:paraId="7C5B9A98" w14:textId="77777777" w:rsidR="00EB6564" w:rsidRDefault="00EB6564" w:rsidP="00EB6564">
      <w:pPr>
        <w:pStyle w:val="07FOOTNOTES"/>
      </w:pPr>
      <w:r>
        <w:t>*</w:t>
      </w:r>
      <w:r>
        <w:tab/>
        <w:t>Insufficient data to demonstrate compliance, data availability was less than 75% in one or more quarters during 2018</w:t>
      </w:r>
    </w:p>
    <w:p w14:paraId="6146B287" w14:textId="77777777" w:rsidR="00EB6564" w:rsidRDefault="00EB6564" w:rsidP="00EB6564">
      <w:pPr>
        <w:pStyle w:val="07FOOTNOTES"/>
      </w:pPr>
    </w:p>
    <w:p w14:paraId="703BC1E0" w14:textId="77777777" w:rsidR="00EB6564" w:rsidRPr="009408AB" w:rsidRDefault="00EB6564" w:rsidP="00CB0DA6">
      <w:pPr>
        <w:pStyle w:val="Heading2"/>
      </w:pPr>
      <w:bookmarkStart w:id="31" w:name="_Toc58254385"/>
      <w:r w:rsidRPr="009408AB">
        <w:lastRenderedPageBreak/>
        <w:t>Tasmania</w:t>
      </w:r>
      <w:bookmarkEnd w:id="31"/>
    </w:p>
    <w:p w14:paraId="3F89B09A" w14:textId="77777777" w:rsidR="00EB6564" w:rsidRDefault="00EB6564" w:rsidP="008B4D97">
      <w:pPr>
        <w:pStyle w:val="05BODYTEXT"/>
        <w:keepNext/>
        <w:spacing w:line="240" w:lineRule="auto"/>
        <w:rPr>
          <w:rStyle w:val="ITALIC"/>
        </w:rPr>
      </w:pPr>
      <w:r>
        <w:rPr>
          <w:rStyle w:val="ITALIC"/>
        </w:rPr>
        <w:t xml:space="preserve">Report to the NEPC on the implementation of the National Environment Protection (Ambient Air Quality) Measure for Tasmania by Peter </w:t>
      </w:r>
      <w:proofErr w:type="spellStart"/>
      <w:r>
        <w:rPr>
          <w:rStyle w:val="ITALIC"/>
        </w:rPr>
        <w:t>Gutwein</w:t>
      </w:r>
      <w:proofErr w:type="spellEnd"/>
      <w:r>
        <w:rPr>
          <w:rStyle w:val="ITALIC"/>
        </w:rPr>
        <w:t>, Minister for the Environment, Parks and Heritage, for the reporting year ended 30 June 2019.</w:t>
      </w:r>
    </w:p>
    <w:p w14:paraId="2048D219" w14:textId="77777777" w:rsidR="00EB6564" w:rsidRDefault="00EB6564" w:rsidP="008B4D97">
      <w:pPr>
        <w:pStyle w:val="02HEADING2"/>
        <w:spacing w:line="240" w:lineRule="auto"/>
      </w:pPr>
      <w:r>
        <w:t>PART 1—Implementation of the NEPM and any significant issues</w:t>
      </w:r>
    </w:p>
    <w:p w14:paraId="24B0CDDE" w14:textId="77777777" w:rsidR="00EB6564" w:rsidRDefault="00EB6564" w:rsidP="008B4D97">
      <w:pPr>
        <w:pStyle w:val="05bDOTPOINTS"/>
        <w:keepNext/>
        <w:spacing w:line="240" w:lineRule="auto"/>
      </w:pPr>
      <w:r>
        <w:t>•</w:t>
      </w:r>
      <w:r>
        <w:tab/>
        <w:t xml:space="preserve">In Tasmania the enabling legislation for the National Environment Protection (Ambient Air Quality) Measure (Air NEPM) process is the </w:t>
      </w:r>
      <w:r>
        <w:rPr>
          <w:rStyle w:val="ITALIC"/>
        </w:rPr>
        <w:t>Environmental Management and Pollution Control Act 1994</w:t>
      </w:r>
      <w:r>
        <w:t xml:space="preserve"> (EMPCA). The process is implemented primarily through EPA Tasmania, within the Department of Primary Industries, Parks, Water and the Environment (DPIPWE).</w:t>
      </w:r>
    </w:p>
    <w:p w14:paraId="2DD68DC0" w14:textId="77777777" w:rsidR="00EB6564" w:rsidRDefault="00EB6564" w:rsidP="00EB6564">
      <w:pPr>
        <w:pStyle w:val="05bDOTPOINTS"/>
      </w:pPr>
      <w:r>
        <w:t>•</w:t>
      </w:r>
      <w:r>
        <w:tab/>
        <w:t xml:space="preserve">National Environment Protection Measures are adopted as state policies under the </w:t>
      </w:r>
      <w:r>
        <w:rPr>
          <w:rStyle w:val="ITALIC"/>
        </w:rPr>
        <w:t>State Policies and Projects Act 1993</w:t>
      </w:r>
      <w:r>
        <w:t xml:space="preserve">, and the Air NEPM is put into effect under the </w:t>
      </w:r>
      <w:r>
        <w:rPr>
          <w:rStyle w:val="ITALIC"/>
        </w:rPr>
        <w:t>Environment Protection Policy (Air Quality) 2004</w:t>
      </w:r>
      <w:r>
        <w:t xml:space="preserve"> (Air Policy), the Environmental Management and </w:t>
      </w:r>
      <w:r>
        <w:rPr>
          <w:rStyle w:val="ITALIC"/>
        </w:rPr>
        <w:t>Pollution Control (Distributed Atmospheric Emissions) Regulations 2007</w:t>
      </w:r>
      <w:r>
        <w:t xml:space="preserve"> and the </w:t>
      </w:r>
      <w:r>
        <w:rPr>
          <w:rStyle w:val="ITALIC"/>
        </w:rPr>
        <w:t>Tasmanian Air Quality Strategy 2006</w:t>
      </w:r>
      <w:r>
        <w:t>.</w:t>
      </w:r>
    </w:p>
    <w:p w14:paraId="1B08B8E6" w14:textId="3F454DD3" w:rsidR="00EB6564" w:rsidRDefault="00EB6564" w:rsidP="00EB6564">
      <w:pPr>
        <w:pStyle w:val="05bDOTPOINTS"/>
      </w:pPr>
      <w:r>
        <w:t>•</w:t>
      </w:r>
      <w:r>
        <w:tab/>
        <w:t xml:space="preserve">The Air Policy includes specific reference to meeting the requirements of the Air NEPM through regulation of industry and management of diffuse sources like planned burning activities. The policy is available on the EPA Tasmania website at </w:t>
      </w:r>
      <w:hyperlink r:id="rId52" w:history="1">
        <w:r w:rsidRPr="00276A45">
          <w:rPr>
            <w:rStyle w:val="Hyperlink"/>
            <w:color w:val="4472C4" w:themeColor="accent1"/>
            <w:u w:val="single"/>
          </w:rPr>
          <w:t>www.epa.tas.gov.au</w:t>
        </w:r>
      </w:hyperlink>
      <w:r>
        <w:t xml:space="preserve">. </w:t>
      </w:r>
    </w:p>
    <w:p w14:paraId="38AA013C" w14:textId="77777777" w:rsidR="00EB6564" w:rsidRDefault="00EB6564" w:rsidP="00EB6564">
      <w:pPr>
        <w:pStyle w:val="05bDOTPOINTS"/>
      </w:pPr>
      <w:r>
        <w:t>•</w:t>
      </w:r>
      <w:r>
        <w:tab/>
        <w:t xml:space="preserve">Wood smoke from domestic wood heaters and from planned burning activities continues to be the primary air quality issue for Tasmania. A number of Tasmanian towns have been found to experience very poor winter-time air quality due to smoke from residential </w:t>
      </w:r>
      <w:proofErr w:type="spellStart"/>
      <w:r>
        <w:t>woodheaters</w:t>
      </w:r>
      <w:proofErr w:type="spellEnd"/>
      <w:r>
        <w:t>.</w:t>
      </w:r>
    </w:p>
    <w:p w14:paraId="6CFE1EAE" w14:textId="77777777" w:rsidR="00EB6564" w:rsidRDefault="00EB6564" w:rsidP="00EB6564">
      <w:pPr>
        <w:pStyle w:val="05bDOTPOINTS"/>
      </w:pPr>
      <w:r>
        <w:t>•</w:t>
      </w:r>
      <w:r>
        <w:tab/>
        <w:t>In the</w:t>
      </w:r>
      <w:r>
        <w:rPr>
          <w:rStyle w:val="ITALIC"/>
        </w:rPr>
        <w:t xml:space="preserve"> Tasmanian Air Quality Strategy</w:t>
      </w:r>
      <w:r>
        <w:t>, published in June 2006, a five-year process to assess compliance with the Air NEPM standards in Tasmania is detailed and strategies for achieving compliance where standards are not being met are specified. The strategy addresses the management of air quality in Tasmania and includes programs to further reduce domestic and industrial emissions of respirable particles in critical regions of the state.</w:t>
      </w:r>
    </w:p>
    <w:p w14:paraId="6BEBE8C7" w14:textId="77777777" w:rsidR="00EB6564" w:rsidRDefault="00EB6564" w:rsidP="00EB6564">
      <w:pPr>
        <w:pStyle w:val="05bDOTPOINTS"/>
      </w:pPr>
      <w:r>
        <w:t>•</w:t>
      </w:r>
      <w:r>
        <w:tab/>
        <w:t xml:space="preserve">The </w:t>
      </w:r>
      <w:r>
        <w:rPr>
          <w:rStyle w:val="ITALIC"/>
        </w:rPr>
        <w:t>Environmental Management and Pollution Control (Distributed Atmospheric Emissions) Regulations 2007</w:t>
      </w:r>
      <w:r>
        <w:t xml:space="preserve">, gazetted in August 2007, provide a legal framework for programmes to reduce the emission of domestic wood smoke through controls on the import, sale and installation of wood heaters. The regulations were revised and reissued on the 26th of June 2019 as the </w:t>
      </w:r>
      <w:r>
        <w:rPr>
          <w:rStyle w:val="ITALIC"/>
        </w:rPr>
        <w:t>Environmental Management and Pollution Control (Smoke) Regulations 2019</w:t>
      </w:r>
      <w:r>
        <w:t>. The regulations continue to make the emission of excessive smoke from a residential chimney an offence. On-ground experience has indicated that councils may sometimes have difficulty in implementing these regulations. In a number of cases, excessive smoke from properties is still having some impacts at night. Resource constraints can mean councils have less capacity to respond to complaints at particular times.</w:t>
      </w:r>
    </w:p>
    <w:p w14:paraId="544E05F7" w14:textId="77777777" w:rsidR="00EB6564" w:rsidRDefault="00EB6564" w:rsidP="00EB6564">
      <w:pPr>
        <w:pStyle w:val="05bDOTPOINTS"/>
      </w:pPr>
      <w:r>
        <w:t>•</w:t>
      </w:r>
      <w:r>
        <w:tab/>
        <w:t xml:space="preserve">In 2009 a state-wide network of indicative level air monitoring stations referred to as </w:t>
      </w:r>
      <w:proofErr w:type="spellStart"/>
      <w:r>
        <w:t>BLANkET</w:t>
      </w:r>
      <w:proofErr w:type="spellEnd"/>
      <w:r>
        <w:t xml:space="preserve"> (Base-Line Air Network of EPA Tasmania) was established. In 2018-19 this network consisted of 34 fixed stations, including those co-located with the reference level stations at Hobart, Launceston and Devonport. This network of optical particle monitors, calibrated against reference level instruments, provides real-time information for understanding smoke concentration, movement and dispersal in the greater Tasmanian airshed. Air quality and meteorological data from the </w:t>
      </w:r>
      <w:proofErr w:type="spellStart"/>
      <w:r>
        <w:t>BLANkET</w:t>
      </w:r>
      <w:proofErr w:type="spellEnd"/>
      <w:r>
        <w:t xml:space="preserve"> network are published in near real-time on the EPA Tasmania web site. </w:t>
      </w:r>
    </w:p>
    <w:p w14:paraId="5047AF51" w14:textId="77777777" w:rsidR="00EB6564" w:rsidRDefault="00EB6564" w:rsidP="00EB6564">
      <w:pPr>
        <w:pStyle w:val="05bDOTPOINTS"/>
      </w:pPr>
      <w:r>
        <w:t>•</w:t>
      </w:r>
      <w:r>
        <w:tab/>
        <w:t xml:space="preserve">From 2009 planned burning activities undertaken by the forestry industry and by the Parks and Wildlife Service have been conducted using the </w:t>
      </w:r>
      <w:r>
        <w:rPr>
          <w:rStyle w:val="ITALIC"/>
        </w:rPr>
        <w:t xml:space="preserve">Coordinated Smoke Management Strategy </w:t>
      </w:r>
      <w:r>
        <w:t xml:space="preserve">(CSMS) administered by the Forest Practices Authority (FPA). The CSMS requires burners to make daily bids for burn units in a given air shed. Bidding is managed by an automated web-based system. The total burn unit allocation is set with reference to meteorological and other considerations. Air quality data from EPA Tasmania’s state-wide </w:t>
      </w:r>
      <w:proofErr w:type="spellStart"/>
      <w:r>
        <w:t>BLANkET</w:t>
      </w:r>
      <w:proofErr w:type="spellEnd"/>
      <w:r>
        <w:t xml:space="preserve"> network is used to facilitate an annual review process to increase the strategy’s effectiveness. Monitoring data from the </w:t>
      </w:r>
      <w:proofErr w:type="spellStart"/>
      <w:r>
        <w:t>BLANkET</w:t>
      </w:r>
      <w:proofErr w:type="spellEnd"/>
      <w:r>
        <w:t xml:space="preserve"> network shows that the severity of planned burn smoke impacts has decreased since the implementation of the CSMS. Feedback from the users of the CSMS indicates that their ability to make more informed decisions concerning smoke movement and dispersion is facilitated by the </w:t>
      </w:r>
      <w:proofErr w:type="spellStart"/>
      <w:r>
        <w:t>BLANkET</w:t>
      </w:r>
      <w:proofErr w:type="spellEnd"/>
      <w:r>
        <w:t xml:space="preserve"> air quality monitoring network and the analyses carried out by EPA Tasmania.</w:t>
      </w:r>
    </w:p>
    <w:p w14:paraId="691DA76A" w14:textId="77777777" w:rsidR="00EB6564" w:rsidRDefault="00EB6564" w:rsidP="00EB6564">
      <w:pPr>
        <w:pStyle w:val="05bDOTPOINTS"/>
      </w:pPr>
      <w:r>
        <w:t>•</w:t>
      </w:r>
      <w:r>
        <w:tab/>
        <w:t xml:space="preserve">In response to the growing understanding that poor winter-time air quality is widespread in many Tasmanian towns and urban areas, the Domestic Smoke Management Program (DSMP), an initiative of EPA Tasmania was started in 2012. The focus of the program is community education on air quality issues and how smoke emissions from domestic wood heaters can be significantly reduced through proper operation. The DSMP is realised through collaborative projects with local government known as the ‘Burn Brighter this Winter’ projects. Officers of EPA Tasmania and various Councils work together on the ‘Burn Brighter this Winter’ projects. The education and information campaign </w:t>
      </w:r>
      <w:proofErr w:type="gramStart"/>
      <w:r>
        <w:t>is</w:t>
      </w:r>
      <w:proofErr w:type="gramEnd"/>
      <w:r>
        <w:t xml:space="preserve"> backed up with air quality data from nearby </w:t>
      </w:r>
      <w:proofErr w:type="spellStart"/>
      <w:r>
        <w:t>BLANkET</w:t>
      </w:r>
      <w:proofErr w:type="spellEnd"/>
      <w:r>
        <w:t xml:space="preserve"> stations, mobile air quality monitoring and from smoky chimney surveys. These data enable appropriate information to be conveyed to specific households.</w:t>
      </w:r>
    </w:p>
    <w:p w14:paraId="31AC8A6A" w14:textId="77777777" w:rsidR="00EB6564" w:rsidRDefault="00EB6564" w:rsidP="00EB6564">
      <w:pPr>
        <w:pStyle w:val="05bDOTPOINTS"/>
      </w:pPr>
      <w:r>
        <w:t>•</w:t>
      </w:r>
      <w:r>
        <w:tab/>
        <w:t>Since winter 2016 small, indicative-quality air stations have been deployed in a number of residential backyards as part of work undertaken with local government supporting chimney-smoke complaint-resolution. The small stations, known as ‘</w:t>
      </w:r>
      <w:proofErr w:type="spellStart"/>
      <w:r>
        <w:t>babyBLANkETs</w:t>
      </w:r>
      <w:proofErr w:type="spellEnd"/>
      <w:r>
        <w:t>’, are easily relocatable and are of low-cost. The data from these stations have at times assisted councils with their regulatory activities and also, importantly, provide a window into ‘peak-residential’ woodsmoke exposure. The local air quality has been found to be significantly lower in some instances.</w:t>
      </w:r>
    </w:p>
    <w:p w14:paraId="4346D67B" w14:textId="77777777" w:rsidR="00EB6564" w:rsidRDefault="00EB6564" w:rsidP="00EB6564">
      <w:pPr>
        <w:pStyle w:val="05bDOTPOINTS"/>
      </w:pPr>
      <w:r>
        <w:t>•</w:t>
      </w:r>
      <w:r>
        <w:tab/>
        <w:t>The Tasmanian reference level air monitoring programme operates under an ISO:17025 compliant Quality System and holds NATA accreditation for the daily measurement of PM</w:t>
      </w:r>
      <w:r>
        <w:rPr>
          <w:vertAlign w:val="subscript"/>
        </w:rPr>
        <w:t>2.5</w:t>
      </w:r>
      <w:r>
        <w:t xml:space="preserve"> and PM</w:t>
      </w:r>
      <w:r>
        <w:rPr>
          <w:vertAlign w:val="subscript"/>
        </w:rPr>
        <w:t>10</w:t>
      </w:r>
      <w:r>
        <w:t xml:space="preserve"> using the reference instruments and methods prescribed in the Air NEPM.</w:t>
      </w:r>
    </w:p>
    <w:p w14:paraId="0F9EFB96" w14:textId="77777777" w:rsidR="00EB6564" w:rsidRDefault="00EB6564" w:rsidP="00EB6564">
      <w:pPr>
        <w:pStyle w:val="05bDOTPOINTS"/>
      </w:pPr>
      <w:r>
        <w:lastRenderedPageBreak/>
        <w:t>•</w:t>
      </w:r>
      <w:r>
        <w:tab/>
        <w:t>A reference level air monitoring station at Devonport was commissioned in December 2012. This station is equipped with gravimetric air samplers for reference measurements of daily averaged PM</w:t>
      </w:r>
      <w:r>
        <w:rPr>
          <w:vertAlign w:val="subscript"/>
        </w:rPr>
        <w:t>2.5</w:t>
      </w:r>
      <w:r>
        <w:t xml:space="preserve"> and PM</w:t>
      </w:r>
      <w:r>
        <w:rPr>
          <w:vertAlign w:val="subscript"/>
        </w:rPr>
        <w:t>10</w:t>
      </w:r>
      <w:r>
        <w:t xml:space="preserve"> particulate concentrations, as well as two Tapered Element Oscillating Microbalances (TEOMs) to provide hourly-averaged PM</w:t>
      </w:r>
      <w:r>
        <w:rPr>
          <w:vertAlign w:val="subscript"/>
        </w:rPr>
        <w:t>2.5</w:t>
      </w:r>
      <w:r>
        <w:t xml:space="preserve"> and PM</w:t>
      </w:r>
      <w:r>
        <w:rPr>
          <w:vertAlign w:val="subscript"/>
        </w:rPr>
        <w:t>10</w:t>
      </w:r>
      <w:r>
        <w:t xml:space="preserve"> data.</w:t>
      </w:r>
    </w:p>
    <w:p w14:paraId="6126673B" w14:textId="77777777" w:rsidR="00EB6564" w:rsidRDefault="00EB6564" w:rsidP="00EB6564">
      <w:pPr>
        <w:pStyle w:val="05bDOTPOINTS"/>
      </w:pPr>
      <w:r>
        <w:t>•</w:t>
      </w:r>
      <w:r>
        <w:tab/>
        <w:t xml:space="preserve">A reference level peak carbon monoxide (CO) monitoring station was established in Macquarie Street, Hobart at the end of 2010. Regular monitoring commenced in </w:t>
      </w:r>
      <w:proofErr w:type="gramStart"/>
      <w:r>
        <w:t>February 2011, and</w:t>
      </w:r>
      <w:proofErr w:type="gramEnd"/>
      <w:r>
        <w:t xml:space="preserve"> continued until the stations was de-commissioned in February 2013. No </w:t>
      </w:r>
      <w:proofErr w:type="spellStart"/>
      <w:r>
        <w:t>exceedences</w:t>
      </w:r>
      <w:proofErr w:type="spellEnd"/>
      <w:r>
        <w:t xml:space="preserve"> of the NEPM standard for CO were recorded in this interval.</w:t>
      </w:r>
    </w:p>
    <w:p w14:paraId="1953360D" w14:textId="77777777" w:rsidR="00EB6564" w:rsidRDefault="00EB6564" w:rsidP="00EB6564">
      <w:pPr>
        <w:pStyle w:val="05bDOTPOINTS"/>
      </w:pPr>
      <w:r>
        <w:t>•</w:t>
      </w:r>
      <w:r>
        <w:tab/>
        <w:t xml:space="preserve">In early 2019 a number of bushfires were ignited in Tasmania following a dry thunderstorm. The fires subsequently burnt over 200,000 hectares, mostly in the southwest and central plateau areas. There were smoke impacts across Tasmania, but these were particularly severe in the Huon Valley, south of Hobart – the elevated smoke levels measured at Geeveston station were unprecedented in </w:t>
      </w:r>
      <w:proofErr w:type="gramStart"/>
      <w:r>
        <w:t>10 year</w:t>
      </w:r>
      <w:proofErr w:type="gramEnd"/>
      <w:r>
        <w:t xml:space="preserve"> data record from this site. During the fires, the Tasmanian Department of Health and Human Services issued relocation advice for the Cygnet area of the Huon Valley.</w:t>
      </w:r>
    </w:p>
    <w:p w14:paraId="284D4E9D" w14:textId="77777777" w:rsidR="00EB6564" w:rsidRDefault="00EB6564" w:rsidP="00EB6564">
      <w:pPr>
        <w:pStyle w:val="02HEADING2"/>
      </w:pPr>
      <w:r>
        <w:t>Part 2—Assessment of NEPM effectiveness</w:t>
      </w:r>
    </w:p>
    <w:p w14:paraId="38CDB839" w14:textId="77777777" w:rsidR="00EB6564" w:rsidRDefault="00EB6564" w:rsidP="00EB6564">
      <w:pPr>
        <w:pStyle w:val="03HEADING3"/>
      </w:pPr>
      <w:r>
        <w:t>Particulates (PM</w:t>
      </w:r>
      <w:r>
        <w:rPr>
          <w:vertAlign w:val="subscript"/>
        </w:rPr>
        <w:t>2.5</w:t>
      </w:r>
      <w:r>
        <w:t xml:space="preserve"> and PM</w:t>
      </w:r>
      <w:r>
        <w:rPr>
          <w:vertAlign w:val="subscript"/>
        </w:rPr>
        <w:t>10</w:t>
      </w:r>
      <w:r>
        <w:t>)</w:t>
      </w:r>
    </w:p>
    <w:p w14:paraId="47213EB8" w14:textId="77777777" w:rsidR="00EB6564" w:rsidRDefault="00EB6564" w:rsidP="00EB6564">
      <w:pPr>
        <w:pStyle w:val="05BODYTEXT"/>
      </w:pPr>
      <w:r>
        <w:t>The Air NEPM has made a significant contribution to improved urban air quality in Tasmania, by raising community awareness of air quality issues and supporting programmes aimed at reducing wood smoke pollution during winter. This has been particularly effective in Launceston, where a combination of a reduction in the number of wood heaters, and improved community co-operation has reduced winter PM</w:t>
      </w:r>
      <w:r>
        <w:rPr>
          <w:vertAlign w:val="subscript"/>
        </w:rPr>
        <w:t>10</w:t>
      </w:r>
      <w:r>
        <w:t xml:space="preserve"> levels.</w:t>
      </w:r>
    </w:p>
    <w:p w14:paraId="616FF4C7" w14:textId="77777777" w:rsidR="00EB6564" w:rsidRDefault="00EB6564" w:rsidP="00EB6564">
      <w:pPr>
        <w:pStyle w:val="05bDOTPOINTS"/>
      </w:pPr>
      <w:r>
        <w:t>•</w:t>
      </w:r>
      <w:r>
        <w:tab/>
        <w:t>Other ongoing programs to reduce the impacts of air pollution in Tasmania, driven at least in part by the Air NEPM and the associated air quality standards and goals, have been introduced in more recent years. These include the Domestic Smoke Management Program started in 2012 to address issues related to smoke from domestic wood heaters and the Coordinated Smoke Management Strategy established in 2009 to address issues related to smoke from planned burning activities.</w:t>
      </w:r>
    </w:p>
    <w:p w14:paraId="1F0E71A1" w14:textId="77777777" w:rsidR="00EB6564" w:rsidRDefault="00EB6564" w:rsidP="00EB6564">
      <w:pPr>
        <w:pStyle w:val="04HEADING4"/>
      </w:pPr>
      <w:r>
        <w:t>Launceston</w:t>
      </w:r>
    </w:p>
    <w:p w14:paraId="0829E038" w14:textId="77777777" w:rsidR="00EB6564" w:rsidRDefault="00EB6564" w:rsidP="00EB6564">
      <w:pPr>
        <w:pStyle w:val="04bHEADING5"/>
      </w:pPr>
      <w:r>
        <w:t>PM</w:t>
      </w:r>
      <w:r>
        <w:rPr>
          <w:vertAlign w:val="subscript"/>
        </w:rPr>
        <w:t>10</w:t>
      </w:r>
      <w:r>
        <w:tab/>
      </w:r>
    </w:p>
    <w:p w14:paraId="498B76B2" w14:textId="77777777" w:rsidR="00EB6564" w:rsidRDefault="00EB6564" w:rsidP="00EB6564">
      <w:pPr>
        <w:pStyle w:val="05BODYTEXT"/>
      </w:pPr>
      <w:r>
        <w:t xml:space="preserve">There were no </w:t>
      </w:r>
      <w:proofErr w:type="spellStart"/>
      <w:r>
        <w:t>exceedences</w:t>
      </w:r>
      <w:proofErr w:type="spellEnd"/>
      <w:r>
        <w:t xml:space="preserve"> of the </w:t>
      </w:r>
      <w:proofErr w:type="gramStart"/>
      <w:r>
        <w:t>24 hour</w:t>
      </w:r>
      <w:proofErr w:type="gramEnd"/>
      <w:r>
        <w:t xml:space="preserve"> PM</w:t>
      </w:r>
      <w:r>
        <w:rPr>
          <w:vertAlign w:val="subscript"/>
        </w:rPr>
        <w:t>10</w:t>
      </w:r>
      <w:r>
        <w:t xml:space="preserve"> standard of 50 µg/m</w:t>
      </w:r>
      <w:r>
        <w:rPr>
          <w:vertAlign w:val="superscript"/>
        </w:rPr>
        <w:t>3</w:t>
      </w:r>
      <w:r>
        <w:t xml:space="preserve"> measured in Launceston in 2018. Data capture rates for the four quarters of 2018 were 100%, 99%, 96% and 99% respectively, giving an annual rate of 98%. The annual average PM</w:t>
      </w:r>
      <w:r>
        <w:rPr>
          <w:vertAlign w:val="subscript"/>
        </w:rPr>
        <w:t>10</w:t>
      </w:r>
      <w:r>
        <w:t xml:space="preserve"> was 16.2 µg/m</w:t>
      </w:r>
      <w:r>
        <w:rPr>
          <w:vertAlign w:val="superscript"/>
        </w:rPr>
        <w:t>3</w:t>
      </w:r>
      <w:r>
        <w:t>, which meets the annual PM</w:t>
      </w:r>
      <w:r>
        <w:rPr>
          <w:vertAlign w:val="subscript"/>
        </w:rPr>
        <w:t>10</w:t>
      </w:r>
      <w:r>
        <w:t xml:space="preserve"> standard of less than 25 µg/m</w:t>
      </w:r>
      <w:r>
        <w:rPr>
          <w:vertAlign w:val="superscript"/>
        </w:rPr>
        <w:t>3</w:t>
      </w:r>
      <w:r>
        <w:t>.</w:t>
      </w:r>
    </w:p>
    <w:p w14:paraId="065566E8" w14:textId="77777777" w:rsidR="00EB6564" w:rsidRDefault="00EB6564" w:rsidP="00EB6564">
      <w:pPr>
        <w:pStyle w:val="04bHEADING5"/>
      </w:pPr>
      <w:r>
        <w:t>PM</w:t>
      </w:r>
      <w:r>
        <w:rPr>
          <w:vertAlign w:val="subscript"/>
        </w:rPr>
        <w:t>2.5</w:t>
      </w:r>
      <w:r>
        <w:tab/>
      </w:r>
    </w:p>
    <w:p w14:paraId="15597666" w14:textId="77777777" w:rsidR="00EB6564" w:rsidRDefault="00EB6564" w:rsidP="00EB6564">
      <w:pPr>
        <w:pStyle w:val="05BODYTEXT"/>
      </w:pPr>
      <w:r>
        <w:t>The 24-hour PM</w:t>
      </w:r>
      <w:r>
        <w:rPr>
          <w:vertAlign w:val="subscript"/>
        </w:rPr>
        <w:t>2.5</w:t>
      </w:r>
      <w:r>
        <w:t xml:space="preserve"> standard of 25 µg/m</w:t>
      </w:r>
      <w:r>
        <w:rPr>
          <w:vertAlign w:val="superscript"/>
        </w:rPr>
        <w:t>3</w:t>
      </w:r>
      <w:r>
        <w:t xml:space="preserve"> was exceeded on 10 days in Launceston in 2018. This is comparable with results from recent years (16 in 2017, 9 in 2016, 12 in 2015, 11 in 2014, 12 in 2013, 16 in 2012; 6 in 2011; 11 in 2010; and 12 in 2009). Overall, the 2018 result is a considerable improvement on the 35 </w:t>
      </w:r>
      <w:proofErr w:type="spellStart"/>
      <w:r>
        <w:t>exceedence</w:t>
      </w:r>
      <w:proofErr w:type="spellEnd"/>
      <w:r>
        <w:t xml:space="preserve"> days observed when PM</w:t>
      </w:r>
      <w:r>
        <w:rPr>
          <w:vertAlign w:val="subscript"/>
        </w:rPr>
        <w:t>2.5</w:t>
      </w:r>
      <w:r>
        <w:t xml:space="preserve"> monitoring was introduced in 2006. The annual average PM</w:t>
      </w:r>
      <w:r>
        <w:rPr>
          <w:vertAlign w:val="subscript"/>
        </w:rPr>
        <w:t>2.5</w:t>
      </w:r>
      <w:r>
        <w:t xml:space="preserve"> concentration in 2018, of 7.9 µg/m</w:t>
      </w:r>
      <w:r>
        <w:rPr>
          <w:vertAlign w:val="superscript"/>
        </w:rPr>
        <w:t>3</w:t>
      </w:r>
      <w:r>
        <w:t xml:space="preserve"> meets the PM</w:t>
      </w:r>
      <w:r>
        <w:rPr>
          <w:vertAlign w:val="subscript"/>
        </w:rPr>
        <w:t>2.5</w:t>
      </w:r>
      <w:r>
        <w:t xml:space="preserve"> annual standard of less than 8 µg/m</w:t>
      </w:r>
      <w:r>
        <w:rPr>
          <w:vertAlign w:val="superscript"/>
        </w:rPr>
        <w:t>3</w:t>
      </w:r>
      <w:r>
        <w:t xml:space="preserve">, and is comparable with annual averages from the past few years </w:t>
      </w:r>
      <w:proofErr w:type="gramStart"/>
      <w:r>
        <w:t>( 8.6</w:t>
      </w:r>
      <w:proofErr w:type="gramEnd"/>
      <w:r>
        <w:t> µg/m</w:t>
      </w:r>
      <w:r>
        <w:rPr>
          <w:vertAlign w:val="superscript"/>
        </w:rPr>
        <w:t>3</w:t>
      </w:r>
      <w:r>
        <w:t xml:space="preserve"> in 2017, 7.8 µg/m</w:t>
      </w:r>
      <w:r>
        <w:rPr>
          <w:vertAlign w:val="superscript"/>
        </w:rPr>
        <w:t>3</w:t>
      </w:r>
      <w:r>
        <w:t xml:space="preserve"> in 2016; 8.7 in 2014; 8.1 µg/m</w:t>
      </w:r>
      <w:r>
        <w:rPr>
          <w:vertAlign w:val="superscript"/>
        </w:rPr>
        <w:t>3</w:t>
      </w:r>
      <w:r>
        <w:t xml:space="preserve"> in 2013; 8.4 µg/m</w:t>
      </w:r>
      <w:r>
        <w:rPr>
          <w:vertAlign w:val="superscript"/>
        </w:rPr>
        <w:t>3</w:t>
      </w:r>
      <w:r>
        <w:t xml:space="preserve"> in 2012; 7.5 µg/m</w:t>
      </w:r>
      <w:r>
        <w:rPr>
          <w:vertAlign w:val="superscript"/>
        </w:rPr>
        <w:t>3</w:t>
      </w:r>
      <w:r>
        <w:t xml:space="preserve"> in 2011; 8.3 µg/m</w:t>
      </w:r>
      <w:r>
        <w:rPr>
          <w:vertAlign w:val="superscript"/>
        </w:rPr>
        <w:t>3</w:t>
      </w:r>
      <w:r>
        <w:t xml:space="preserve"> in 2010; and 7.5 µg/m</w:t>
      </w:r>
      <w:r>
        <w:rPr>
          <w:vertAlign w:val="superscript"/>
        </w:rPr>
        <w:t>3</w:t>
      </w:r>
      <w:r>
        <w:t xml:space="preserve"> in 2009).</w:t>
      </w:r>
    </w:p>
    <w:p w14:paraId="241FEFAA" w14:textId="77777777" w:rsidR="00EB6564" w:rsidRDefault="00EB6564" w:rsidP="00EB6564">
      <w:pPr>
        <w:pStyle w:val="04HEADING4"/>
      </w:pPr>
      <w:r>
        <w:t>Hobart</w:t>
      </w:r>
    </w:p>
    <w:p w14:paraId="783A009B" w14:textId="77777777" w:rsidR="00EB6564" w:rsidRDefault="00EB6564" w:rsidP="00EB6564">
      <w:pPr>
        <w:pStyle w:val="04bHEADING5"/>
      </w:pPr>
      <w:r>
        <w:t>PM</w:t>
      </w:r>
      <w:r>
        <w:rPr>
          <w:vertAlign w:val="subscript"/>
        </w:rPr>
        <w:t>10</w:t>
      </w:r>
      <w:r>
        <w:tab/>
      </w:r>
    </w:p>
    <w:p w14:paraId="64362ED2" w14:textId="77777777" w:rsidR="00EB6564" w:rsidRDefault="00EB6564" w:rsidP="00EB6564">
      <w:pPr>
        <w:pStyle w:val="05BODYTEXT"/>
      </w:pPr>
      <w:r>
        <w:t xml:space="preserve">In Hobart in 2018 there were no </w:t>
      </w:r>
      <w:proofErr w:type="spellStart"/>
      <w:r>
        <w:t>exceedences</w:t>
      </w:r>
      <w:proofErr w:type="spellEnd"/>
      <w:r>
        <w:t xml:space="preserve"> of the 24-hour PM</w:t>
      </w:r>
      <w:r>
        <w:rPr>
          <w:vertAlign w:val="subscript"/>
        </w:rPr>
        <w:t>10</w:t>
      </w:r>
      <w:r>
        <w:t xml:space="preserve"> standard. Provisional data capture rates in each quarter were 74%, 63%, 100%, and 51% and 72% annually. (These may be revised as full data validation has not yet been completed.) The (provisional) annual average PM</w:t>
      </w:r>
      <w:r>
        <w:rPr>
          <w:vertAlign w:val="subscript"/>
        </w:rPr>
        <w:t>10</w:t>
      </w:r>
      <w:r>
        <w:t xml:space="preserve"> level was 11.5 µg/m</w:t>
      </w:r>
      <w:r>
        <w:rPr>
          <w:vertAlign w:val="superscript"/>
        </w:rPr>
        <w:t>3</w:t>
      </w:r>
      <w:r>
        <w:t>, which meets the annual PM</w:t>
      </w:r>
      <w:r>
        <w:rPr>
          <w:vertAlign w:val="subscript"/>
        </w:rPr>
        <w:t>10</w:t>
      </w:r>
      <w:r>
        <w:t xml:space="preserve"> standard of less than 25 µg/m</w:t>
      </w:r>
      <w:r>
        <w:rPr>
          <w:vertAlign w:val="superscript"/>
        </w:rPr>
        <w:t>3</w:t>
      </w:r>
      <w:r>
        <w:t>.</w:t>
      </w:r>
    </w:p>
    <w:p w14:paraId="0DAF1984" w14:textId="77777777" w:rsidR="00EB6564" w:rsidRDefault="00EB6564" w:rsidP="00EB6564">
      <w:pPr>
        <w:pStyle w:val="04bHEADING5"/>
      </w:pPr>
      <w:r>
        <w:t>PM</w:t>
      </w:r>
      <w:r>
        <w:rPr>
          <w:vertAlign w:val="subscript"/>
        </w:rPr>
        <w:t>2.5</w:t>
      </w:r>
      <w:r>
        <w:tab/>
      </w:r>
    </w:p>
    <w:p w14:paraId="11728DA9" w14:textId="77777777" w:rsidR="00EB6564" w:rsidRDefault="00EB6564" w:rsidP="00EB6564">
      <w:pPr>
        <w:pStyle w:val="05BODYTEXT"/>
      </w:pPr>
      <w:r>
        <w:t>The 24-hour standard for PM</w:t>
      </w:r>
      <w:r>
        <w:rPr>
          <w:vertAlign w:val="subscript"/>
        </w:rPr>
        <w:t>2.5</w:t>
      </w:r>
      <w:r>
        <w:t xml:space="preserve"> of 25 µg/m</w:t>
      </w:r>
      <w:r>
        <w:rPr>
          <w:vertAlign w:val="superscript"/>
        </w:rPr>
        <w:t>3</w:t>
      </w:r>
      <w:r>
        <w:t xml:space="preserve"> was exceeded in Hobart on 1 day in 2018. In 2017 there were no days above the standard, in 2016 there were 3 above the standard. In 2014 and 2013 there were also 3 days above the standard, 3 in 2012 and none in 2011. The annual average PM</w:t>
      </w:r>
      <w:r>
        <w:rPr>
          <w:vertAlign w:val="subscript"/>
        </w:rPr>
        <w:t>2.5</w:t>
      </w:r>
      <w:r>
        <w:t xml:space="preserve"> concentration of 5.5 µg/m</w:t>
      </w:r>
      <w:r>
        <w:rPr>
          <w:vertAlign w:val="superscript"/>
        </w:rPr>
        <w:t>3</w:t>
      </w:r>
      <w:r>
        <w:t xml:space="preserve"> was similar to but lower than that of the recent years (5.7 µg/m</w:t>
      </w:r>
      <w:r>
        <w:rPr>
          <w:vertAlign w:val="superscript"/>
        </w:rPr>
        <w:t>3</w:t>
      </w:r>
      <w:r>
        <w:t xml:space="preserve"> in 2017, 5.5 µg/m</w:t>
      </w:r>
      <w:r>
        <w:rPr>
          <w:vertAlign w:val="superscript"/>
        </w:rPr>
        <w:t>3</w:t>
      </w:r>
      <w:r>
        <w:t xml:space="preserve"> in 2016, 5.8 µg/m</w:t>
      </w:r>
      <w:r>
        <w:rPr>
          <w:vertAlign w:val="superscript"/>
        </w:rPr>
        <w:t>3</w:t>
      </w:r>
      <w:r>
        <w:t xml:space="preserve"> in 2015; 6.7 µg/m</w:t>
      </w:r>
      <w:r>
        <w:rPr>
          <w:vertAlign w:val="superscript"/>
        </w:rPr>
        <w:t>3</w:t>
      </w:r>
      <w:r>
        <w:t xml:space="preserve"> in 2014; 6.1 µg/m</w:t>
      </w:r>
      <w:r>
        <w:rPr>
          <w:vertAlign w:val="superscript"/>
        </w:rPr>
        <w:t>3</w:t>
      </w:r>
      <w:r>
        <w:t xml:space="preserve"> in 2013; 6.5 µg/m</w:t>
      </w:r>
      <w:r>
        <w:rPr>
          <w:vertAlign w:val="superscript"/>
        </w:rPr>
        <w:t>3</w:t>
      </w:r>
      <w:r>
        <w:t xml:space="preserve"> in 2012; and 6.2 µg/m</w:t>
      </w:r>
      <w:r>
        <w:rPr>
          <w:vertAlign w:val="superscript"/>
        </w:rPr>
        <w:t>3</w:t>
      </w:r>
      <w:r>
        <w:t xml:space="preserve"> in 2011</w:t>
      </w:r>
      <w:proofErr w:type="gramStart"/>
      <w:r>
        <w:t>), and</w:t>
      </w:r>
      <w:proofErr w:type="gramEnd"/>
      <w:r>
        <w:t xml:space="preserve"> met the annual average PM</w:t>
      </w:r>
      <w:r>
        <w:rPr>
          <w:vertAlign w:val="subscript"/>
        </w:rPr>
        <w:t>2.5</w:t>
      </w:r>
      <w:r>
        <w:t xml:space="preserve"> standard of 8 µg/m</w:t>
      </w:r>
      <w:r>
        <w:rPr>
          <w:vertAlign w:val="superscript"/>
        </w:rPr>
        <w:t>3</w:t>
      </w:r>
      <w:r>
        <w:t xml:space="preserve"> for the thirteenth consecutive year since PM</w:t>
      </w:r>
      <w:r>
        <w:rPr>
          <w:vertAlign w:val="subscript"/>
        </w:rPr>
        <w:t>2.5</w:t>
      </w:r>
      <w:r>
        <w:t xml:space="preserve"> monitoring started at the New Town station. </w:t>
      </w:r>
    </w:p>
    <w:p w14:paraId="72B1426A" w14:textId="77777777" w:rsidR="00EB6564" w:rsidRDefault="00EB6564" w:rsidP="00EB6564">
      <w:pPr>
        <w:pStyle w:val="04HEADING4"/>
      </w:pPr>
      <w:r>
        <w:t>Devonport</w:t>
      </w:r>
    </w:p>
    <w:p w14:paraId="154DDB4A" w14:textId="77777777" w:rsidR="00EB6564" w:rsidRDefault="00EB6564" w:rsidP="00EB6564">
      <w:pPr>
        <w:pStyle w:val="04bHEADING5"/>
      </w:pPr>
      <w:r>
        <w:t>PM</w:t>
      </w:r>
      <w:r>
        <w:rPr>
          <w:vertAlign w:val="subscript"/>
        </w:rPr>
        <w:t>10</w:t>
      </w:r>
      <w:r>
        <w:tab/>
      </w:r>
    </w:p>
    <w:p w14:paraId="66E2663F" w14:textId="77777777" w:rsidR="00EB6564" w:rsidRDefault="00EB6564" w:rsidP="00EB6564">
      <w:pPr>
        <w:pStyle w:val="05BODYTEXT"/>
      </w:pPr>
      <w:r>
        <w:t xml:space="preserve">2018 was the sixth full year of operation of the Devonport air monitoring station. No </w:t>
      </w:r>
      <w:proofErr w:type="spellStart"/>
      <w:r>
        <w:t>exceedences</w:t>
      </w:r>
      <w:proofErr w:type="spellEnd"/>
      <w:r>
        <w:t xml:space="preserve"> of the </w:t>
      </w:r>
      <w:proofErr w:type="gramStart"/>
      <w:r>
        <w:t>24 hour</w:t>
      </w:r>
      <w:proofErr w:type="gramEnd"/>
      <w:r>
        <w:t xml:space="preserve"> PM</w:t>
      </w:r>
      <w:r>
        <w:rPr>
          <w:vertAlign w:val="subscript"/>
        </w:rPr>
        <w:t>10</w:t>
      </w:r>
      <w:r>
        <w:t xml:space="preserve"> standard were recorded in this year. The annual average PM</w:t>
      </w:r>
      <w:r>
        <w:rPr>
          <w:vertAlign w:val="subscript"/>
        </w:rPr>
        <w:t>10</w:t>
      </w:r>
      <w:r>
        <w:t xml:space="preserve"> level was 17.4 µg/m</w:t>
      </w:r>
      <w:r>
        <w:rPr>
          <w:vertAlign w:val="superscript"/>
        </w:rPr>
        <w:t>3</w:t>
      </w:r>
      <w:r>
        <w:t>, which meets the annual PM</w:t>
      </w:r>
      <w:r>
        <w:rPr>
          <w:vertAlign w:val="subscript"/>
        </w:rPr>
        <w:t>10</w:t>
      </w:r>
      <w:r>
        <w:t xml:space="preserve"> standard of less than 25 µg/m</w:t>
      </w:r>
      <w:r>
        <w:rPr>
          <w:vertAlign w:val="superscript"/>
        </w:rPr>
        <w:t>3</w:t>
      </w:r>
      <w:r>
        <w:t>.</w:t>
      </w:r>
    </w:p>
    <w:p w14:paraId="167959DA" w14:textId="77777777" w:rsidR="00EB6564" w:rsidRDefault="00EB6564" w:rsidP="00EB6564">
      <w:pPr>
        <w:pStyle w:val="04bHEADING5"/>
      </w:pPr>
      <w:r>
        <w:t>PM</w:t>
      </w:r>
      <w:r>
        <w:rPr>
          <w:vertAlign w:val="subscript"/>
        </w:rPr>
        <w:t>2.5</w:t>
      </w:r>
      <w:r>
        <w:tab/>
      </w:r>
    </w:p>
    <w:p w14:paraId="4878C74D" w14:textId="77777777" w:rsidR="00EB6564" w:rsidRDefault="00EB6564" w:rsidP="00EB6564">
      <w:pPr>
        <w:pStyle w:val="05BODYTEXT"/>
      </w:pPr>
      <w:r>
        <w:t>The 24-hour PM</w:t>
      </w:r>
      <w:r>
        <w:rPr>
          <w:vertAlign w:val="subscript"/>
        </w:rPr>
        <w:t>2.5</w:t>
      </w:r>
      <w:r>
        <w:t xml:space="preserve"> concentrations measured in Devonport exceeded the PM</w:t>
      </w:r>
      <w:r>
        <w:rPr>
          <w:vertAlign w:val="subscript"/>
        </w:rPr>
        <w:t>2.5</w:t>
      </w:r>
      <w:r>
        <w:t xml:space="preserve"> standard of 25 µg/m</w:t>
      </w:r>
      <w:r>
        <w:rPr>
          <w:vertAlign w:val="superscript"/>
        </w:rPr>
        <w:t>3</w:t>
      </w:r>
      <w:r>
        <w:t xml:space="preserve"> on one day during 2018. The annual average PM</w:t>
      </w:r>
      <w:r>
        <w:rPr>
          <w:vertAlign w:val="subscript"/>
        </w:rPr>
        <w:t>2.5</w:t>
      </w:r>
      <w:r>
        <w:t xml:space="preserve"> concentration of 6.6 µg/m</w:t>
      </w:r>
      <w:r>
        <w:rPr>
          <w:vertAlign w:val="superscript"/>
        </w:rPr>
        <w:t>3</w:t>
      </w:r>
      <w:r>
        <w:t xml:space="preserve"> met the annual standard of 8 µg/m</w:t>
      </w:r>
      <w:r>
        <w:rPr>
          <w:vertAlign w:val="superscript"/>
        </w:rPr>
        <w:t>3</w:t>
      </w:r>
      <w:r>
        <w:t>. Previous annual mean PM</w:t>
      </w:r>
      <w:r>
        <w:rPr>
          <w:vertAlign w:val="subscript"/>
        </w:rPr>
        <w:t>2.5</w:t>
      </w:r>
      <w:r>
        <w:t xml:space="preserve"> levels at Devonport have been 6.7 µg/m</w:t>
      </w:r>
      <w:r>
        <w:rPr>
          <w:vertAlign w:val="superscript"/>
        </w:rPr>
        <w:t>3</w:t>
      </w:r>
      <w:r>
        <w:t xml:space="preserve"> in 2017, 7.9 µg/m</w:t>
      </w:r>
      <w:r>
        <w:rPr>
          <w:vertAlign w:val="superscript"/>
        </w:rPr>
        <w:t>3</w:t>
      </w:r>
      <w:r>
        <w:t xml:space="preserve"> in 2016, 6.2 µg/m</w:t>
      </w:r>
      <w:r>
        <w:rPr>
          <w:vertAlign w:val="superscript"/>
        </w:rPr>
        <w:t>3</w:t>
      </w:r>
      <w:r>
        <w:t xml:space="preserve"> in 2015, 6.8 µg/m</w:t>
      </w:r>
      <w:r>
        <w:rPr>
          <w:vertAlign w:val="superscript"/>
        </w:rPr>
        <w:t>3</w:t>
      </w:r>
      <w:r>
        <w:t xml:space="preserve"> in 2014, and 6.4 µg/m</w:t>
      </w:r>
      <w:r>
        <w:rPr>
          <w:vertAlign w:val="superscript"/>
        </w:rPr>
        <w:t>3</w:t>
      </w:r>
      <w:r>
        <w:t xml:space="preserve"> in 2013.</w:t>
      </w:r>
    </w:p>
    <w:p w14:paraId="5C82BD45" w14:textId="77777777" w:rsidR="00EB6564" w:rsidRDefault="00EB6564" w:rsidP="00EB6564">
      <w:pPr>
        <w:pStyle w:val="04bHEADING5"/>
      </w:pPr>
      <w:r>
        <w:lastRenderedPageBreak/>
        <w:t>Carbon monoxide</w:t>
      </w:r>
    </w:p>
    <w:p w14:paraId="1EA3FA47" w14:textId="77777777" w:rsidR="00EB6564" w:rsidRDefault="00EB6564" w:rsidP="00EB6564">
      <w:pPr>
        <w:pStyle w:val="05BODYTEXT"/>
      </w:pPr>
      <w:r>
        <w:t xml:space="preserve">The peak urban CO monitoring site in Macquarie Street, Hobart was closed in February 2013, after almost two years continuous operation. During this period, the highest hourly CO concentration measured at this high traffic CBD site never exceeded 4 ppm and the highest </w:t>
      </w:r>
      <w:proofErr w:type="gramStart"/>
      <w:r>
        <w:t>8 hour</w:t>
      </w:r>
      <w:proofErr w:type="gramEnd"/>
      <w:r>
        <w:t xml:space="preserve"> average was 1.8 ppm. These data indicate that CO concentrations, generated by urban traffic in Tasmania, are unlikely to exceed the Air NEPM </w:t>
      </w:r>
      <w:proofErr w:type="gramStart"/>
      <w:r>
        <w:t>8 hour</w:t>
      </w:r>
      <w:proofErr w:type="gramEnd"/>
      <w:r>
        <w:t xml:space="preserve"> CO standard of 9 ppm in the foreseeable future.</w:t>
      </w:r>
    </w:p>
    <w:p w14:paraId="13C53316" w14:textId="77777777" w:rsidR="00EB6564" w:rsidRDefault="00EB6564" w:rsidP="00EB6564">
      <w:pPr>
        <w:pStyle w:val="05BODYTEXT"/>
      </w:pPr>
      <w:r>
        <w:t>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the standard for a pollutant is exceeded on no more than a specified number of days in a calendar year (one day per year for all pollutants except PM</w:t>
      </w:r>
      <w:r>
        <w:rPr>
          <w:vertAlign w:val="subscript"/>
        </w:rPr>
        <w:t>10</w:t>
      </w:r>
      <w:r>
        <w:t xml:space="preserve"> and PM</w:t>
      </w:r>
      <w:r>
        <w:rPr>
          <w:vertAlign w:val="subscript"/>
        </w:rPr>
        <w:t>2.5</w:t>
      </w:r>
      <w:r>
        <w:t xml:space="preserve">, which may not be exceeded on any day in the year) and at least 75% of data are captured in each quarter. </w:t>
      </w:r>
    </w:p>
    <w:p w14:paraId="0F459CCD" w14:textId="77777777" w:rsidR="00EB6564" w:rsidRDefault="00EB6564" w:rsidP="00EB6564">
      <w:pPr>
        <w:pStyle w:val="05BODYTEXT"/>
      </w:pPr>
      <w:r>
        <w:t>The data are presented in greater detail in the annual AAQ NEPM monitoring reports for Tasmania.</w:t>
      </w:r>
    </w:p>
    <w:p w14:paraId="7C9D14B9" w14:textId="3B399400" w:rsidR="00EB6564" w:rsidRDefault="00EB6564" w:rsidP="00EB6564">
      <w:pPr>
        <w:pStyle w:val="05BODYTEXT"/>
      </w:pPr>
      <w:r>
        <w:t xml:space="preserve">The monitoring plan for Tasmania is available from </w:t>
      </w:r>
      <w:hyperlink r:id="rId53" w:history="1">
        <w:r w:rsidRPr="00276A45">
          <w:rPr>
            <w:rStyle w:val="Hyperlink"/>
            <w:color w:val="4472C4" w:themeColor="accent1"/>
            <w:u w:val="single"/>
          </w:rPr>
          <w:t>www.epa.tas.gov.au</w:t>
        </w:r>
      </w:hyperlink>
      <w:r>
        <w:t>. (</w:t>
      </w:r>
      <w:hyperlink r:id="rId54" w:history="1">
        <w:r w:rsidRPr="00276A45">
          <w:rPr>
            <w:rStyle w:val="Hyperlink"/>
            <w:color w:val="4472C4" w:themeColor="accent1"/>
            <w:u w:val="single"/>
          </w:rPr>
          <w:t>http://epa.tas.gov.au/epa/air/monitoring-air-pollution/nepm-monitoring-information</w:t>
        </w:r>
      </w:hyperlink>
      <w:r>
        <w:t>)</w:t>
      </w:r>
    </w:p>
    <w:tbl>
      <w:tblPr>
        <w:tblW w:w="0" w:type="auto"/>
        <w:tblInd w:w="-8" w:type="dxa"/>
        <w:tblLayout w:type="fixed"/>
        <w:tblCellMar>
          <w:left w:w="0" w:type="dxa"/>
          <w:right w:w="0" w:type="dxa"/>
        </w:tblCellMar>
        <w:tblLook w:val="0000" w:firstRow="0" w:lastRow="0" w:firstColumn="0" w:lastColumn="0" w:noHBand="0" w:noVBand="0"/>
      </w:tblPr>
      <w:tblGrid>
        <w:gridCol w:w="1715"/>
        <w:gridCol w:w="5731"/>
      </w:tblGrid>
      <w:tr w:rsidR="00EB6564" w14:paraId="2259DE1C" w14:textId="77777777" w:rsidTr="00134EA2">
        <w:trPr>
          <w:trHeight w:val="60"/>
          <w:tblHeader/>
        </w:trPr>
        <w:tc>
          <w:tcPr>
            <w:tcW w:w="1715" w:type="dxa"/>
            <w:vMerge w:val="restart"/>
            <w:tcMar>
              <w:top w:w="85" w:type="dxa"/>
              <w:left w:w="85" w:type="dxa"/>
              <w:bottom w:w="85" w:type="dxa"/>
              <w:right w:w="85" w:type="dxa"/>
            </w:tcMar>
          </w:tcPr>
          <w:p w14:paraId="3130FC83" w14:textId="77777777" w:rsidR="00EB6564" w:rsidRDefault="00EB6564" w:rsidP="00134EA2">
            <w:pPr>
              <w:pStyle w:val="CHEMICALCHEMTABLES"/>
              <w:spacing w:after="0" w:line="240" w:lineRule="auto"/>
            </w:pPr>
            <w:r>
              <w:t>CO</w:t>
            </w:r>
          </w:p>
        </w:tc>
        <w:tc>
          <w:tcPr>
            <w:tcW w:w="5731" w:type="dxa"/>
            <w:tcMar>
              <w:top w:w="85" w:type="dxa"/>
              <w:left w:w="85" w:type="dxa"/>
              <w:bottom w:w="85" w:type="dxa"/>
              <w:right w:w="85" w:type="dxa"/>
            </w:tcMar>
          </w:tcPr>
          <w:p w14:paraId="3F53F872" w14:textId="77777777" w:rsidR="00EB6564" w:rsidRDefault="00EB6564" w:rsidP="00134EA2">
            <w:pPr>
              <w:pStyle w:val="CHEMICALfullnameCHEMTABLES"/>
              <w:spacing w:after="0" w:line="240" w:lineRule="auto"/>
            </w:pPr>
            <w:r>
              <w:t>Carbon monoxide</w:t>
            </w:r>
          </w:p>
          <w:p w14:paraId="136EF280" w14:textId="77777777" w:rsidR="00EB6564" w:rsidRDefault="00EB6564" w:rsidP="00134EA2">
            <w:pPr>
              <w:pStyle w:val="NEPMstandardCHEMTABLES"/>
              <w:spacing w:after="0" w:line="240" w:lineRule="auto"/>
            </w:pPr>
            <w:r>
              <w:t>Not measured in Tasmania for NEPM reporting.</w:t>
            </w:r>
          </w:p>
        </w:tc>
      </w:tr>
      <w:tr w:rsidR="00EB6564" w14:paraId="1E7B58A1" w14:textId="77777777" w:rsidTr="00134EA2">
        <w:trPr>
          <w:trHeight w:val="60"/>
          <w:tblHeader/>
        </w:trPr>
        <w:tc>
          <w:tcPr>
            <w:tcW w:w="1715" w:type="dxa"/>
            <w:vMerge/>
          </w:tcPr>
          <w:p w14:paraId="6CAAA831"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A035FB3" w14:textId="77777777" w:rsidR="00EB6564" w:rsidRDefault="00EB6564" w:rsidP="00134EA2">
            <w:pPr>
              <w:pStyle w:val="NEPMstandardCHEMTABLES"/>
              <w:spacing w:after="0" w:line="240" w:lineRule="auto"/>
            </w:pPr>
            <w:r>
              <w:t>(NEPM standard 8 hours = 9.0ppm)</w:t>
            </w:r>
          </w:p>
        </w:tc>
      </w:tr>
      <w:tr w:rsidR="00EB6564" w14:paraId="0A1F0952" w14:textId="77777777" w:rsidTr="00134EA2">
        <w:trPr>
          <w:trHeight w:hRule="exact" w:val="113"/>
        </w:trPr>
        <w:tc>
          <w:tcPr>
            <w:tcW w:w="1715" w:type="dxa"/>
            <w:tcMar>
              <w:top w:w="85" w:type="dxa"/>
              <w:left w:w="85" w:type="dxa"/>
              <w:bottom w:w="85" w:type="dxa"/>
              <w:right w:w="85" w:type="dxa"/>
            </w:tcMar>
          </w:tcPr>
          <w:p w14:paraId="7D03E2F7"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19270CB4" w14:textId="77777777" w:rsidR="00EB6564" w:rsidRDefault="00EB6564" w:rsidP="00134EA2">
            <w:pPr>
              <w:pStyle w:val="NoParagraphStyle"/>
              <w:spacing w:line="240" w:lineRule="auto"/>
              <w:textAlignment w:val="auto"/>
              <w:rPr>
                <w:rFonts w:ascii="Calibri" w:hAnsi="Calibri" w:cs="Calibri"/>
                <w:color w:val="auto"/>
              </w:rPr>
            </w:pPr>
          </w:p>
        </w:tc>
      </w:tr>
    </w:tbl>
    <w:p w14:paraId="63B53D8B" w14:textId="77777777" w:rsidR="00EB6564" w:rsidRDefault="00EB6564" w:rsidP="00134EA2">
      <w:pPr>
        <w:pStyle w:val="05BODYTEXT"/>
        <w:spacing w:after="0" w:line="240" w:lineRule="auto"/>
      </w:pPr>
    </w:p>
    <w:tbl>
      <w:tblPr>
        <w:tblW w:w="0" w:type="auto"/>
        <w:tblInd w:w="-8" w:type="dxa"/>
        <w:tblLayout w:type="fixed"/>
        <w:tblCellMar>
          <w:left w:w="0" w:type="dxa"/>
          <w:right w:w="0" w:type="dxa"/>
        </w:tblCellMar>
        <w:tblLook w:val="0000" w:firstRow="0" w:lastRow="0" w:firstColumn="0" w:lastColumn="0" w:noHBand="0" w:noVBand="0"/>
      </w:tblPr>
      <w:tblGrid>
        <w:gridCol w:w="1715"/>
        <w:gridCol w:w="5731"/>
      </w:tblGrid>
      <w:tr w:rsidR="00EB6564" w14:paraId="1DE3C3F8" w14:textId="77777777" w:rsidTr="00134EA2">
        <w:trPr>
          <w:trHeight w:val="60"/>
          <w:tblHeader/>
        </w:trPr>
        <w:tc>
          <w:tcPr>
            <w:tcW w:w="1715" w:type="dxa"/>
            <w:vMerge w:val="restart"/>
            <w:tcMar>
              <w:top w:w="85" w:type="dxa"/>
              <w:left w:w="85" w:type="dxa"/>
              <w:bottom w:w="85" w:type="dxa"/>
              <w:right w:w="85" w:type="dxa"/>
            </w:tcMar>
          </w:tcPr>
          <w:p w14:paraId="3B06E486" w14:textId="77777777" w:rsidR="00EB6564" w:rsidRDefault="00EB6564" w:rsidP="00134EA2">
            <w:pPr>
              <w:pStyle w:val="CHEMICALCHEMTABLES"/>
              <w:spacing w:after="0" w:line="240" w:lineRule="auto"/>
            </w:pPr>
            <w:r>
              <w:t>NO</w:t>
            </w:r>
            <w:r>
              <w:rPr>
                <w:vertAlign w:val="subscript"/>
              </w:rPr>
              <w:t>2</w:t>
            </w:r>
          </w:p>
        </w:tc>
        <w:tc>
          <w:tcPr>
            <w:tcW w:w="5731" w:type="dxa"/>
            <w:tcMar>
              <w:top w:w="85" w:type="dxa"/>
              <w:left w:w="85" w:type="dxa"/>
              <w:bottom w:w="85" w:type="dxa"/>
              <w:right w:w="85" w:type="dxa"/>
            </w:tcMar>
          </w:tcPr>
          <w:p w14:paraId="1279B928" w14:textId="77777777" w:rsidR="00EB6564" w:rsidRDefault="00EB6564" w:rsidP="00134EA2">
            <w:pPr>
              <w:pStyle w:val="CHEMICALfullnameCHEMTABLES"/>
              <w:spacing w:after="0" w:line="240" w:lineRule="auto"/>
            </w:pPr>
            <w:r>
              <w:t>Nitrogen dioxide</w:t>
            </w:r>
          </w:p>
          <w:p w14:paraId="62C0EA27" w14:textId="77777777" w:rsidR="00EB6564" w:rsidRDefault="00EB6564" w:rsidP="00134EA2">
            <w:pPr>
              <w:pStyle w:val="05BODYTEXT"/>
              <w:spacing w:after="0" w:line="240" w:lineRule="auto"/>
            </w:pPr>
            <w:r>
              <w:t>Not measured in Tasmania for NEPM reporting.</w:t>
            </w:r>
          </w:p>
        </w:tc>
      </w:tr>
      <w:tr w:rsidR="00EB6564" w14:paraId="04660AD5" w14:textId="77777777" w:rsidTr="00134EA2">
        <w:trPr>
          <w:trHeight w:val="60"/>
          <w:tblHeader/>
        </w:trPr>
        <w:tc>
          <w:tcPr>
            <w:tcW w:w="1715" w:type="dxa"/>
            <w:vMerge/>
          </w:tcPr>
          <w:p w14:paraId="45E1C6DA"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01967729" w14:textId="77777777" w:rsidR="00EB6564" w:rsidRDefault="00EB6564" w:rsidP="00134EA2">
            <w:pPr>
              <w:pStyle w:val="05BODYTEXT"/>
              <w:spacing w:after="0" w:line="240" w:lineRule="auto"/>
            </w:pPr>
            <w:r>
              <w:t>(NEPM standard: 1 hour = 0.12ppm, 1 year = 0.03ppm)</w:t>
            </w:r>
          </w:p>
        </w:tc>
      </w:tr>
      <w:tr w:rsidR="00EB6564" w14:paraId="20582B86" w14:textId="77777777" w:rsidTr="00134EA2">
        <w:trPr>
          <w:trHeight w:hRule="exact" w:val="113"/>
        </w:trPr>
        <w:tc>
          <w:tcPr>
            <w:tcW w:w="1715" w:type="dxa"/>
            <w:tcMar>
              <w:top w:w="85" w:type="dxa"/>
              <w:left w:w="85" w:type="dxa"/>
              <w:bottom w:w="85" w:type="dxa"/>
              <w:right w:w="85" w:type="dxa"/>
            </w:tcMar>
          </w:tcPr>
          <w:p w14:paraId="59BA43ED"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59CCC96C" w14:textId="77777777" w:rsidR="00EB6564" w:rsidRDefault="00EB6564" w:rsidP="00134EA2">
            <w:pPr>
              <w:pStyle w:val="NoParagraphStyle"/>
              <w:spacing w:line="240" w:lineRule="auto"/>
              <w:textAlignment w:val="auto"/>
              <w:rPr>
                <w:rFonts w:ascii="Calibri" w:hAnsi="Calibri" w:cs="Calibri"/>
                <w:color w:val="auto"/>
              </w:rPr>
            </w:pPr>
          </w:p>
        </w:tc>
      </w:tr>
    </w:tbl>
    <w:p w14:paraId="718A6DBF" w14:textId="77777777" w:rsidR="00EB6564" w:rsidRDefault="00EB6564" w:rsidP="00134EA2">
      <w:pPr>
        <w:pStyle w:val="05BODYTEXT"/>
        <w:spacing w:after="0" w:line="240" w:lineRule="auto"/>
      </w:pPr>
    </w:p>
    <w:tbl>
      <w:tblPr>
        <w:tblW w:w="0" w:type="auto"/>
        <w:tblInd w:w="-8" w:type="dxa"/>
        <w:tblLayout w:type="fixed"/>
        <w:tblCellMar>
          <w:left w:w="0" w:type="dxa"/>
          <w:right w:w="0" w:type="dxa"/>
        </w:tblCellMar>
        <w:tblLook w:val="0000" w:firstRow="0" w:lastRow="0" w:firstColumn="0" w:lastColumn="0" w:noHBand="0" w:noVBand="0"/>
      </w:tblPr>
      <w:tblGrid>
        <w:gridCol w:w="1715"/>
        <w:gridCol w:w="5731"/>
      </w:tblGrid>
      <w:tr w:rsidR="00EB6564" w14:paraId="5EAA7A9B" w14:textId="77777777" w:rsidTr="00134EA2">
        <w:trPr>
          <w:trHeight w:val="60"/>
          <w:tblHeader/>
        </w:trPr>
        <w:tc>
          <w:tcPr>
            <w:tcW w:w="1715" w:type="dxa"/>
            <w:vMerge w:val="restart"/>
            <w:tcMar>
              <w:top w:w="85" w:type="dxa"/>
              <w:left w:w="85" w:type="dxa"/>
              <w:bottom w:w="85" w:type="dxa"/>
              <w:right w:w="85" w:type="dxa"/>
            </w:tcMar>
          </w:tcPr>
          <w:p w14:paraId="66A12FD2" w14:textId="77777777" w:rsidR="00EB6564" w:rsidRDefault="00EB6564" w:rsidP="00134EA2">
            <w:pPr>
              <w:pStyle w:val="CHEMICALCHEMTABLES"/>
              <w:spacing w:after="0" w:line="240" w:lineRule="auto"/>
            </w:pPr>
            <w:r>
              <w:t>O</w:t>
            </w:r>
            <w:r>
              <w:rPr>
                <w:vertAlign w:val="subscript"/>
              </w:rPr>
              <w:t>3</w:t>
            </w:r>
          </w:p>
        </w:tc>
        <w:tc>
          <w:tcPr>
            <w:tcW w:w="5731" w:type="dxa"/>
            <w:tcMar>
              <w:top w:w="85" w:type="dxa"/>
              <w:left w:w="85" w:type="dxa"/>
              <w:bottom w:w="85" w:type="dxa"/>
              <w:right w:w="85" w:type="dxa"/>
            </w:tcMar>
          </w:tcPr>
          <w:p w14:paraId="50B479CF" w14:textId="77777777" w:rsidR="00EB6564" w:rsidRDefault="00EB6564" w:rsidP="00134EA2">
            <w:pPr>
              <w:pStyle w:val="CHEMICALfullnameCHEMTABLES"/>
              <w:spacing w:after="0" w:line="240" w:lineRule="auto"/>
            </w:pPr>
            <w:r>
              <w:t>Ozone</w:t>
            </w:r>
          </w:p>
          <w:p w14:paraId="36B1D0F8" w14:textId="77777777" w:rsidR="00EB6564" w:rsidRDefault="00EB6564" w:rsidP="00134EA2">
            <w:pPr>
              <w:pStyle w:val="05BODYTEXT"/>
              <w:spacing w:after="0" w:line="240" w:lineRule="auto"/>
            </w:pPr>
            <w:r>
              <w:t>Not measured in Tasmania for NEPM reporting.</w:t>
            </w:r>
          </w:p>
        </w:tc>
      </w:tr>
      <w:tr w:rsidR="00EB6564" w14:paraId="3A4FF2BC" w14:textId="77777777" w:rsidTr="00134EA2">
        <w:trPr>
          <w:trHeight w:val="60"/>
          <w:tblHeader/>
        </w:trPr>
        <w:tc>
          <w:tcPr>
            <w:tcW w:w="1715" w:type="dxa"/>
            <w:vMerge/>
          </w:tcPr>
          <w:p w14:paraId="4D2E7535"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0A53577C" w14:textId="77777777" w:rsidR="00EB6564" w:rsidRDefault="00EB6564" w:rsidP="00134EA2">
            <w:pPr>
              <w:pStyle w:val="05BODYTEXT"/>
              <w:spacing w:after="0" w:line="240" w:lineRule="auto"/>
            </w:pPr>
            <w:r>
              <w:t>(NEPM standard: 1 hour = 0.10ppm, 4 hours = 0.08ppm)</w:t>
            </w:r>
          </w:p>
        </w:tc>
      </w:tr>
      <w:tr w:rsidR="00EB6564" w14:paraId="5072F661" w14:textId="77777777" w:rsidTr="00134EA2">
        <w:trPr>
          <w:trHeight w:hRule="exact" w:val="113"/>
        </w:trPr>
        <w:tc>
          <w:tcPr>
            <w:tcW w:w="1715" w:type="dxa"/>
            <w:tcMar>
              <w:top w:w="85" w:type="dxa"/>
              <w:left w:w="85" w:type="dxa"/>
              <w:bottom w:w="85" w:type="dxa"/>
              <w:right w:w="85" w:type="dxa"/>
            </w:tcMar>
          </w:tcPr>
          <w:p w14:paraId="281FE31A"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A5816E3" w14:textId="77777777" w:rsidR="00EB6564" w:rsidRDefault="00EB6564" w:rsidP="00134EA2">
            <w:pPr>
              <w:pStyle w:val="NoParagraphStyle"/>
              <w:spacing w:line="240" w:lineRule="auto"/>
              <w:textAlignment w:val="auto"/>
              <w:rPr>
                <w:rFonts w:ascii="Calibri" w:hAnsi="Calibri" w:cs="Calibri"/>
                <w:color w:val="auto"/>
              </w:rPr>
            </w:pPr>
          </w:p>
        </w:tc>
      </w:tr>
    </w:tbl>
    <w:p w14:paraId="6562C100" w14:textId="77777777" w:rsidR="00EB6564" w:rsidRDefault="00EB6564" w:rsidP="00134EA2">
      <w:pPr>
        <w:pStyle w:val="05BODYTEXT"/>
        <w:spacing w:after="0" w:line="240" w:lineRule="auto"/>
      </w:pPr>
    </w:p>
    <w:tbl>
      <w:tblPr>
        <w:tblW w:w="0" w:type="auto"/>
        <w:tblInd w:w="-8" w:type="dxa"/>
        <w:tblLayout w:type="fixed"/>
        <w:tblCellMar>
          <w:left w:w="0" w:type="dxa"/>
          <w:right w:w="0" w:type="dxa"/>
        </w:tblCellMar>
        <w:tblLook w:val="0000" w:firstRow="0" w:lastRow="0" w:firstColumn="0" w:lastColumn="0" w:noHBand="0" w:noVBand="0"/>
      </w:tblPr>
      <w:tblGrid>
        <w:gridCol w:w="1715"/>
        <w:gridCol w:w="5731"/>
      </w:tblGrid>
      <w:tr w:rsidR="00EB6564" w14:paraId="278224A9" w14:textId="77777777" w:rsidTr="00134EA2">
        <w:trPr>
          <w:trHeight w:val="60"/>
          <w:tblHeader/>
        </w:trPr>
        <w:tc>
          <w:tcPr>
            <w:tcW w:w="1715" w:type="dxa"/>
            <w:vMerge w:val="restart"/>
            <w:tcMar>
              <w:top w:w="85" w:type="dxa"/>
              <w:left w:w="85" w:type="dxa"/>
              <w:bottom w:w="85" w:type="dxa"/>
              <w:right w:w="85" w:type="dxa"/>
            </w:tcMar>
          </w:tcPr>
          <w:p w14:paraId="18930E12" w14:textId="77777777" w:rsidR="00EB6564" w:rsidRDefault="00EB6564" w:rsidP="00134EA2">
            <w:pPr>
              <w:pStyle w:val="CHEMICALCHEMTABLES"/>
              <w:spacing w:after="0" w:line="240" w:lineRule="auto"/>
            </w:pPr>
            <w:r>
              <w:t>SO</w:t>
            </w:r>
            <w:r>
              <w:rPr>
                <w:vertAlign w:val="subscript"/>
              </w:rPr>
              <w:t>2</w:t>
            </w:r>
          </w:p>
        </w:tc>
        <w:tc>
          <w:tcPr>
            <w:tcW w:w="5731" w:type="dxa"/>
            <w:tcMar>
              <w:top w:w="85" w:type="dxa"/>
              <w:left w:w="85" w:type="dxa"/>
              <w:bottom w:w="85" w:type="dxa"/>
              <w:right w:w="85" w:type="dxa"/>
            </w:tcMar>
          </w:tcPr>
          <w:p w14:paraId="5C8F7FAF" w14:textId="77777777" w:rsidR="00EB6564" w:rsidRDefault="00EB6564" w:rsidP="00134EA2">
            <w:pPr>
              <w:pStyle w:val="CHEMICALfullnameCHEMTABLES"/>
              <w:spacing w:after="0" w:line="240" w:lineRule="auto"/>
            </w:pPr>
            <w:r>
              <w:t xml:space="preserve">Sulfur dioxide </w:t>
            </w:r>
          </w:p>
          <w:p w14:paraId="082250CB" w14:textId="77777777" w:rsidR="00EB6564" w:rsidRDefault="00EB6564" w:rsidP="00134EA2">
            <w:pPr>
              <w:pStyle w:val="05BODYTEXT"/>
              <w:spacing w:after="0" w:line="240" w:lineRule="auto"/>
            </w:pPr>
            <w:r>
              <w:t>Not measured in Tasmania for NEPM reporting.</w:t>
            </w:r>
          </w:p>
        </w:tc>
      </w:tr>
      <w:tr w:rsidR="00EB6564" w14:paraId="178F8320" w14:textId="77777777" w:rsidTr="00134EA2">
        <w:trPr>
          <w:trHeight w:val="60"/>
          <w:tblHeader/>
        </w:trPr>
        <w:tc>
          <w:tcPr>
            <w:tcW w:w="1715" w:type="dxa"/>
            <w:vMerge/>
          </w:tcPr>
          <w:p w14:paraId="46C5219D"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13A7630C" w14:textId="77777777" w:rsidR="00EB6564" w:rsidRDefault="00EB6564" w:rsidP="00134EA2">
            <w:pPr>
              <w:pStyle w:val="05BODYTEXT"/>
              <w:spacing w:after="0" w:line="240" w:lineRule="auto"/>
            </w:pPr>
            <w:r>
              <w:t>(NEPM standard: 1 hour = 0.20ppm, 1 day = 0.08ppm, 1 year = 0.02ppm)</w:t>
            </w:r>
          </w:p>
        </w:tc>
      </w:tr>
      <w:tr w:rsidR="00EB6564" w14:paraId="78171F1B" w14:textId="77777777" w:rsidTr="00134EA2">
        <w:trPr>
          <w:trHeight w:hRule="exact" w:val="113"/>
        </w:trPr>
        <w:tc>
          <w:tcPr>
            <w:tcW w:w="1715" w:type="dxa"/>
            <w:tcMar>
              <w:top w:w="85" w:type="dxa"/>
              <w:left w:w="85" w:type="dxa"/>
              <w:bottom w:w="85" w:type="dxa"/>
              <w:right w:w="85" w:type="dxa"/>
            </w:tcMar>
          </w:tcPr>
          <w:p w14:paraId="77A62C34"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3CFAAEF7" w14:textId="77777777" w:rsidR="00EB6564" w:rsidRDefault="00EB6564" w:rsidP="00134EA2">
            <w:pPr>
              <w:pStyle w:val="NoParagraphStyle"/>
              <w:spacing w:line="240" w:lineRule="auto"/>
              <w:textAlignment w:val="auto"/>
              <w:rPr>
                <w:rFonts w:ascii="Calibri" w:hAnsi="Calibri" w:cs="Calibri"/>
                <w:color w:val="auto"/>
              </w:rPr>
            </w:pPr>
          </w:p>
        </w:tc>
      </w:tr>
    </w:tbl>
    <w:p w14:paraId="2A1145CC" w14:textId="77777777" w:rsidR="00EB6564" w:rsidRDefault="00EB6564" w:rsidP="00134EA2">
      <w:pPr>
        <w:pStyle w:val="05BODYTEXT"/>
        <w:spacing w:after="0" w:line="240" w:lineRule="auto"/>
      </w:pPr>
    </w:p>
    <w:tbl>
      <w:tblPr>
        <w:tblW w:w="0" w:type="auto"/>
        <w:tblInd w:w="-8" w:type="dxa"/>
        <w:tblLayout w:type="fixed"/>
        <w:tblCellMar>
          <w:left w:w="0" w:type="dxa"/>
          <w:right w:w="0" w:type="dxa"/>
        </w:tblCellMar>
        <w:tblLook w:val="0000" w:firstRow="0" w:lastRow="0" w:firstColumn="0" w:lastColumn="0" w:noHBand="0" w:noVBand="0"/>
      </w:tblPr>
      <w:tblGrid>
        <w:gridCol w:w="1715"/>
        <w:gridCol w:w="5731"/>
      </w:tblGrid>
      <w:tr w:rsidR="00EB6564" w14:paraId="69DE4A80" w14:textId="77777777" w:rsidTr="00134EA2">
        <w:trPr>
          <w:trHeight w:val="60"/>
          <w:tblHeader/>
        </w:trPr>
        <w:tc>
          <w:tcPr>
            <w:tcW w:w="1715" w:type="dxa"/>
            <w:vMerge w:val="restart"/>
            <w:tcMar>
              <w:top w:w="85" w:type="dxa"/>
              <w:left w:w="85" w:type="dxa"/>
              <w:bottom w:w="85" w:type="dxa"/>
              <w:right w:w="85" w:type="dxa"/>
            </w:tcMar>
          </w:tcPr>
          <w:p w14:paraId="73AF67AA" w14:textId="77777777" w:rsidR="00EB6564" w:rsidRDefault="00EB6564" w:rsidP="00134EA2">
            <w:pPr>
              <w:pStyle w:val="CHEMICALCHEMTABLES"/>
              <w:spacing w:after="0" w:line="240" w:lineRule="auto"/>
            </w:pPr>
            <w:r>
              <w:t>Pb</w:t>
            </w:r>
          </w:p>
        </w:tc>
        <w:tc>
          <w:tcPr>
            <w:tcW w:w="5731" w:type="dxa"/>
            <w:tcMar>
              <w:top w:w="85" w:type="dxa"/>
              <w:left w:w="85" w:type="dxa"/>
              <w:bottom w:w="85" w:type="dxa"/>
              <w:right w:w="85" w:type="dxa"/>
            </w:tcMar>
          </w:tcPr>
          <w:p w14:paraId="2B28ECAE" w14:textId="77777777" w:rsidR="00EB6564" w:rsidRDefault="00EB6564" w:rsidP="00134EA2">
            <w:pPr>
              <w:pStyle w:val="CHEMICALfullnameCHEMTABLES"/>
              <w:spacing w:after="0" w:line="240" w:lineRule="auto"/>
            </w:pPr>
            <w:r>
              <w:t>Lead</w:t>
            </w:r>
          </w:p>
          <w:p w14:paraId="5C0C95DE" w14:textId="77777777" w:rsidR="00EB6564" w:rsidRDefault="00EB6564" w:rsidP="00134EA2">
            <w:pPr>
              <w:pStyle w:val="05BODYTEXT"/>
              <w:spacing w:after="0" w:line="240" w:lineRule="auto"/>
            </w:pPr>
            <w:r>
              <w:t>Not measured in Tasmania for NEPM reporting.</w:t>
            </w:r>
          </w:p>
        </w:tc>
      </w:tr>
      <w:tr w:rsidR="00EB6564" w14:paraId="1DF72EDA" w14:textId="77777777" w:rsidTr="00134EA2">
        <w:trPr>
          <w:trHeight w:val="60"/>
          <w:tblHeader/>
        </w:trPr>
        <w:tc>
          <w:tcPr>
            <w:tcW w:w="1715" w:type="dxa"/>
            <w:vMerge/>
          </w:tcPr>
          <w:p w14:paraId="0FDCFD13"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2BE57CF3" w14:textId="77777777" w:rsidR="00EB6564" w:rsidRDefault="00EB6564" w:rsidP="00134EA2">
            <w:pPr>
              <w:pStyle w:val="NEPMstandardCHEMTABLES"/>
              <w:spacing w:after="0" w:line="240" w:lineRule="auto"/>
            </w:pPr>
            <w:r>
              <w:t>(NEPM standard 1 year = 0.50µg/m</w:t>
            </w:r>
            <w:r>
              <w:rPr>
                <w:vertAlign w:val="superscript"/>
              </w:rPr>
              <w:t>3</w:t>
            </w:r>
            <w:r>
              <w:t>)</w:t>
            </w:r>
          </w:p>
        </w:tc>
      </w:tr>
      <w:tr w:rsidR="00EB6564" w14:paraId="5AF82228" w14:textId="77777777" w:rsidTr="00134EA2">
        <w:trPr>
          <w:trHeight w:hRule="exact" w:val="113"/>
        </w:trPr>
        <w:tc>
          <w:tcPr>
            <w:tcW w:w="1715" w:type="dxa"/>
            <w:tcMar>
              <w:top w:w="85" w:type="dxa"/>
              <w:left w:w="85" w:type="dxa"/>
              <w:bottom w:w="85" w:type="dxa"/>
              <w:right w:w="85" w:type="dxa"/>
            </w:tcMar>
          </w:tcPr>
          <w:p w14:paraId="2ECD19FE"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0D6AF2FA" w14:textId="77777777" w:rsidR="00EB6564" w:rsidRDefault="00EB6564" w:rsidP="00134EA2">
            <w:pPr>
              <w:pStyle w:val="NoParagraphStyle"/>
              <w:spacing w:line="240" w:lineRule="auto"/>
              <w:textAlignment w:val="auto"/>
              <w:rPr>
                <w:rFonts w:ascii="Calibri" w:hAnsi="Calibri" w:cs="Calibri"/>
                <w:color w:val="auto"/>
              </w:rPr>
            </w:pPr>
          </w:p>
        </w:tc>
      </w:tr>
    </w:tbl>
    <w:p w14:paraId="7C43415A" w14:textId="2F2C0E5C" w:rsidR="00134EA2" w:rsidRDefault="00134EA2" w:rsidP="00134EA2">
      <w:pPr>
        <w:pStyle w:val="05BODYTEXT"/>
        <w:spacing w:after="0" w:line="240" w:lineRule="auto"/>
      </w:pPr>
    </w:p>
    <w:p w14:paraId="482FB092" w14:textId="77777777" w:rsidR="00134EA2" w:rsidRDefault="00134EA2">
      <w:pPr>
        <w:rPr>
          <w:rFonts w:ascii="Calibri" w:hAnsi="Calibri" w:cs="Calibri"/>
          <w:color w:val="000000"/>
          <w:sz w:val="16"/>
          <w:szCs w:val="16"/>
        </w:rPr>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4EC8D7C0" w14:textId="77777777" w:rsidTr="00134EA2">
        <w:trPr>
          <w:trHeight w:val="60"/>
          <w:tblHeader/>
        </w:trPr>
        <w:tc>
          <w:tcPr>
            <w:tcW w:w="1701" w:type="dxa"/>
            <w:vMerge w:val="restart"/>
            <w:tcMar>
              <w:top w:w="85" w:type="dxa"/>
              <w:left w:w="85" w:type="dxa"/>
              <w:bottom w:w="85" w:type="dxa"/>
              <w:right w:w="85" w:type="dxa"/>
            </w:tcMar>
          </w:tcPr>
          <w:p w14:paraId="3B2F1E52" w14:textId="77777777" w:rsidR="00EB6564" w:rsidRDefault="00EB6564" w:rsidP="00134EA2">
            <w:pPr>
              <w:pStyle w:val="CHEMICALCHEMTABLES"/>
              <w:spacing w:after="0" w:line="240" w:lineRule="auto"/>
            </w:pPr>
            <w:r>
              <w:lastRenderedPageBreak/>
              <w:t>PM</w:t>
            </w:r>
            <w:r>
              <w:rPr>
                <w:vertAlign w:val="subscript"/>
              </w:rPr>
              <w:t>10</w:t>
            </w:r>
          </w:p>
        </w:tc>
        <w:tc>
          <w:tcPr>
            <w:tcW w:w="5731" w:type="dxa"/>
            <w:tcMar>
              <w:top w:w="85" w:type="dxa"/>
              <w:left w:w="85" w:type="dxa"/>
              <w:bottom w:w="85" w:type="dxa"/>
              <w:right w:w="85" w:type="dxa"/>
            </w:tcMar>
          </w:tcPr>
          <w:p w14:paraId="19AAF6C0" w14:textId="77777777" w:rsidR="00EB6564" w:rsidRDefault="00EB6564" w:rsidP="00134EA2">
            <w:pPr>
              <w:pStyle w:val="CHEMICALfullnameCHEMTABLES"/>
              <w:spacing w:after="0" w:line="240" w:lineRule="auto"/>
            </w:pPr>
            <w:r>
              <w:t>Particles as PM</w:t>
            </w:r>
            <w:r>
              <w:rPr>
                <w:vertAlign w:val="subscript"/>
              </w:rPr>
              <w:t>10</w:t>
            </w:r>
          </w:p>
        </w:tc>
      </w:tr>
      <w:tr w:rsidR="00EB6564" w14:paraId="7C22F126" w14:textId="77777777" w:rsidTr="00134EA2">
        <w:trPr>
          <w:trHeight w:val="60"/>
          <w:tblHeader/>
        </w:trPr>
        <w:tc>
          <w:tcPr>
            <w:tcW w:w="1701" w:type="dxa"/>
            <w:vMerge/>
          </w:tcPr>
          <w:p w14:paraId="0A09BCD7"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329E40A6" w14:textId="77777777" w:rsidR="00EB6564" w:rsidRDefault="00EB6564" w:rsidP="00134EA2">
            <w:pPr>
              <w:pStyle w:val="NEPMstandardCHEMTABLES"/>
              <w:spacing w:after="0" w:line="240" w:lineRule="auto"/>
            </w:pPr>
            <w:r>
              <w:t>(NEPM standard 1 day = 50 µg/m</w:t>
            </w:r>
            <w:proofErr w:type="gramStart"/>
            <w:r>
              <w:rPr>
                <w:vertAlign w:val="superscript"/>
              </w:rPr>
              <w:t>3</w:t>
            </w:r>
            <w:r>
              <w:t>,,</w:t>
            </w:r>
            <w:proofErr w:type="gramEnd"/>
            <w:r>
              <w:t xml:space="preserve"> 1 year = 25 µg/m</w:t>
            </w:r>
            <w:r>
              <w:rPr>
                <w:vertAlign w:val="superscript"/>
              </w:rPr>
              <w:t>3</w:t>
            </w:r>
            <w:r>
              <w:t>) Calendar year 2018</w:t>
            </w:r>
          </w:p>
        </w:tc>
      </w:tr>
      <w:tr w:rsidR="00EB6564" w14:paraId="73082DBB" w14:textId="77777777" w:rsidTr="00134EA2">
        <w:trPr>
          <w:trHeight w:hRule="exact" w:val="113"/>
        </w:trPr>
        <w:tc>
          <w:tcPr>
            <w:tcW w:w="1701" w:type="dxa"/>
            <w:tcMar>
              <w:top w:w="85" w:type="dxa"/>
              <w:left w:w="85" w:type="dxa"/>
              <w:bottom w:w="85" w:type="dxa"/>
              <w:right w:w="85" w:type="dxa"/>
            </w:tcMar>
          </w:tcPr>
          <w:p w14:paraId="638A3EA1"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4991A232" w14:textId="77777777" w:rsidR="00EB6564" w:rsidRDefault="00EB6564" w:rsidP="00134EA2">
            <w:pPr>
              <w:pStyle w:val="NoParagraphStyle"/>
              <w:spacing w:line="240" w:lineRule="auto"/>
              <w:textAlignment w:val="auto"/>
              <w:rPr>
                <w:rFonts w:ascii="Calibri" w:hAnsi="Calibri" w:cs="Calibri"/>
                <w:color w:val="auto"/>
              </w:rPr>
            </w:pPr>
          </w:p>
        </w:tc>
      </w:tr>
    </w:tbl>
    <w:p w14:paraId="1BCF4969"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2472"/>
        <w:gridCol w:w="2473"/>
        <w:gridCol w:w="2472"/>
      </w:tblGrid>
      <w:tr w:rsidR="00EB6564" w14:paraId="02E06679" w14:textId="77777777">
        <w:trPr>
          <w:trHeight w:val="60"/>
          <w:tblHeader/>
        </w:trPr>
        <w:tc>
          <w:tcPr>
            <w:tcW w:w="247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A3FF8F6" w14:textId="77777777" w:rsidR="00EB6564" w:rsidRDefault="00EB6564">
            <w:pPr>
              <w:pStyle w:val="06bTABLEHEADERROW"/>
            </w:pPr>
            <w:r>
              <w:t>Station</w:t>
            </w:r>
          </w:p>
        </w:tc>
        <w:tc>
          <w:tcPr>
            <w:tcW w:w="247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33F01F0" w14:textId="77777777" w:rsidR="00EB6564" w:rsidRDefault="00EB6564">
            <w:pPr>
              <w:pStyle w:val="06bTABLEHEADERROW"/>
              <w:jc w:val="center"/>
            </w:pPr>
            <w:r>
              <w:t xml:space="preserve">Number of </w:t>
            </w:r>
            <w:proofErr w:type="spellStart"/>
            <w:r>
              <w:t>exceedences</w:t>
            </w:r>
            <w:proofErr w:type="spellEnd"/>
          </w:p>
        </w:tc>
        <w:tc>
          <w:tcPr>
            <w:tcW w:w="247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339FE60" w14:textId="21CF4FCC" w:rsidR="00EB6564" w:rsidRDefault="00EB6564">
            <w:pPr>
              <w:pStyle w:val="06bTABLEHEADERROW"/>
              <w:jc w:val="center"/>
            </w:pPr>
            <w:r>
              <w:t>Annual Average (</w:t>
            </w:r>
            <w:r w:rsidR="00B3345B">
              <w:t>µ</w:t>
            </w:r>
            <w:r>
              <w:t>g/m</w:t>
            </w:r>
            <w:r>
              <w:rPr>
                <w:vertAlign w:val="superscript"/>
              </w:rPr>
              <w:t>3</w:t>
            </w:r>
            <w:r>
              <w:t>)</w:t>
            </w:r>
          </w:p>
        </w:tc>
      </w:tr>
      <w:tr w:rsidR="00EB6564" w14:paraId="5DB02389"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5C7DFE8" w14:textId="77777777" w:rsidR="00EB6564" w:rsidRDefault="00EB6564">
            <w:pPr>
              <w:pStyle w:val="05BODYTEXT"/>
            </w:pPr>
            <w:r>
              <w:t>Hobart (New Town)</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FE5D114" w14:textId="77777777" w:rsidR="00EB6564" w:rsidRDefault="00EB6564">
            <w:pPr>
              <w:pStyle w:val="05BODY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92B82A" w14:textId="77777777" w:rsidR="00EB6564" w:rsidRDefault="00EB6564">
            <w:pPr>
              <w:pStyle w:val="05BODYTEXT"/>
              <w:jc w:val="center"/>
            </w:pPr>
            <w:r>
              <w:t>11.5</w:t>
            </w:r>
          </w:p>
        </w:tc>
      </w:tr>
      <w:tr w:rsidR="00EB6564" w14:paraId="3BC69367"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501769" w14:textId="77777777" w:rsidR="00EB6564" w:rsidRDefault="00EB6564">
            <w:pPr>
              <w:pStyle w:val="05BODYTEXT"/>
            </w:pPr>
            <w:r>
              <w:t>Launceston (</w:t>
            </w:r>
            <w:proofErr w:type="spellStart"/>
            <w:r>
              <w:t>Ti</w:t>
            </w:r>
            <w:proofErr w:type="spellEnd"/>
            <w:r>
              <w:t xml:space="preserve"> Tree Bend)</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9EEC6A" w14:textId="77777777" w:rsidR="00EB6564" w:rsidRDefault="00EB6564">
            <w:pPr>
              <w:pStyle w:val="05BODY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BE06D1C" w14:textId="77777777" w:rsidR="00EB6564" w:rsidRDefault="00EB6564">
            <w:pPr>
              <w:pStyle w:val="05BODYTEXT"/>
              <w:jc w:val="center"/>
            </w:pPr>
            <w:r>
              <w:t>16.2</w:t>
            </w:r>
          </w:p>
        </w:tc>
      </w:tr>
      <w:tr w:rsidR="00EB6564" w14:paraId="2E1F876F"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11B427" w14:textId="77777777" w:rsidR="00EB6564" w:rsidRDefault="00EB6564">
            <w:pPr>
              <w:pStyle w:val="05BODYTEXT"/>
            </w:pPr>
            <w:r>
              <w:t>Devonport (TAFE)</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391EEC" w14:textId="77777777" w:rsidR="00EB6564" w:rsidRDefault="00EB6564">
            <w:pPr>
              <w:pStyle w:val="05BODY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0642D02" w14:textId="77777777" w:rsidR="00EB6564" w:rsidRDefault="00EB6564">
            <w:pPr>
              <w:pStyle w:val="05BODYTEXT"/>
              <w:jc w:val="center"/>
            </w:pPr>
            <w:r>
              <w:t>17.4</w:t>
            </w:r>
          </w:p>
        </w:tc>
      </w:tr>
    </w:tbl>
    <w:p w14:paraId="0A9B81C6" w14:textId="77777777" w:rsidR="00EB6564" w:rsidRDefault="00EB6564" w:rsidP="00EB6564">
      <w:pPr>
        <w:pStyle w:val="05BODYTEXT"/>
      </w:pPr>
    </w:p>
    <w:tbl>
      <w:tblPr>
        <w:tblW w:w="0" w:type="auto"/>
        <w:tblInd w:w="-8" w:type="dxa"/>
        <w:tblLayout w:type="fixed"/>
        <w:tblCellMar>
          <w:left w:w="0" w:type="dxa"/>
          <w:right w:w="0" w:type="dxa"/>
        </w:tblCellMar>
        <w:tblLook w:val="0000" w:firstRow="0" w:lastRow="0" w:firstColumn="0" w:lastColumn="0" w:noHBand="0" w:noVBand="0"/>
      </w:tblPr>
      <w:tblGrid>
        <w:gridCol w:w="2239"/>
        <w:gridCol w:w="233"/>
        <w:gridCol w:w="2473"/>
        <w:gridCol w:w="2472"/>
        <w:gridCol w:w="10"/>
      </w:tblGrid>
      <w:tr w:rsidR="00EB6564" w14:paraId="7EF720D1" w14:textId="77777777" w:rsidTr="00134EA2">
        <w:trPr>
          <w:trHeight w:val="60"/>
          <w:tblHeader/>
        </w:trPr>
        <w:tc>
          <w:tcPr>
            <w:tcW w:w="2239" w:type="dxa"/>
            <w:vMerge w:val="restart"/>
            <w:tcMar>
              <w:top w:w="85" w:type="dxa"/>
              <w:left w:w="85" w:type="dxa"/>
              <w:bottom w:w="85" w:type="dxa"/>
              <w:right w:w="85" w:type="dxa"/>
            </w:tcMar>
          </w:tcPr>
          <w:p w14:paraId="0ACE313F" w14:textId="77777777" w:rsidR="00EB6564" w:rsidRDefault="00EB6564">
            <w:pPr>
              <w:pStyle w:val="CHEMICALCHEMTABLES"/>
            </w:pPr>
            <w:r>
              <w:t>PM</w:t>
            </w:r>
            <w:r>
              <w:rPr>
                <w:vertAlign w:val="subscript"/>
              </w:rPr>
              <w:t>2.5</w:t>
            </w:r>
          </w:p>
        </w:tc>
        <w:tc>
          <w:tcPr>
            <w:tcW w:w="5188" w:type="dxa"/>
            <w:gridSpan w:val="4"/>
            <w:tcMar>
              <w:top w:w="85" w:type="dxa"/>
              <w:left w:w="85" w:type="dxa"/>
              <w:bottom w:w="85" w:type="dxa"/>
              <w:right w:w="85" w:type="dxa"/>
            </w:tcMar>
          </w:tcPr>
          <w:p w14:paraId="2343E6BA" w14:textId="77777777" w:rsidR="00EB6564" w:rsidRDefault="00EB6564">
            <w:pPr>
              <w:pStyle w:val="CHEMICALfullnameCHEMTABLES"/>
            </w:pPr>
            <w:r>
              <w:t>Particles as PM</w:t>
            </w:r>
            <w:r>
              <w:rPr>
                <w:vertAlign w:val="subscript"/>
              </w:rPr>
              <w:t>2.5</w:t>
            </w:r>
          </w:p>
        </w:tc>
      </w:tr>
      <w:tr w:rsidR="00EB6564" w14:paraId="25D43019" w14:textId="77777777" w:rsidTr="00134EA2">
        <w:trPr>
          <w:trHeight w:val="60"/>
          <w:tblHeader/>
        </w:trPr>
        <w:tc>
          <w:tcPr>
            <w:tcW w:w="2239" w:type="dxa"/>
            <w:vMerge/>
          </w:tcPr>
          <w:p w14:paraId="69B2FB6B" w14:textId="77777777" w:rsidR="00EB6564" w:rsidRDefault="00EB6564">
            <w:pPr>
              <w:pStyle w:val="NoParagraphStyle"/>
              <w:spacing w:line="240" w:lineRule="auto"/>
              <w:textAlignment w:val="auto"/>
              <w:rPr>
                <w:rFonts w:ascii="Calibri" w:hAnsi="Calibri" w:cs="Calibri"/>
                <w:color w:val="auto"/>
              </w:rPr>
            </w:pPr>
          </w:p>
        </w:tc>
        <w:tc>
          <w:tcPr>
            <w:tcW w:w="5188" w:type="dxa"/>
            <w:gridSpan w:val="4"/>
            <w:tcMar>
              <w:top w:w="85" w:type="dxa"/>
              <w:left w:w="85" w:type="dxa"/>
              <w:bottom w:w="85" w:type="dxa"/>
              <w:right w:w="85" w:type="dxa"/>
            </w:tcMar>
          </w:tcPr>
          <w:p w14:paraId="12641DB4" w14:textId="77777777" w:rsidR="00EB6564" w:rsidRDefault="00EB6564">
            <w:pPr>
              <w:pStyle w:val="NEPMstandardCHEMTABLES"/>
            </w:pPr>
            <w:r>
              <w:t>(NEPM standard 1 day = 25 µg/m</w:t>
            </w:r>
            <w:r>
              <w:rPr>
                <w:vertAlign w:val="superscript"/>
              </w:rPr>
              <w:t>3</w:t>
            </w:r>
            <w:r>
              <w:t>, 1 year = 8 µg/m</w:t>
            </w:r>
            <w:r>
              <w:rPr>
                <w:vertAlign w:val="superscript"/>
              </w:rPr>
              <w:t>3</w:t>
            </w:r>
            <w:r>
              <w:t>) Calendar year 2018</w:t>
            </w:r>
          </w:p>
        </w:tc>
      </w:tr>
      <w:tr w:rsidR="00EB6564" w14:paraId="2D6D9953" w14:textId="77777777" w:rsidTr="00134EA2">
        <w:trPr>
          <w:trHeight w:hRule="exact" w:val="113"/>
        </w:trPr>
        <w:tc>
          <w:tcPr>
            <w:tcW w:w="2239" w:type="dxa"/>
            <w:tcMar>
              <w:top w:w="85" w:type="dxa"/>
              <w:left w:w="85" w:type="dxa"/>
              <w:bottom w:w="85" w:type="dxa"/>
              <w:right w:w="85" w:type="dxa"/>
            </w:tcMar>
          </w:tcPr>
          <w:p w14:paraId="58460147" w14:textId="77777777" w:rsidR="00EB6564" w:rsidRDefault="00EB6564">
            <w:pPr>
              <w:pStyle w:val="NoParagraphStyle"/>
              <w:spacing w:line="240" w:lineRule="auto"/>
              <w:textAlignment w:val="auto"/>
              <w:rPr>
                <w:rFonts w:ascii="Calibri" w:hAnsi="Calibri" w:cs="Calibri"/>
                <w:color w:val="auto"/>
              </w:rPr>
            </w:pPr>
          </w:p>
        </w:tc>
        <w:tc>
          <w:tcPr>
            <w:tcW w:w="5188" w:type="dxa"/>
            <w:gridSpan w:val="4"/>
            <w:tcMar>
              <w:top w:w="85" w:type="dxa"/>
              <w:left w:w="85" w:type="dxa"/>
              <w:bottom w:w="85" w:type="dxa"/>
              <w:right w:w="85" w:type="dxa"/>
            </w:tcMar>
          </w:tcPr>
          <w:p w14:paraId="10ABE49A" w14:textId="77777777" w:rsidR="00EB6564" w:rsidRDefault="00EB6564">
            <w:pPr>
              <w:pStyle w:val="NoParagraphStyle"/>
              <w:spacing w:line="240" w:lineRule="auto"/>
              <w:textAlignment w:val="auto"/>
              <w:rPr>
                <w:rFonts w:ascii="Calibri" w:hAnsi="Calibri" w:cs="Calibri"/>
                <w:color w:val="auto"/>
              </w:rPr>
            </w:pPr>
          </w:p>
        </w:tc>
      </w:tr>
      <w:tr w:rsidR="00EB6564" w14:paraId="5A411789" w14:textId="77777777" w:rsidTr="00134EA2">
        <w:trPr>
          <w:gridAfter w:val="1"/>
          <w:wAfter w:w="10" w:type="dxa"/>
          <w:trHeight w:val="60"/>
          <w:tblHeader/>
        </w:trPr>
        <w:tc>
          <w:tcPr>
            <w:tcW w:w="2472" w:type="dxa"/>
            <w:gridSpan w:val="2"/>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E82BBBB" w14:textId="77777777" w:rsidR="00EB6564" w:rsidRDefault="00EB6564">
            <w:pPr>
              <w:pStyle w:val="06bTABLEHEADERROW"/>
            </w:pPr>
            <w:r>
              <w:t>Station</w:t>
            </w:r>
          </w:p>
        </w:tc>
        <w:tc>
          <w:tcPr>
            <w:tcW w:w="4945"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868DF09" w14:textId="77777777" w:rsidR="00EB6564" w:rsidRDefault="00EB6564">
            <w:pPr>
              <w:pStyle w:val="06bTABLEHEADERROW"/>
              <w:jc w:val="center"/>
            </w:pPr>
            <w:r>
              <w:t>1 year</w:t>
            </w:r>
          </w:p>
        </w:tc>
      </w:tr>
      <w:tr w:rsidR="00EB6564" w14:paraId="6D7F8102" w14:textId="77777777" w:rsidTr="00134EA2">
        <w:trPr>
          <w:gridAfter w:val="1"/>
          <w:wAfter w:w="10" w:type="dxa"/>
          <w:trHeight w:val="60"/>
          <w:tblHeader/>
        </w:trPr>
        <w:tc>
          <w:tcPr>
            <w:tcW w:w="2472" w:type="dxa"/>
            <w:gridSpan w:val="2"/>
            <w:vMerge/>
            <w:tcBorders>
              <w:top w:val="single" w:sz="8" w:space="0" w:color="FFFFFF"/>
              <w:left w:val="single" w:sz="4" w:space="0" w:color="FFFFFF"/>
              <w:bottom w:val="single" w:sz="8" w:space="0" w:color="FFFFFF"/>
              <w:right w:val="single" w:sz="4" w:space="0" w:color="FFFFFF"/>
            </w:tcBorders>
          </w:tcPr>
          <w:p w14:paraId="0E30D69D" w14:textId="77777777" w:rsidR="00EB6564" w:rsidRDefault="00EB6564">
            <w:pPr>
              <w:pStyle w:val="NoParagraphStyle"/>
              <w:spacing w:line="240" w:lineRule="auto"/>
              <w:textAlignment w:val="auto"/>
              <w:rPr>
                <w:rFonts w:ascii="Calibri" w:hAnsi="Calibri" w:cs="Calibri"/>
                <w:color w:val="auto"/>
              </w:rPr>
            </w:pPr>
          </w:p>
        </w:tc>
        <w:tc>
          <w:tcPr>
            <w:tcW w:w="247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2A5F179" w14:textId="77777777" w:rsidR="00EB6564" w:rsidRDefault="00EB6564">
            <w:pPr>
              <w:pStyle w:val="06bTABLEHEADERROW"/>
              <w:jc w:val="center"/>
            </w:pPr>
            <w:r>
              <w:t>Number of exceedances</w:t>
            </w:r>
          </w:p>
        </w:tc>
        <w:tc>
          <w:tcPr>
            <w:tcW w:w="247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32D576B" w14:textId="744D74D4" w:rsidR="00EB6564" w:rsidRDefault="00EB6564">
            <w:pPr>
              <w:pStyle w:val="06bTABLEHEADERROW"/>
              <w:jc w:val="center"/>
            </w:pPr>
            <w:r>
              <w:t>Annual average (</w:t>
            </w:r>
            <w:r w:rsidR="00B3345B">
              <w:t>µ</w:t>
            </w:r>
            <w:r>
              <w:t>g/m</w:t>
            </w:r>
            <w:r>
              <w:rPr>
                <w:vertAlign w:val="superscript"/>
              </w:rPr>
              <w:t>3</w:t>
            </w:r>
            <w:r>
              <w:t>)</w:t>
            </w:r>
          </w:p>
        </w:tc>
      </w:tr>
      <w:tr w:rsidR="00EB6564" w14:paraId="792DC6A8" w14:textId="77777777" w:rsidTr="00134EA2">
        <w:trPr>
          <w:gridAfter w:val="1"/>
          <w:wAfter w:w="10"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F85121A" w14:textId="77777777" w:rsidR="00EB6564" w:rsidRDefault="00EB6564">
            <w:pPr>
              <w:pStyle w:val="06cTABLETEXT"/>
            </w:pPr>
            <w:r>
              <w:t>Hobart (New Town)</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144A55" w14:textId="77777777" w:rsidR="00EB6564" w:rsidRDefault="00EB6564">
            <w:pPr>
              <w:pStyle w:val="06cTABLETEXT"/>
              <w:jc w:val="center"/>
            </w:pPr>
            <w:r>
              <w:t>1</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748562" w14:textId="77777777" w:rsidR="00EB6564" w:rsidRDefault="00EB6564">
            <w:pPr>
              <w:pStyle w:val="06cTABLETEXT"/>
              <w:jc w:val="center"/>
            </w:pPr>
            <w:r>
              <w:t>5.5</w:t>
            </w:r>
          </w:p>
        </w:tc>
      </w:tr>
      <w:tr w:rsidR="00EB6564" w14:paraId="26F8B631" w14:textId="77777777" w:rsidTr="00134EA2">
        <w:trPr>
          <w:gridAfter w:val="1"/>
          <w:wAfter w:w="10"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2B14DD" w14:textId="77777777" w:rsidR="00EB6564" w:rsidRDefault="00EB6564">
            <w:pPr>
              <w:pStyle w:val="06cTABLETEXT"/>
            </w:pPr>
            <w:r>
              <w:t>Launceston (</w:t>
            </w:r>
            <w:proofErr w:type="spellStart"/>
            <w:r>
              <w:t>Ti</w:t>
            </w:r>
            <w:proofErr w:type="spellEnd"/>
            <w:r>
              <w:t xml:space="preserve"> Tree Bend)</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CC499C" w14:textId="77777777" w:rsidR="00EB6564" w:rsidRDefault="00EB6564">
            <w:pPr>
              <w:pStyle w:val="06cTABLETEXT"/>
              <w:jc w:val="center"/>
            </w:pPr>
            <w:r>
              <w:t>10</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30D217" w14:textId="77777777" w:rsidR="00EB6564" w:rsidRDefault="00EB6564">
            <w:pPr>
              <w:pStyle w:val="06cTABLETEXT"/>
              <w:jc w:val="center"/>
            </w:pPr>
            <w:r>
              <w:t>7.9</w:t>
            </w:r>
          </w:p>
        </w:tc>
      </w:tr>
      <w:tr w:rsidR="00EB6564" w14:paraId="19D4E690" w14:textId="77777777" w:rsidTr="00134EA2">
        <w:trPr>
          <w:gridAfter w:val="1"/>
          <w:wAfter w:w="10"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7236C4" w14:textId="77777777" w:rsidR="00EB6564" w:rsidRDefault="00EB6564">
            <w:pPr>
              <w:pStyle w:val="06cTABLETEXT"/>
            </w:pPr>
            <w:r>
              <w:t>Devonport (TAFE)</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EABC32F" w14:textId="77777777" w:rsidR="00EB6564" w:rsidRDefault="00EB6564">
            <w:pPr>
              <w:pStyle w:val="06cTABLETEXT"/>
              <w:jc w:val="center"/>
            </w:pPr>
            <w:r>
              <w:t>1</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6BD4F0" w14:textId="77777777" w:rsidR="00EB6564" w:rsidRDefault="00EB6564">
            <w:pPr>
              <w:pStyle w:val="06cTABLETEXT"/>
              <w:jc w:val="center"/>
            </w:pPr>
            <w:r>
              <w:t>6.6</w:t>
            </w:r>
          </w:p>
        </w:tc>
      </w:tr>
    </w:tbl>
    <w:p w14:paraId="179DE0F5" w14:textId="77777777" w:rsidR="00EB6564" w:rsidRDefault="00EB6564" w:rsidP="00EB6564">
      <w:pPr>
        <w:pStyle w:val="05BODYTEXT"/>
      </w:pPr>
    </w:p>
    <w:p w14:paraId="1ECBC4CA" w14:textId="77777777" w:rsidR="00EB6564" w:rsidRPr="009408AB" w:rsidRDefault="00EB6564" w:rsidP="00CB0DA6">
      <w:pPr>
        <w:pStyle w:val="Heading2"/>
      </w:pPr>
      <w:bookmarkStart w:id="32" w:name="_Toc58254386"/>
      <w:r w:rsidRPr="009408AB">
        <w:t>Australian Capital Territory</w:t>
      </w:r>
      <w:bookmarkEnd w:id="32"/>
    </w:p>
    <w:p w14:paraId="0A492C30" w14:textId="77777777" w:rsidR="00EB6564" w:rsidRDefault="00EB6564" w:rsidP="00EB6564">
      <w:pPr>
        <w:pStyle w:val="05BODYTEXT"/>
        <w:rPr>
          <w:rStyle w:val="ITALIC"/>
        </w:rPr>
      </w:pPr>
      <w:r>
        <w:rPr>
          <w:rStyle w:val="ITALIC"/>
        </w:rPr>
        <w:t>Report to the NEPC on the implementation of the National Environment Protection (Ambient Air Quality) Measure for the Australian Capital Territory by Mr Mick Gentleman MLA for the reporting year ended 30 June 2019.</w:t>
      </w:r>
    </w:p>
    <w:p w14:paraId="3430E6C2" w14:textId="77777777" w:rsidR="00EB6564" w:rsidRDefault="00EB6564" w:rsidP="00EB6564">
      <w:pPr>
        <w:pStyle w:val="02HEADING2"/>
      </w:pPr>
      <w:r>
        <w:t>Part 1—Implementation of the NEPM and any significant issues</w:t>
      </w:r>
    </w:p>
    <w:p w14:paraId="53117897" w14:textId="77777777" w:rsidR="00EB6564" w:rsidRDefault="00EB6564" w:rsidP="00EB6564">
      <w:pPr>
        <w:pStyle w:val="05bDOTPOINTS"/>
      </w:pPr>
      <w:r>
        <w:t>•</w:t>
      </w:r>
      <w:r>
        <w:tab/>
        <w:t xml:space="preserve">The ACT’s ambient air quality monitoring was performed in accordance with the ACT’s monitoring plan, National Environment Protection (Ambient Air Quality) Measure (the NEPM) Technical Papers and ACT Health’s National Association of Testing Authorities’ accreditation. </w:t>
      </w:r>
    </w:p>
    <w:p w14:paraId="604C2A12" w14:textId="77777777" w:rsidR="00EB6564" w:rsidRDefault="00EB6564" w:rsidP="00EB6564">
      <w:pPr>
        <w:pStyle w:val="05bDOTPOINTS"/>
      </w:pPr>
      <w:r>
        <w:t>•</w:t>
      </w:r>
      <w:r>
        <w:tab/>
        <w:t>The ACT’s air quality in 2018 was assessed against the NEPM standards. In accordance with its agreed policy position, the ACT assessed its compliance for the annual average for particulate matter less than 10 microns (PM</w:t>
      </w:r>
      <w:r>
        <w:rPr>
          <w:vertAlign w:val="subscript"/>
        </w:rPr>
        <w:t>10</w:t>
      </w:r>
      <w:r>
        <w:t>) against a lower standard of 20μg/m</w:t>
      </w:r>
      <w:r>
        <w:rPr>
          <w:vertAlign w:val="superscript"/>
        </w:rPr>
        <w:t>3</w:t>
      </w:r>
      <w:r>
        <w:t xml:space="preserve"> rather than the NEPM standard of 25μg/m</w:t>
      </w:r>
      <w:r>
        <w:rPr>
          <w:vertAlign w:val="superscript"/>
        </w:rPr>
        <w:t>3</w:t>
      </w:r>
      <w:r>
        <w:t xml:space="preserve"> from 2016.</w:t>
      </w:r>
    </w:p>
    <w:p w14:paraId="64F6DFFC" w14:textId="77777777" w:rsidR="00EB6564" w:rsidRDefault="00EB6564" w:rsidP="00EB6564">
      <w:pPr>
        <w:pStyle w:val="05bDOTPOINTS"/>
      </w:pPr>
      <w:r>
        <w:t>•</w:t>
      </w:r>
      <w:r>
        <w:tab/>
        <w:t xml:space="preserve">Due to a lack of heavy industry, the ACT has never monitored </w:t>
      </w:r>
      <w:proofErr w:type="spellStart"/>
      <w:r>
        <w:t>sulfur</w:t>
      </w:r>
      <w:proofErr w:type="spellEnd"/>
      <w:r>
        <w:t xml:space="preserve"> dioxide (SO</w:t>
      </w:r>
      <w:r>
        <w:rPr>
          <w:vertAlign w:val="subscript"/>
        </w:rPr>
        <w:t>2</w:t>
      </w:r>
      <w:r>
        <w:t>) as it is primarily an industrial pollutant, and lead monitoring ceased in 2002 with the phase out of leaded petrol.</w:t>
      </w:r>
    </w:p>
    <w:p w14:paraId="6DFBB284" w14:textId="77777777" w:rsidR="00EB6564" w:rsidRDefault="00EB6564" w:rsidP="00EB6564">
      <w:pPr>
        <w:pStyle w:val="05bDOTPOINTS"/>
      </w:pPr>
      <w:r>
        <w:t>•</w:t>
      </w:r>
      <w:r>
        <w:tab/>
        <w:t>The NEPM monitoring network in the ACT consisted of three monitoring stations in 2018.</w:t>
      </w:r>
    </w:p>
    <w:p w14:paraId="6BFC6856" w14:textId="77777777" w:rsidR="00EB6564" w:rsidRDefault="00EB6564" w:rsidP="00EB6564">
      <w:pPr>
        <w:pStyle w:val="02HEADING2"/>
      </w:pPr>
      <w:r>
        <w:t>Part 2—Assessment of NEPM effectiveness</w:t>
      </w:r>
    </w:p>
    <w:p w14:paraId="4D3BAB25" w14:textId="77777777" w:rsidR="00EB6564" w:rsidRDefault="00EB6564" w:rsidP="00EB6564">
      <w:pPr>
        <w:pStyle w:val="05BODYTEXT"/>
      </w:pPr>
      <w:r>
        <w:t xml:space="preserve">The ACT Government has been undertaking ambient air quality monitoring in Canberra since the early 1990’s. The monitoring network in the ACT consists of three monitoring stations. </w:t>
      </w:r>
    </w:p>
    <w:p w14:paraId="052186AF" w14:textId="77777777" w:rsidR="00EB6564" w:rsidRDefault="00EB6564" w:rsidP="00EB6564">
      <w:pPr>
        <w:pStyle w:val="05BODYTEXT"/>
      </w:pPr>
      <w:r>
        <w:t xml:space="preserve">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w:t>
      </w:r>
      <w:r>
        <w:lastRenderedPageBreak/>
        <w:t xml:space="preserve">times shorter than one year, compliance with the NEPM goal is achieved if the standard for a pollutant is exceeded on no more than a specified number of days in a calendar year and at least 75% of data are captured in each quarter. </w:t>
      </w:r>
    </w:p>
    <w:p w14:paraId="72388BB0" w14:textId="77777777" w:rsidR="00EB6564" w:rsidRDefault="00EB6564" w:rsidP="00EB6564">
      <w:pPr>
        <w:pStyle w:val="05BODYTEXT"/>
      </w:pPr>
      <w:r>
        <w:t xml:space="preserve">The ACT Air Quality Report 2018 presents the results of ambient air quality monitoring in the ACT for 2018 and assesses the results in accordance with the requirements of the NEPM. </w:t>
      </w:r>
    </w:p>
    <w:p w14:paraId="7E53CDE7" w14:textId="77777777" w:rsidR="00EB6564" w:rsidRDefault="00EB6564" w:rsidP="00EB6564">
      <w:pPr>
        <w:pStyle w:val="05bDOTPOINTS"/>
      </w:pPr>
      <w:r>
        <w:t>A summary of the 2018 monitoring results is:</w:t>
      </w:r>
    </w:p>
    <w:p w14:paraId="700F1791" w14:textId="77777777" w:rsidR="00EB6564" w:rsidRDefault="00EB6564" w:rsidP="00EB6564">
      <w:pPr>
        <w:pStyle w:val="05bDOTPOINTS"/>
      </w:pPr>
      <w:r>
        <w:t>•</w:t>
      </w:r>
      <w:r>
        <w:tab/>
        <w:t xml:space="preserve">Canberra’s air quality was generally good, with no exceedances of the NEPM standards for carbon monoxide, nitrogen dioxide or ozone at any of the ACT’s monitoring </w:t>
      </w:r>
      <w:proofErr w:type="gramStart"/>
      <w:r>
        <w:t>stations;</w:t>
      </w:r>
      <w:proofErr w:type="gramEnd"/>
    </w:p>
    <w:p w14:paraId="0E08113C" w14:textId="77777777" w:rsidR="00EB6564" w:rsidRDefault="00EB6564" w:rsidP="00EB6564">
      <w:pPr>
        <w:pStyle w:val="05bDOTPOINTS"/>
      </w:pPr>
      <w:r>
        <w:t>•</w:t>
      </w:r>
      <w:r>
        <w:tab/>
        <w:t xml:space="preserve">The Air Quality Index (AQI) was in the “very good”, “good” or “fair” category for over 98 percent of the time in Canberra. For more information about AQI, please visit the </w:t>
      </w:r>
      <w:r w:rsidRPr="008B4D97">
        <w:rPr>
          <w:rStyle w:val="Hyperlink"/>
          <w:u w:val="none"/>
        </w:rPr>
        <w:t xml:space="preserve">Health Directorate </w:t>
      </w:r>
      <w:proofErr w:type="gramStart"/>
      <w:r w:rsidRPr="008B4D97">
        <w:rPr>
          <w:rStyle w:val="Hyperlink"/>
          <w:u w:val="none"/>
        </w:rPr>
        <w:t>website</w:t>
      </w:r>
      <w:r>
        <w:t>;</w:t>
      </w:r>
      <w:proofErr w:type="gramEnd"/>
      <w:r>
        <w:t xml:space="preserve"> </w:t>
      </w:r>
    </w:p>
    <w:p w14:paraId="6689F280" w14:textId="77777777" w:rsidR="00EB6564" w:rsidRDefault="00EB6564" w:rsidP="00EB6564">
      <w:pPr>
        <w:pStyle w:val="05bDOTPOINTS"/>
      </w:pPr>
      <w:r>
        <w:t>•</w:t>
      </w:r>
      <w:r>
        <w:tab/>
        <w:t xml:space="preserve">The major impacts on Canberra’s air quality came from the accumulation of particles from hazard reduction burns, dust storms and wood heaters; and </w:t>
      </w:r>
    </w:p>
    <w:p w14:paraId="5529122F" w14:textId="77777777" w:rsidR="00EB6564" w:rsidRDefault="00EB6564" w:rsidP="00EB6564">
      <w:pPr>
        <w:pStyle w:val="05bDOTPOINTS"/>
      </w:pPr>
      <w:r>
        <w:t>•</w:t>
      </w:r>
      <w:r>
        <w:tab/>
        <w:t>Due to the prolonged drought conditions in 2018, more frequent dust storms resulted in particle levels, PM</w:t>
      </w:r>
      <w:r>
        <w:rPr>
          <w:vertAlign w:val="subscript"/>
        </w:rPr>
        <w:t>10</w:t>
      </w:r>
      <w:r>
        <w:t xml:space="preserve"> (particles with a diameter of 10 micrometres or less) in particular, significantly above the standards across Canberra, highlighting the impacts that climate change can have on air quality.</w:t>
      </w:r>
    </w:p>
    <w:p w14:paraId="23AB6E51" w14:textId="35A1B1A4" w:rsidR="00EB6564" w:rsidRDefault="00EB6564" w:rsidP="00EB6564">
      <w:pPr>
        <w:pStyle w:val="05BODYTEXT"/>
      </w:pPr>
      <w:r>
        <w:t xml:space="preserve">The data are presented in greater detail in the ACT Air Quality Report 2018, available through </w:t>
      </w:r>
      <w:hyperlink r:id="rId55" w:anchor="!tabs-4" w:history="1">
        <w:r w:rsidRPr="00276A45">
          <w:rPr>
            <w:rStyle w:val="Hyperlink"/>
            <w:color w:val="4472C4" w:themeColor="accent1"/>
            <w:u w:val="single"/>
          </w:rPr>
          <w:t>https://www.accesscanberra.act.gov.au/app/answers/detail/a_id/1320/~/air-pollution#!tabs-4</w:t>
        </w:r>
      </w:hyperlink>
      <w: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46235DCA" w14:textId="77777777" w:rsidTr="00134EA2">
        <w:trPr>
          <w:trHeight w:val="60"/>
          <w:tblHeader/>
        </w:trPr>
        <w:tc>
          <w:tcPr>
            <w:tcW w:w="1701" w:type="dxa"/>
            <w:vMerge w:val="restart"/>
            <w:tcMar>
              <w:top w:w="85" w:type="dxa"/>
              <w:left w:w="85" w:type="dxa"/>
              <w:bottom w:w="85" w:type="dxa"/>
              <w:right w:w="85" w:type="dxa"/>
            </w:tcMar>
          </w:tcPr>
          <w:p w14:paraId="48B4157A" w14:textId="77777777" w:rsidR="00EB6564" w:rsidRDefault="00EB6564" w:rsidP="00134EA2">
            <w:pPr>
              <w:pStyle w:val="CHEMICALCHEMTABLES"/>
              <w:spacing w:after="0" w:line="240" w:lineRule="auto"/>
            </w:pPr>
            <w:r>
              <w:t>CO</w:t>
            </w:r>
          </w:p>
        </w:tc>
        <w:tc>
          <w:tcPr>
            <w:tcW w:w="5731" w:type="dxa"/>
            <w:tcMar>
              <w:top w:w="85" w:type="dxa"/>
              <w:left w:w="85" w:type="dxa"/>
              <w:bottom w:w="85" w:type="dxa"/>
              <w:right w:w="85" w:type="dxa"/>
            </w:tcMar>
          </w:tcPr>
          <w:p w14:paraId="3FA8B48D" w14:textId="77777777" w:rsidR="00EB6564" w:rsidRDefault="00EB6564" w:rsidP="00134EA2">
            <w:pPr>
              <w:pStyle w:val="CHEMICALfullnameCHEMTABLES"/>
              <w:spacing w:after="0" w:line="240" w:lineRule="auto"/>
            </w:pPr>
            <w:r>
              <w:t>Carbon monoxide</w:t>
            </w:r>
          </w:p>
        </w:tc>
      </w:tr>
      <w:tr w:rsidR="00EB6564" w14:paraId="39414377" w14:textId="77777777" w:rsidTr="00134EA2">
        <w:trPr>
          <w:trHeight w:val="60"/>
          <w:tblHeader/>
        </w:trPr>
        <w:tc>
          <w:tcPr>
            <w:tcW w:w="1701" w:type="dxa"/>
            <w:vMerge/>
          </w:tcPr>
          <w:p w14:paraId="55D1DCAF"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F0BF84B" w14:textId="77777777" w:rsidR="00EB6564" w:rsidRDefault="00EB6564" w:rsidP="00134EA2">
            <w:pPr>
              <w:pStyle w:val="NEPMstandardCHEMTABLES"/>
              <w:spacing w:after="0" w:line="240" w:lineRule="auto"/>
            </w:pPr>
            <w:r>
              <w:t>(NEPM standard 8 hours = 9.0ppm)</w:t>
            </w:r>
          </w:p>
        </w:tc>
      </w:tr>
      <w:tr w:rsidR="00EB6564" w14:paraId="27B9F813" w14:textId="77777777" w:rsidTr="00134EA2">
        <w:trPr>
          <w:trHeight w:hRule="exact" w:val="113"/>
        </w:trPr>
        <w:tc>
          <w:tcPr>
            <w:tcW w:w="1701" w:type="dxa"/>
            <w:tcMar>
              <w:top w:w="85" w:type="dxa"/>
              <w:left w:w="85" w:type="dxa"/>
              <w:bottom w:w="85" w:type="dxa"/>
              <w:right w:w="85" w:type="dxa"/>
            </w:tcMar>
          </w:tcPr>
          <w:p w14:paraId="17C60D91"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24032548" w14:textId="77777777" w:rsidR="00EB6564" w:rsidRDefault="00EB6564" w:rsidP="00134EA2">
            <w:pPr>
              <w:pStyle w:val="NoParagraphStyle"/>
              <w:spacing w:line="240" w:lineRule="auto"/>
              <w:textAlignment w:val="auto"/>
              <w:rPr>
                <w:rFonts w:ascii="Calibri" w:hAnsi="Calibri" w:cs="Calibri"/>
                <w:color w:val="auto"/>
              </w:rPr>
            </w:pPr>
          </w:p>
        </w:tc>
      </w:tr>
    </w:tbl>
    <w:p w14:paraId="246EBE3B"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2469"/>
        <w:gridCol w:w="2469"/>
        <w:gridCol w:w="2469"/>
      </w:tblGrid>
      <w:tr w:rsidR="00EB6564" w14:paraId="262DC732" w14:textId="77777777">
        <w:trPr>
          <w:trHeight w:val="60"/>
          <w:tblHeader/>
        </w:trPr>
        <w:tc>
          <w:tcPr>
            <w:tcW w:w="246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784A24B" w14:textId="77777777" w:rsidR="00EB6564" w:rsidRDefault="00EB6564">
            <w:pPr>
              <w:pStyle w:val="06bTABLEHEADERROW"/>
            </w:pPr>
            <w:r>
              <w:t>Station</w:t>
            </w:r>
          </w:p>
        </w:tc>
        <w:tc>
          <w:tcPr>
            <w:tcW w:w="246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652EE50" w14:textId="77777777" w:rsidR="00EB6564" w:rsidRDefault="00EB6564">
            <w:pPr>
              <w:pStyle w:val="06bTABLEHEADERROW"/>
              <w:jc w:val="center"/>
            </w:pPr>
            <w:r>
              <w:t>Number of exceedances</w:t>
            </w:r>
          </w:p>
        </w:tc>
        <w:tc>
          <w:tcPr>
            <w:tcW w:w="246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68D4F72" w14:textId="77777777" w:rsidR="00EB6564" w:rsidRDefault="00EB6564">
            <w:pPr>
              <w:pStyle w:val="06bTABLEHEADERROW"/>
              <w:jc w:val="center"/>
            </w:pPr>
            <w:r>
              <w:t>NEPM goal compliance</w:t>
            </w:r>
          </w:p>
        </w:tc>
      </w:tr>
      <w:tr w:rsidR="00EB6564" w14:paraId="6C3CADAD" w14:textId="77777777">
        <w:trPr>
          <w:trHeight w:val="60"/>
        </w:trPr>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53F8987" w14:textId="77777777" w:rsidR="00EB6564" w:rsidRDefault="00EB6564">
            <w:pPr>
              <w:pStyle w:val="06cTABLETEXT"/>
            </w:pPr>
            <w:r>
              <w:t>Monash</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8BDB02" w14:textId="77777777" w:rsidR="00EB6564" w:rsidRDefault="00EB6564">
            <w:pPr>
              <w:pStyle w:val="06cTABLETEXT"/>
              <w:jc w:val="center"/>
            </w:pPr>
            <w:r>
              <w:t>0</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5DA2D5" w14:textId="77777777" w:rsidR="00EB6564" w:rsidRDefault="00EB6564">
            <w:pPr>
              <w:pStyle w:val="06cTABLETEXT"/>
              <w:jc w:val="center"/>
            </w:pPr>
            <w:r>
              <w:t>Met</w:t>
            </w:r>
          </w:p>
        </w:tc>
      </w:tr>
      <w:tr w:rsidR="00EB6564" w14:paraId="126D7B66" w14:textId="77777777">
        <w:trPr>
          <w:trHeight w:val="60"/>
        </w:trPr>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EDFC00E" w14:textId="77777777" w:rsidR="00EB6564" w:rsidRDefault="00EB6564">
            <w:pPr>
              <w:pStyle w:val="06cTABLETEXT"/>
            </w:pPr>
            <w:r>
              <w:t>Florey</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D7BCD1" w14:textId="77777777" w:rsidR="00EB6564" w:rsidRDefault="00EB6564">
            <w:pPr>
              <w:pStyle w:val="06cTABLETEXT"/>
              <w:jc w:val="center"/>
            </w:pPr>
            <w:r>
              <w:t>0</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736EC6" w14:textId="77777777" w:rsidR="00EB6564" w:rsidRDefault="00EB6564">
            <w:pPr>
              <w:pStyle w:val="06cTABLETEXT"/>
              <w:jc w:val="center"/>
            </w:pPr>
            <w:r>
              <w:t>Met</w:t>
            </w:r>
          </w:p>
        </w:tc>
      </w:tr>
    </w:tbl>
    <w:p w14:paraId="2BC61A19" w14:textId="77777777" w:rsidR="00EB6564" w:rsidRDefault="00EB6564" w:rsidP="00EB6564">
      <w:pPr>
        <w:pStyle w:val="05BODYTEXT"/>
        <w:spacing w:after="0"/>
      </w:pP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0E82E7DB" w14:textId="77777777" w:rsidTr="00134EA2">
        <w:trPr>
          <w:trHeight w:val="60"/>
          <w:tblHeader/>
        </w:trPr>
        <w:tc>
          <w:tcPr>
            <w:tcW w:w="1701" w:type="dxa"/>
            <w:vMerge w:val="restart"/>
            <w:tcMar>
              <w:top w:w="85" w:type="dxa"/>
              <w:left w:w="85" w:type="dxa"/>
              <w:bottom w:w="85" w:type="dxa"/>
              <w:right w:w="85" w:type="dxa"/>
            </w:tcMar>
          </w:tcPr>
          <w:p w14:paraId="69E3FD6F" w14:textId="77777777" w:rsidR="00EB6564" w:rsidRDefault="00EB6564" w:rsidP="00134EA2">
            <w:pPr>
              <w:pStyle w:val="CHEMICALCHEMTABLES"/>
              <w:keepNext/>
              <w:spacing w:after="0" w:line="240" w:lineRule="auto"/>
            </w:pPr>
            <w:r>
              <w:t>NO</w:t>
            </w:r>
            <w:r>
              <w:rPr>
                <w:vertAlign w:val="subscript"/>
              </w:rPr>
              <w:t>2</w:t>
            </w:r>
          </w:p>
        </w:tc>
        <w:tc>
          <w:tcPr>
            <w:tcW w:w="5731" w:type="dxa"/>
            <w:tcMar>
              <w:top w:w="85" w:type="dxa"/>
              <w:left w:w="85" w:type="dxa"/>
              <w:bottom w:w="85" w:type="dxa"/>
              <w:right w:w="85" w:type="dxa"/>
            </w:tcMar>
          </w:tcPr>
          <w:p w14:paraId="6A7E68AF" w14:textId="77777777" w:rsidR="00EB6564" w:rsidRDefault="00EB6564" w:rsidP="00134EA2">
            <w:pPr>
              <w:pStyle w:val="CHEMICALfullnameCHEMTABLES"/>
              <w:keepNext/>
              <w:spacing w:after="0" w:line="240" w:lineRule="auto"/>
            </w:pPr>
            <w:r>
              <w:t>Nitrogen dioxide</w:t>
            </w:r>
          </w:p>
        </w:tc>
      </w:tr>
      <w:tr w:rsidR="00EB6564" w14:paraId="4E005654" w14:textId="77777777" w:rsidTr="00134EA2">
        <w:trPr>
          <w:trHeight w:val="60"/>
          <w:tblHeader/>
        </w:trPr>
        <w:tc>
          <w:tcPr>
            <w:tcW w:w="1701" w:type="dxa"/>
            <w:vMerge/>
          </w:tcPr>
          <w:p w14:paraId="4F056DB6"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1E4EBEF4" w14:textId="77777777" w:rsidR="00EB6564" w:rsidRDefault="00EB6564" w:rsidP="00134EA2">
            <w:pPr>
              <w:pStyle w:val="NEPMstandardCHEMTABLES"/>
              <w:keepNext/>
              <w:spacing w:after="0" w:line="240" w:lineRule="auto"/>
            </w:pPr>
            <w:r>
              <w:t>(NEPM standard: 1 hour = 0.12ppm, 1 year = 0.03ppm)</w:t>
            </w:r>
          </w:p>
        </w:tc>
      </w:tr>
      <w:tr w:rsidR="00EB6564" w14:paraId="2E672F3D" w14:textId="77777777" w:rsidTr="00134EA2">
        <w:trPr>
          <w:trHeight w:hRule="exact" w:val="113"/>
        </w:trPr>
        <w:tc>
          <w:tcPr>
            <w:tcW w:w="1701" w:type="dxa"/>
            <w:tcMar>
              <w:top w:w="85" w:type="dxa"/>
              <w:left w:w="85" w:type="dxa"/>
              <w:bottom w:w="85" w:type="dxa"/>
              <w:right w:w="85" w:type="dxa"/>
            </w:tcMar>
          </w:tcPr>
          <w:p w14:paraId="7DFCBD7D"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3FE509B" w14:textId="77777777" w:rsidR="00EB6564" w:rsidRDefault="00EB6564" w:rsidP="00134EA2">
            <w:pPr>
              <w:pStyle w:val="NoParagraphStyle"/>
              <w:keepNext/>
              <w:spacing w:line="240" w:lineRule="auto"/>
              <w:textAlignment w:val="auto"/>
              <w:rPr>
                <w:rFonts w:ascii="Calibri" w:hAnsi="Calibri" w:cs="Calibri"/>
                <w:color w:val="auto"/>
              </w:rPr>
            </w:pPr>
          </w:p>
        </w:tc>
      </w:tr>
    </w:tbl>
    <w:p w14:paraId="478C0456" w14:textId="77777777" w:rsidR="00EB6564" w:rsidRDefault="00EB6564" w:rsidP="00134EA2">
      <w:pPr>
        <w:pStyle w:val="05BODYTEXT"/>
        <w:keepN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1481"/>
        <w:gridCol w:w="1482"/>
        <w:gridCol w:w="1481"/>
        <w:gridCol w:w="1481"/>
        <w:gridCol w:w="1482"/>
      </w:tblGrid>
      <w:tr w:rsidR="00EB6564" w14:paraId="24570257" w14:textId="77777777">
        <w:trPr>
          <w:trHeight w:val="60"/>
          <w:tblHeader/>
        </w:trPr>
        <w:tc>
          <w:tcPr>
            <w:tcW w:w="1481"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18F3487" w14:textId="77777777" w:rsidR="00EB6564" w:rsidRDefault="00EB6564" w:rsidP="00C225B7">
            <w:pPr>
              <w:pStyle w:val="06bTABLEHEADERROW"/>
              <w:spacing w:line="240" w:lineRule="auto"/>
            </w:pPr>
            <w:r>
              <w:t>Station</w:t>
            </w:r>
          </w:p>
        </w:tc>
        <w:tc>
          <w:tcPr>
            <w:tcW w:w="2963"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DDEFE5A" w14:textId="77777777" w:rsidR="00EB6564" w:rsidRDefault="00EB6564" w:rsidP="00C225B7">
            <w:pPr>
              <w:pStyle w:val="06bTABLEHEADERROW"/>
              <w:spacing w:line="240" w:lineRule="auto"/>
              <w:jc w:val="center"/>
            </w:pPr>
            <w:r>
              <w:t>1 hour</w:t>
            </w:r>
          </w:p>
        </w:tc>
        <w:tc>
          <w:tcPr>
            <w:tcW w:w="2963"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ED09E54" w14:textId="77777777" w:rsidR="00EB6564" w:rsidRDefault="00EB6564" w:rsidP="00C225B7">
            <w:pPr>
              <w:pStyle w:val="06bTABLEHEADERROW"/>
              <w:spacing w:line="240" w:lineRule="auto"/>
              <w:jc w:val="center"/>
            </w:pPr>
            <w:r>
              <w:t>1 year</w:t>
            </w:r>
          </w:p>
        </w:tc>
      </w:tr>
      <w:tr w:rsidR="00EB6564" w14:paraId="712007AF" w14:textId="77777777">
        <w:trPr>
          <w:trHeight w:val="60"/>
          <w:tblHeader/>
        </w:trPr>
        <w:tc>
          <w:tcPr>
            <w:tcW w:w="1481" w:type="dxa"/>
            <w:vMerge/>
            <w:tcBorders>
              <w:top w:val="single" w:sz="8" w:space="0" w:color="FFFFFF"/>
              <w:left w:val="single" w:sz="4" w:space="0" w:color="FFFFFF"/>
              <w:bottom w:val="single" w:sz="8" w:space="0" w:color="FFFFFF"/>
              <w:right w:val="single" w:sz="4" w:space="0" w:color="FFFFFF"/>
            </w:tcBorders>
          </w:tcPr>
          <w:p w14:paraId="390186F7" w14:textId="77777777" w:rsidR="00EB6564" w:rsidRDefault="00EB6564" w:rsidP="00C225B7">
            <w:pPr>
              <w:pStyle w:val="NoParagraphStyle"/>
              <w:keepNext/>
              <w:spacing w:line="240" w:lineRule="auto"/>
              <w:textAlignment w:val="auto"/>
              <w:rPr>
                <w:rFonts w:ascii="Calibri" w:hAnsi="Calibri" w:cs="Calibri"/>
                <w:color w:val="auto"/>
              </w:rPr>
            </w:pPr>
          </w:p>
        </w:tc>
        <w:tc>
          <w:tcPr>
            <w:tcW w:w="148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AA396E3" w14:textId="77777777" w:rsidR="00EB6564" w:rsidRDefault="00EB6564" w:rsidP="00C225B7">
            <w:pPr>
              <w:pStyle w:val="06bTABLEHEADERROW"/>
              <w:spacing w:line="240" w:lineRule="auto"/>
              <w:jc w:val="center"/>
            </w:pPr>
            <w:r>
              <w:t>Number of exceedances</w:t>
            </w:r>
          </w:p>
        </w:tc>
        <w:tc>
          <w:tcPr>
            <w:tcW w:w="148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0E03E2F" w14:textId="77777777" w:rsidR="00EB6564" w:rsidRDefault="00EB6564" w:rsidP="00C225B7">
            <w:pPr>
              <w:pStyle w:val="06bTABLEHEADERROW"/>
              <w:spacing w:line="240" w:lineRule="auto"/>
              <w:jc w:val="center"/>
            </w:pPr>
            <w:r>
              <w:t>NEPM goal compliance</w:t>
            </w:r>
          </w:p>
        </w:tc>
        <w:tc>
          <w:tcPr>
            <w:tcW w:w="148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5BE61FE" w14:textId="77777777" w:rsidR="00EB6564" w:rsidRDefault="00EB6564" w:rsidP="00C225B7">
            <w:pPr>
              <w:pStyle w:val="06bTABLEHEADERROW"/>
              <w:spacing w:line="240" w:lineRule="auto"/>
              <w:jc w:val="center"/>
            </w:pPr>
            <w:r>
              <w:t>Annual average (ppm)</w:t>
            </w:r>
          </w:p>
        </w:tc>
        <w:tc>
          <w:tcPr>
            <w:tcW w:w="148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3C25412" w14:textId="77777777" w:rsidR="00EB6564" w:rsidRDefault="00EB6564" w:rsidP="00C225B7">
            <w:pPr>
              <w:pStyle w:val="06bTABLEHEADERROW"/>
              <w:spacing w:line="240" w:lineRule="auto"/>
              <w:jc w:val="center"/>
            </w:pPr>
            <w:r>
              <w:t>NEPM goal compliance</w:t>
            </w:r>
          </w:p>
        </w:tc>
      </w:tr>
      <w:tr w:rsidR="00EB6564" w14:paraId="4D15C8A2" w14:textId="77777777">
        <w:trPr>
          <w:trHeight w:val="60"/>
        </w:trPr>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4D3B9E9" w14:textId="77777777" w:rsidR="00EB6564" w:rsidRDefault="00EB6564" w:rsidP="00C225B7">
            <w:pPr>
              <w:pStyle w:val="06cTABLETEXT"/>
              <w:keepNext/>
              <w:spacing w:line="240" w:lineRule="auto"/>
            </w:pPr>
            <w:r>
              <w:t>Monash</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900ADD" w14:textId="77777777" w:rsidR="00EB6564" w:rsidRDefault="00EB6564" w:rsidP="00C225B7">
            <w:pPr>
              <w:pStyle w:val="06cTABLETEXT"/>
              <w:keepNext/>
              <w:spacing w:line="240" w:lineRule="auto"/>
              <w:jc w:val="center"/>
            </w:pPr>
            <w:r>
              <w:t>0</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FDBDCB" w14:textId="77777777" w:rsidR="00EB6564" w:rsidRDefault="00EB6564" w:rsidP="00C225B7">
            <w:pPr>
              <w:pStyle w:val="06cTABLETEXT"/>
              <w:keepNext/>
              <w:spacing w:line="240" w:lineRule="auto"/>
              <w:jc w:val="center"/>
            </w:pPr>
            <w:r>
              <w:t>Met</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66D1D1" w14:textId="77777777" w:rsidR="00EB6564" w:rsidRDefault="00EB6564" w:rsidP="00C225B7">
            <w:pPr>
              <w:pStyle w:val="06cTABLETEXT"/>
              <w:keepNext/>
              <w:spacing w:line="240" w:lineRule="auto"/>
              <w:jc w:val="center"/>
            </w:pPr>
            <w:r>
              <w:t>0.004</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8BF3D4" w14:textId="77777777" w:rsidR="00EB6564" w:rsidRDefault="00EB6564" w:rsidP="00C225B7">
            <w:pPr>
              <w:pStyle w:val="06cTABLETEXT"/>
              <w:keepNext/>
              <w:spacing w:line="240" w:lineRule="auto"/>
              <w:jc w:val="center"/>
            </w:pPr>
            <w:r>
              <w:t>Met</w:t>
            </w:r>
          </w:p>
        </w:tc>
      </w:tr>
      <w:tr w:rsidR="00EB6564" w14:paraId="6AE2AE64" w14:textId="77777777">
        <w:trPr>
          <w:trHeight w:val="60"/>
        </w:trPr>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7BEC6AB" w14:textId="77777777" w:rsidR="00EB6564" w:rsidRDefault="00EB6564">
            <w:pPr>
              <w:pStyle w:val="06cTABLETEXT"/>
            </w:pPr>
            <w:r>
              <w:t>Florey</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D86377"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46CA1CD"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687F994" w14:textId="77777777" w:rsidR="00EB6564" w:rsidRDefault="00EB6564">
            <w:pPr>
              <w:pStyle w:val="06cTABLETEXT"/>
              <w:jc w:val="center"/>
            </w:pPr>
            <w:r>
              <w:t>0.005</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7EA73D" w14:textId="77777777" w:rsidR="00EB6564" w:rsidRDefault="00EB6564">
            <w:pPr>
              <w:pStyle w:val="06cTABLETEXT"/>
              <w:jc w:val="center"/>
            </w:pPr>
            <w:r>
              <w:t>Met</w:t>
            </w:r>
          </w:p>
        </w:tc>
      </w:tr>
    </w:tbl>
    <w:p w14:paraId="15492D5D" w14:textId="6BBC8A3B" w:rsidR="00134EA2" w:rsidRDefault="00134EA2" w:rsidP="00EB6564">
      <w:pPr>
        <w:pStyle w:val="05BODYTEXT"/>
      </w:pPr>
    </w:p>
    <w:p w14:paraId="3B0FD9DE" w14:textId="77777777" w:rsidR="00134EA2" w:rsidRDefault="00134EA2">
      <w:pPr>
        <w:rPr>
          <w:rFonts w:ascii="Calibri" w:hAnsi="Calibri" w:cs="Calibri"/>
          <w:color w:val="000000"/>
          <w:sz w:val="16"/>
          <w:szCs w:val="16"/>
        </w:rPr>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06A9DBAD" w14:textId="77777777" w:rsidTr="00134EA2">
        <w:trPr>
          <w:trHeight w:val="60"/>
          <w:tblHeader/>
        </w:trPr>
        <w:tc>
          <w:tcPr>
            <w:tcW w:w="1701" w:type="dxa"/>
            <w:vMerge w:val="restart"/>
            <w:tcMar>
              <w:top w:w="85" w:type="dxa"/>
              <w:left w:w="85" w:type="dxa"/>
              <w:bottom w:w="85" w:type="dxa"/>
              <w:right w:w="85" w:type="dxa"/>
            </w:tcMar>
          </w:tcPr>
          <w:p w14:paraId="391ED6F1" w14:textId="77777777" w:rsidR="00EB6564" w:rsidRDefault="00EB6564" w:rsidP="00134EA2">
            <w:pPr>
              <w:pStyle w:val="CHEMICALCHEMTABLES"/>
              <w:spacing w:after="0" w:line="240" w:lineRule="auto"/>
            </w:pPr>
            <w:r>
              <w:lastRenderedPageBreak/>
              <w:t>O</w:t>
            </w:r>
            <w:r>
              <w:rPr>
                <w:vertAlign w:val="subscript"/>
              </w:rPr>
              <w:t>3</w:t>
            </w:r>
          </w:p>
        </w:tc>
        <w:tc>
          <w:tcPr>
            <w:tcW w:w="5731" w:type="dxa"/>
            <w:tcMar>
              <w:top w:w="85" w:type="dxa"/>
              <w:left w:w="85" w:type="dxa"/>
              <w:bottom w:w="85" w:type="dxa"/>
              <w:right w:w="85" w:type="dxa"/>
            </w:tcMar>
          </w:tcPr>
          <w:p w14:paraId="6F28AE0B" w14:textId="77777777" w:rsidR="00EB6564" w:rsidRDefault="00EB6564" w:rsidP="00134EA2">
            <w:pPr>
              <w:pStyle w:val="CHEMICALfullnameCHEMTABLES"/>
              <w:spacing w:after="0" w:line="240" w:lineRule="auto"/>
            </w:pPr>
            <w:r>
              <w:t>Ozone</w:t>
            </w:r>
          </w:p>
        </w:tc>
      </w:tr>
      <w:tr w:rsidR="00EB6564" w14:paraId="76792F2D" w14:textId="77777777" w:rsidTr="00134EA2">
        <w:trPr>
          <w:trHeight w:val="60"/>
          <w:tblHeader/>
        </w:trPr>
        <w:tc>
          <w:tcPr>
            <w:tcW w:w="1701" w:type="dxa"/>
            <w:vMerge/>
          </w:tcPr>
          <w:p w14:paraId="3D5D431B"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3DE432AF" w14:textId="77777777" w:rsidR="00EB6564" w:rsidRDefault="00EB6564" w:rsidP="00134EA2">
            <w:pPr>
              <w:pStyle w:val="NEPMstandardCHEMTABLES"/>
              <w:spacing w:after="0" w:line="240" w:lineRule="auto"/>
            </w:pPr>
            <w:r>
              <w:t>(NEPM standard: 1 hour = 0.10ppm, 4 hours = 0.08ppm)</w:t>
            </w:r>
          </w:p>
        </w:tc>
      </w:tr>
      <w:tr w:rsidR="00EB6564" w14:paraId="0240B826" w14:textId="77777777" w:rsidTr="00134EA2">
        <w:trPr>
          <w:trHeight w:hRule="exact" w:val="113"/>
        </w:trPr>
        <w:tc>
          <w:tcPr>
            <w:tcW w:w="1701" w:type="dxa"/>
            <w:tcMar>
              <w:top w:w="85" w:type="dxa"/>
              <w:left w:w="85" w:type="dxa"/>
              <w:bottom w:w="85" w:type="dxa"/>
              <w:right w:w="85" w:type="dxa"/>
            </w:tcMar>
          </w:tcPr>
          <w:p w14:paraId="2213B5C1"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9306FDF" w14:textId="77777777" w:rsidR="00EB6564" w:rsidRDefault="00EB6564" w:rsidP="00134EA2">
            <w:pPr>
              <w:pStyle w:val="NoParagraphStyle"/>
              <w:spacing w:line="240" w:lineRule="auto"/>
              <w:textAlignment w:val="auto"/>
              <w:rPr>
                <w:rFonts w:ascii="Calibri" w:hAnsi="Calibri" w:cs="Calibri"/>
                <w:color w:val="auto"/>
              </w:rPr>
            </w:pPr>
          </w:p>
        </w:tc>
      </w:tr>
    </w:tbl>
    <w:p w14:paraId="07E54022"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1481"/>
        <w:gridCol w:w="1482"/>
        <w:gridCol w:w="1481"/>
        <w:gridCol w:w="1481"/>
        <w:gridCol w:w="1482"/>
      </w:tblGrid>
      <w:tr w:rsidR="00EB6564" w14:paraId="07AB812D" w14:textId="77777777">
        <w:trPr>
          <w:trHeight w:val="60"/>
          <w:tblHeader/>
        </w:trPr>
        <w:tc>
          <w:tcPr>
            <w:tcW w:w="1481"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0D9FFEC" w14:textId="77777777" w:rsidR="00EB6564" w:rsidRDefault="00EB6564">
            <w:pPr>
              <w:pStyle w:val="06bTABLEHEADERROW"/>
            </w:pPr>
            <w:r>
              <w:t>Station</w:t>
            </w:r>
          </w:p>
        </w:tc>
        <w:tc>
          <w:tcPr>
            <w:tcW w:w="2963"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63BA13E" w14:textId="77777777" w:rsidR="00EB6564" w:rsidRDefault="00EB6564">
            <w:pPr>
              <w:pStyle w:val="06bTABLEHEADERROW"/>
              <w:jc w:val="center"/>
            </w:pPr>
            <w:r>
              <w:t>1 hour</w:t>
            </w:r>
          </w:p>
        </w:tc>
        <w:tc>
          <w:tcPr>
            <w:tcW w:w="2963"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8A5B206" w14:textId="722B0A05" w:rsidR="00EB6564" w:rsidRDefault="00EB6564">
            <w:pPr>
              <w:pStyle w:val="06bTABLEHEADERROW"/>
              <w:jc w:val="center"/>
            </w:pPr>
            <w:r>
              <w:t>4 hours</w:t>
            </w:r>
          </w:p>
        </w:tc>
      </w:tr>
      <w:tr w:rsidR="00EB6564" w14:paraId="52596DF6" w14:textId="77777777">
        <w:trPr>
          <w:trHeight w:val="60"/>
          <w:tblHeader/>
        </w:trPr>
        <w:tc>
          <w:tcPr>
            <w:tcW w:w="1481" w:type="dxa"/>
            <w:vMerge/>
            <w:tcBorders>
              <w:top w:val="single" w:sz="8" w:space="0" w:color="FFFFFF"/>
              <w:left w:val="single" w:sz="4" w:space="0" w:color="FFFFFF"/>
              <w:bottom w:val="single" w:sz="8" w:space="0" w:color="FFFFFF"/>
              <w:right w:val="single" w:sz="4" w:space="0" w:color="FFFFFF"/>
            </w:tcBorders>
          </w:tcPr>
          <w:p w14:paraId="59874B86" w14:textId="77777777" w:rsidR="00EB6564" w:rsidRDefault="00EB6564">
            <w:pPr>
              <w:pStyle w:val="NoParagraphStyle"/>
              <w:spacing w:line="240" w:lineRule="auto"/>
              <w:textAlignment w:val="auto"/>
              <w:rPr>
                <w:rFonts w:ascii="Calibri" w:hAnsi="Calibri" w:cs="Calibri"/>
                <w:color w:val="auto"/>
              </w:rPr>
            </w:pPr>
          </w:p>
        </w:tc>
        <w:tc>
          <w:tcPr>
            <w:tcW w:w="1482"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6694C04" w14:textId="77777777" w:rsidR="00EB6564" w:rsidRDefault="00EB6564">
            <w:pPr>
              <w:pStyle w:val="06bTABLEHEADERROW"/>
              <w:jc w:val="center"/>
            </w:pPr>
            <w:r>
              <w:t>Number of exceedances</w:t>
            </w:r>
          </w:p>
        </w:tc>
        <w:tc>
          <w:tcPr>
            <w:tcW w:w="1481"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096045B" w14:textId="77777777" w:rsidR="00EB6564" w:rsidRDefault="00EB6564">
            <w:pPr>
              <w:pStyle w:val="06bTABLEHEADERROW"/>
              <w:jc w:val="center"/>
            </w:pPr>
            <w:r>
              <w:t>NEPM goal compliance</w:t>
            </w:r>
          </w:p>
        </w:tc>
        <w:tc>
          <w:tcPr>
            <w:tcW w:w="1481"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631D4CD" w14:textId="77777777" w:rsidR="00EB6564" w:rsidRDefault="00EB6564">
            <w:pPr>
              <w:pStyle w:val="06bTABLEHEADERROW"/>
              <w:jc w:val="center"/>
            </w:pPr>
            <w:r>
              <w:t>Number of exceedances</w:t>
            </w:r>
          </w:p>
        </w:tc>
        <w:tc>
          <w:tcPr>
            <w:tcW w:w="1482"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0BD89BA" w14:textId="77777777" w:rsidR="00EB6564" w:rsidRDefault="00EB6564">
            <w:pPr>
              <w:pStyle w:val="06bTABLEHEADERROW"/>
              <w:jc w:val="center"/>
            </w:pPr>
            <w:r>
              <w:t>NEPM goal compliance</w:t>
            </w:r>
          </w:p>
        </w:tc>
      </w:tr>
      <w:tr w:rsidR="00EB6564" w14:paraId="40D85A48" w14:textId="77777777">
        <w:trPr>
          <w:trHeight w:val="60"/>
        </w:trPr>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DC6034" w14:textId="77777777" w:rsidR="00EB6564" w:rsidRDefault="00EB6564">
            <w:pPr>
              <w:pStyle w:val="06cTABLETEXT"/>
            </w:pPr>
            <w:r>
              <w:t>Monash</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63875A"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4C6714"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1B4CDF" w14:textId="77777777" w:rsidR="00EB6564" w:rsidRDefault="00EB6564">
            <w:pPr>
              <w:pStyle w:val="06cTABLETEXT"/>
              <w:jc w:val="center"/>
            </w:pPr>
            <w:r>
              <w:t>0</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60E25A" w14:textId="77777777" w:rsidR="00EB6564" w:rsidRDefault="00EB6564">
            <w:pPr>
              <w:pStyle w:val="06cTABLETEXT"/>
              <w:jc w:val="center"/>
            </w:pPr>
            <w:r>
              <w:t>Met</w:t>
            </w:r>
          </w:p>
        </w:tc>
      </w:tr>
      <w:tr w:rsidR="00EB6564" w14:paraId="347F67C0" w14:textId="77777777">
        <w:trPr>
          <w:trHeight w:val="60"/>
        </w:trPr>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0C4FDA" w14:textId="77777777" w:rsidR="00EB6564" w:rsidRDefault="00EB6564">
            <w:pPr>
              <w:pStyle w:val="06cTABLETEXT"/>
            </w:pPr>
            <w:r>
              <w:t>Florey</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6033EA"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BB46A0F"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35570F5" w14:textId="77777777" w:rsidR="00EB6564" w:rsidRDefault="00EB6564">
            <w:pPr>
              <w:pStyle w:val="06cTABLETEXT"/>
              <w:jc w:val="center"/>
            </w:pPr>
            <w:r>
              <w:t>0</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DB20A0" w14:textId="77777777" w:rsidR="00EB6564" w:rsidRDefault="00EB6564">
            <w:pPr>
              <w:pStyle w:val="06cTABLETEXT"/>
              <w:jc w:val="center"/>
            </w:pPr>
            <w:r>
              <w:t>Met</w:t>
            </w:r>
          </w:p>
        </w:tc>
      </w:tr>
      <w:tr w:rsidR="00EB6564" w14:paraId="0F9AB232" w14:textId="77777777">
        <w:trPr>
          <w:trHeight w:val="60"/>
        </w:trPr>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6BC117C" w14:textId="77777777" w:rsidR="00EB6564" w:rsidRDefault="00EB6564">
            <w:pPr>
              <w:pStyle w:val="06cTABLETEXT"/>
            </w:pPr>
            <w:r>
              <w:t>Civic</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F788A1" w14:textId="77777777" w:rsidR="00EB6564" w:rsidRDefault="00EB6564">
            <w:pPr>
              <w:pStyle w:val="06cTABLETEXT"/>
              <w:jc w:val="center"/>
            </w:pPr>
            <w:r>
              <w:t>0</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41665F" w14:textId="77777777" w:rsidR="00EB6564" w:rsidRDefault="00EB6564">
            <w:pPr>
              <w:pStyle w:val="06cTABLETEXT"/>
              <w:jc w:val="center"/>
            </w:pPr>
            <w:r>
              <w:t>Met</w:t>
            </w:r>
          </w:p>
        </w:tc>
        <w:tc>
          <w:tcPr>
            <w:tcW w:w="148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013B35" w14:textId="77777777" w:rsidR="00EB6564" w:rsidRDefault="00EB6564">
            <w:pPr>
              <w:pStyle w:val="06cTABLETEXT"/>
              <w:jc w:val="center"/>
            </w:pPr>
            <w:r>
              <w:t>0</w:t>
            </w:r>
          </w:p>
        </w:tc>
        <w:tc>
          <w:tcPr>
            <w:tcW w:w="148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491AED" w14:textId="77777777" w:rsidR="00EB6564" w:rsidRDefault="00EB6564">
            <w:pPr>
              <w:pStyle w:val="06cTABLETEXT"/>
              <w:jc w:val="center"/>
            </w:pPr>
            <w:r>
              <w:t>Met</w:t>
            </w:r>
          </w:p>
        </w:tc>
      </w:tr>
    </w:tbl>
    <w:p w14:paraId="3CB2CF34" w14:textId="77777777" w:rsidR="00EB6564" w:rsidRDefault="00EB6564" w:rsidP="00EB6564">
      <w:pPr>
        <w:pStyle w:val="05BODYTEXT"/>
      </w:pP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72E7A1AF" w14:textId="77777777" w:rsidTr="00134EA2">
        <w:trPr>
          <w:trHeight w:val="60"/>
          <w:tblHeader/>
        </w:trPr>
        <w:tc>
          <w:tcPr>
            <w:tcW w:w="1701" w:type="dxa"/>
            <w:vMerge w:val="restart"/>
            <w:tcMar>
              <w:top w:w="85" w:type="dxa"/>
              <w:left w:w="85" w:type="dxa"/>
              <w:bottom w:w="85" w:type="dxa"/>
              <w:right w:w="85" w:type="dxa"/>
            </w:tcMar>
          </w:tcPr>
          <w:p w14:paraId="1E459A03" w14:textId="77777777" w:rsidR="00EB6564" w:rsidRDefault="00EB6564" w:rsidP="00134EA2">
            <w:pPr>
              <w:pStyle w:val="CHEMICALCHEMTABLES"/>
              <w:spacing w:after="0" w:line="240" w:lineRule="auto"/>
            </w:pPr>
            <w:r>
              <w:t>PM</w:t>
            </w:r>
            <w:r>
              <w:rPr>
                <w:vertAlign w:val="subscript"/>
              </w:rPr>
              <w:t>10</w:t>
            </w:r>
          </w:p>
        </w:tc>
        <w:tc>
          <w:tcPr>
            <w:tcW w:w="5731" w:type="dxa"/>
            <w:tcMar>
              <w:top w:w="85" w:type="dxa"/>
              <w:left w:w="85" w:type="dxa"/>
              <w:bottom w:w="85" w:type="dxa"/>
              <w:right w:w="85" w:type="dxa"/>
            </w:tcMar>
          </w:tcPr>
          <w:p w14:paraId="6F322CA5" w14:textId="77777777" w:rsidR="00EB6564" w:rsidRDefault="00EB6564" w:rsidP="00134EA2">
            <w:pPr>
              <w:pStyle w:val="CHEMICALfullnameCHEMTABLES"/>
              <w:spacing w:after="0" w:line="240" w:lineRule="auto"/>
            </w:pPr>
            <w:r>
              <w:t>Particles as PM</w:t>
            </w:r>
            <w:r>
              <w:rPr>
                <w:vertAlign w:val="subscript"/>
              </w:rPr>
              <w:t>10</w:t>
            </w:r>
          </w:p>
        </w:tc>
      </w:tr>
      <w:tr w:rsidR="00EB6564" w14:paraId="4FADDE9E" w14:textId="77777777" w:rsidTr="00134EA2">
        <w:trPr>
          <w:trHeight w:val="60"/>
          <w:tblHeader/>
        </w:trPr>
        <w:tc>
          <w:tcPr>
            <w:tcW w:w="1701" w:type="dxa"/>
            <w:vMerge/>
          </w:tcPr>
          <w:p w14:paraId="3B32BE92"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24C5B498" w14:textId="77777777" w:rsidR="00EB6564" w:rsidRDefault="00EB6564" w:rsidP="00134EA2">
            <w:pPr>
              <w:pStyle w:val="NEPMstandardCHEMTABLES"/>
              <w:spacing w:after="0" w:line="240" w:lineRule="auto"/>
            </w:pPr>
            <w:r>
              <w:t>(NEPM standard 1 day = 50µg/m</w:t>
            </w:r>
            <w:r>
              <w:rPr>
                <w:vertAlign w:val="superscript"/>
              </w:rPr>
              <w:t>3</w:t>
            </w:r>
            <w:r>
              <w:t>)</w:t>
            </w:r>
          </w:p>
        </w:tc>
      </w:tr>
      <w:tr w:rsidR="00EB6564" w14:paraId="1BF754E0" w14:textId="77777777" w:rsidTr="00134EA2">
        <w:trPr>
          <w:trHeight w:hRule="exact" w:val="113"/>
        </w:trPr>
        <w:tc>
          <w:tcPr>
            <w:tcW w:w="1701" w:type="dxa"/>
            <w:tcMar>
              <w:top w:w="85" w:type="dxa"/>
              <w:left w:w="85" w:type="dxa"/>
              <w:bottom w:w="85" w:type="dxa"/>
              <w:right w:w="85" w:type="dxa"/>
            </w:tcMar>
          </w:tcPr>
          <w:p w14:paraId="5C424477" w14:textId="77777777" w:rsidR="00EB6564" w:rsidRDefault="00EB6564" w:rsidP="00134EA2">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754966BD" w14:textId="77777777" w:rsidR="00EB6564" w:rsidRDefault="00EB6564" w:rsidP="00134EA2">
            <w:pPr>
              <w:pStyle w:val="NoParagraphStyle"/>
              <w:spacing w:line="240" w:lineRule="auto"/>
              <w:textAlignment w:val="auto"/>
              <w:rPr>
                <w:rFonts w:ascii="Calibri" w:hAnsi="Calibri" w:cs="Calibri"/>
                <w:color w:val="auto"/>
              </w:rPr>
            </w:pPr>
          </w:p>
        </w:tc>
      </w:tr>
    </w:tbl>
    <w:p w14:paraId="7A7FE4B9"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2472"/>
        <w:gridCol w:w="2473"/>
        <w:gridCol w:w="2472"/>
      </w:tblGrid>
      <w:tr w:rsidR="00EB6564" w14:paraId="02FCC7BA" w14:textId="77777777">
        <w:trPr>
          <w:trHeight w:val="60"/>
          <w:tblHeader/>
        </w:trPr>
        <w:tc>
          <w:tcPr>
            <w:tcW w:w="247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77674C3" w14:textId="77777777" w:rsidR="00EB6564" w:rsidRDefault="00EB6564">
            <w:pPr>
              <w:pStyle w:val="06bTABLEHEADERROW"/>
            </w:pPr>
            <w:r>
              <w:t>Station</w:t>
            </w:r>
          </w:p>
        </w:tc>
        <w:tc>
          <w:tcPr>
            <w:tcW w:w="247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66A1184" w14:textId="77777777" w:rsidR="00EB6564" w:rsidRDefault="00EB6564">
            <w:pPr>
              <w:pStyle w:val="06bTABLEHEADERROW"/>
              <w:jc w:val="center"/>
            </w:pPr>
            <w:r>
              <w:t xml:space="preserve">Number of </w:t>
            </w:r>
            <w:proofErr w:type="spellStart"/>
            <w:r>
              <w:t>exceedences</w:t>
            </w:r>
            <w:proofErr w:type="spellEnd"/>
          </w:p>
        </w:tc>
        <w:tc>
          <w:tcPr>
            <w:tcW w:w="247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E2EC308" w14:textId="77777777" w:rsidR="00EB6564" w:rsidRDefault="00EB6564">
            <w:pPr>
              <w:pStyle w:val="06bTABLEHEADERROW"/>
              <w:jc w:val="center"/>
            </w:pPr>
            <w:r>
              <w:t>NEPM goal compliance</w:t>
            </w:r>
          </w:p>
        </w:tc>
      </w:tr>
      <w:tr w:rsidR="00EB6564" w14:paraId="6443EAFF"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86D86D" w14:textId="77777777" w:rsidR="00EB6564" w:rsidRDefault="00EB6564">
            <w:pPr>
              <w:pStyle w:val="06cTABLETEXT"/>
            </w:pPr>
            <w:r>
              <w:t>Monash</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E29ADBB" w14:textId="77777777" w:rsidR="00EB6564" w:rsidRDefault="00EB6564">
            <w:pPr>
              <w:pStyle w:val="06cTABLETEXT"/>
              <w:jc w:val="center"/>
            </w:pPr>
            <w:r>
              <w:t>4</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FFAD180" w14:textId="77777777" w:rsidR="00EB6564" w:rsidRDefault="00EB6564">
            <w:pPr>
              <w:pStyle w:val="06cTABLETEXT"/>
              <w:jc w:val="center"/>
            </w:pPr>
            <w:r>
              <w:t>Met#</w:t>
            </w:r>
          </w:p>
        </w:tc>
      </w:tr>
      <w:tr w:rsidR="00EB6564" w14:paraId="3F3182CE"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9B2E20" w14:textId="77777777" w:rsidR="00EB6564" w:rsidRDefault="00EB6564">
            <w:pPr>
              <w:pStyle w:val="06cTABLETEXT"/>
            </w:pPr>
            <w:r>
              <w:t>Florey</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455446" w14:textId="77777777" w:rsidR="00EB6564" w:rsidRDefault="00EB6564">
            <w:pPr>
              <w:pStyle w:val="06cTABLETEXT"/>
              <w:jc w:val="center"/>
            </w:pPr>
            <w:r>
              <w:t>3</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6BEC251" w14:textId="77777777" w:rsidR="00EB6564" w:rsidRDefault="00EB6564">
            <w:pPr>
              <w:pStyle w:val="06cTABLETEXT"/>
              <w:jc w:val="center"/>
            </w:pPr>
            <w:r>
              <w:t>Met#</w:t>
            </w:r>
          </w:p>
        </w:tc>
      </w:tr>
      <w:tr w:rsidR="00EB6564" w14:paraId="05F4980B"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73E975" w14:textId="77777777" w:rsidR="00EB6564" w:rsidRDefault="00EB6564">
            <w:pPr>
              <w:pStyle w:val="06cTABLETEXT"/>
            </w:pPr>
            <w:r>
              <w:t>Civic</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D0186E" w14:textId="77777777" w:rsidR="00EB6564" w:rsidRDefault="00EB6564">
            <w:pPr>
              <w:pStyle w:val="06cTABLETEXT"/>
              <w:jc w:val="center"/>
            </w:pPr>
            <w:r>
              <w:t>6</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45EF28" w14:textId="77777777" w:rsidR="00EB6564" w:rsidRDefault="00EB6564">
            <w:pPr>
              <w:pStyle w:val="06cTABLETEXT"/>
              <w:jc w:val="center"/>
            </w:pPr>
            <w:r>
              <w:t>Met#</w:t>
            </w:r>
          </w:p>
        </w:tc>
      </w:tr>
    </w:tbl>
    <w:p w14:paraId="395E85AC" w14:textId="77777777" w:rsidR="00EB6564" w:rsidRDefault="00EB6564" w:rsidP="00EB6564">
      <w:pPr>
        <w:pStyle w:val="07FOOTNOTES"/>
      </w:pPr>
      <w:r>
        <w:t xml:space="preserve"># </w:t>
      </w:r>
      <w:r>
        <w:tab/>
        <w:t>all exceedances were directly associated with exceptional events such as hazard reduction burn or dust storm, therefore are excluded for the purpose of reporting compliance.</w:t>
      </w: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06DEB0EF" w14:textId="77777777" w:rsidTr="00134EA2">
        <w:trPr>
          <w:trHeight w:val="60"/>
          <w:tblHeader/>
        </w:trPr>
        <w:tc>
          <w:tcPr>
            <w:tcW w:w="1701" w:type="dxa"/>
            <w:vMerge w:val="restart"/>
            <w:tcMar>
              <w:top w:w="85" w:type="dxa"/>
              <w:left w:w="85" w:type="dxa"/>
              <w:bottom w:w="85" w:type="dxa"/>
              <w:right w:w="85" w:type="dxa"/>
            </w:tcMar>
          </w:tcPr>
          <w:p w14:paraId="313AF22B" w14:textId="77777777" w:rsidR="00EB6564" w:rsidRDefault="00EB6564" w:rsidP="00134EA2">
            <w:pPr>
              <w:pStyle w:val="CHEMICALCHEMTABLES"/>
              <w:keepNext/>
              <w:spacing w:after="0" w:line="240" w:lineRule="auto"/>
            </w:pPr>
            <w:r>
              <w:t>PM</w:t>
            </w:r>
            <w:r>
              <w:rPr>
                <w:vertAlign w:val="subscript"/>
              </w:rPr>
              <w:t>2.5</w:t>
            </w:r>
          </w:p>
        </w:tc>
        <w:tc>
          <w:tcPr>
            <w:tcW w:w="5731" w:type="dxa"/>
            <w:tcMar>
              <w:top w:w="85" w:type="dxa"/>
              <w:left w:w="85" w:type="dxa"/>
              <w:bottom w:w="85" w:type="dxa"/>
              <w:right w:w="85" w:type="dxa"/>
            </w:tcMar>
          </w:tcPr>
          <w:p w14:paraId="3D692C8B" w14:textId="77777777" w:rsidR="00EB6564" w:rsidRDefault="00EB6564" w:rsidP="00134EA2">
            <w:pPr>
              <w:pStyle w:val="CHEMICALfullnameCHEMTABLES"/>
              <w:keepNext/>
              <w:spacing w:after="0" w:line="240" w:lineRule="auto"/>
            </w:pPr>
            <w:r>
              <w:t>Particles as PM</w:t>
            </w:r>
            <w:r>
              <w:rPr>
                <w:vertAlign w:val="subscript"/>
              </w:rPr>
              <w:t>2.5</w:t>
            </w:r>
          </w:p>
        </w:tc>
      </w:tr>
      <w:tr w:rsidR="00EB6564" w14:paraId="7CB7511F" w14:textId="77777777" w:rsidTr="00134EA2">
        <w:trPr>
          <w:trHeight w:val="60"/>
          <w:tblHeader/>
        </w:trPr>
        <w:tc>
          <w:tcPr>
            <w:tcW w:w="1701" w:type="dxa"/>
            <w:vMerge/>
          </w:tcPr>
          <w:p w14:paraId="28366B89"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4AC82EC6" w14:textId="77777777" w:rsidR="00EB6564" w:rsidRDefault="00EB6564" w:rsidP="00134EA2">
            <w:pPr>
              <w:pStyle w:val="NEPMstandardCHEMTABLES"/>
              <w:keepNext/>
              <w:spacing w:after="0" w:line="240" w:lineRule="auto"/>
            </w:pPr>
            <w:r>
              <w:t>(NEPM standard 1 day = 25µg/m</w:t>
            </w:r>
            <w:r>
              <w:rPr>
                <w:vertAlign w:val="superscript"/>
              </w:rPr>
              <w:t>3</w:t>
            </w:r>
            <w:r>
              <w:t>, 1 year = 8µg/m</w:t>
            </w:r>
            <w:r>
              <w:rPr>
                <w:vertAlign w:val="superscript"/>
              </w:rPr>
              <w:t>3</w:t>
            </w:r>
            <w:r>
              <w:t>)</w:t>
            </w:r>
          </w:p>
        </w:tc>
      </w:tr>
      <w:tr w:rsidR="00EB6564" w14:paraId="17CA781C" w14:textId="77777777" w:rsidTr="00134EA2">
        <w:trPr>
          <w:trHeight w:hRule="exact" w:val="113"/>
        </w:trPr>
        <w:tc>
          <w:tcPr>
            <w:tcW w:w="1701" w:type="dxa"/>
            <w:tcMar>
              <w:top w:w="85" w:type="dxa"/>
              <w:left w:w="85" w:type="dxa"/>
              <w:bottom w:w="85" w:type="dxa"/>
              <w:right w:w="85" w:type="dxa"/>
            </w:tcMar>
          </w:tcPr>
          <w:p w14:paraId="1FB00162" w14:textId="77777777" w:rsidR="00EB6564" w:rsidRDefault="00EB6564" w:rsidP="00134EA2">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3E31CE77" w14:textId="77777777" w:rsidR="00EB6564" w:rsidRDefault="00EB6564" w:rsidP="00134EA2">
            <w:pPr>
              <w:pStyle w:val="NoParagraphStyle"/>
              <w:keepNext/>
              <w:spacing w:line="240" w:lineRule="auto"/>
              <w:textAlignment w:val="auto"/>
              <w:rPr>
                <w:rFonts w:ascii="Calibri" w:hAnsi="Calibri" w:cs="Calibri"/>
                <w:color w:val="auto"/>
              </w:rPr>
            </w:pPr>
          </w:p>
        </w:tc>
      </w:tr>
    </w:tbl>
    <w:p w14:paraId="4D6E8B95" w14:textId="77777777" w:rsidR="00EB6564" w:rsidRDefault="00EB6564" w:rsidP="00C225B7">
      <w:pPr>
        <w:pStyle w:val="05BODYTEXT"/>
        <w:keepN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2469"/>
        <w:gridCol w:w="2469"/>
        <w:gridCol w:w="2469"/>
      </w:tblGrid>
      <w:tr w:rsidR="00EB6564" w14:paraId="68C3A58E" w14:textId="77777777">
        <w:trPr>
          <w:trHeight w:val="60"/>
          <w:tblHeader/>
        </w:trPr>
        <w:tc>
          <w:tcPr>
            <w:tcW w:w="2469"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4EDC2ED" w14:textId="77777777" w:rsidR="00EB6564" w:rsidRDefault="00EB6564" w:rsidP="00C225B7">
            <w:pPr>
              <w:pStyle w:val="06bTABLEHEADERROW"/>
              <w:spacing w:line="240" w:lineRule="auto"/>
            </w:pPr>
            <w:r>
              <w:t>Station</w:t>
            </w:r>
          </w:p>
        </w:tc>
        <w:tc>
          <w:tcPr>
            <w:tcW w:w="4938"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05BB1DF" w14:textId="77777777" w:rsidR="00EB6564" w:rsidRDefault="00EB6564" w:rsidP="00C225B7">
            <w:pPr>
              <w:pStyle w:val="06bTABLEHEADERROW"/>
              <w:spacing w:line="240" w:lineRule="auto"/>
              <w:jc w:val="center"/>
            </w:pPr>
            <w:r>
              <w:t>1 year</w:t>
            </w:r>
          </w:p>
        </w:tc>
      </w:tr>
      <w:tr w:rsidR="00EB6564" w14:paraId="3F2A59B8" w14:textId="77777777">
        <w:trPr>
          <w:trHeight w:val="60"/>
          <w:tblHeader/>
        </w:trPr>
        <w:tc>
          <w:tcPr>
            <w:tcW w:w="2469" w:type="dxa"/>
            <w:vMerge/>
            <w:tcBorders>
              <w:top w:val="single" w:sz="8" w:space="0" w:color="FFFFFF"/>
              <w:left w:val="single" w:sz="4" w:space="0" w:color="FFFFFF"/>
              <w:bottom w:val="single" w:sz="8" w:space="0" w:color="FFFFFF"/>
              <w:right w:val="single" w:sz="4" w:space="0" w:color="FFFFFF"/>
            </w:tcBorders>
          </w:tcPr>
          <w:p w14:paraId="34B327DB" w14:textId="77777777" w:rsidR="00EB6564" w:rsidRDefault="00EB6564" w:rsidP="00C225B7">
            <w:pPr>
              <w:pStyle w:val="NoParagraphStyle"/>
              <w:keepNext/>
              <w:spacing w:line="240" w:lineRule="auto"/>
              <w:textAlignment w:val="auto"/>
              <w:rPr>
                <w:rFonts w:ascii="Calibri" w:hAnsi="Calibri" w:cs="Calibri"/>
                <w:color w:val="auto"/>
              </w:rPr>
            </w:pPr>
          </w:p>
        </w:tc>
        <w:tc>
          <w:tcPr>
            <w:tcW w:w="246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80CCC48" w14:textId="77777777" w:rsidR="00EB6564" w:rsidRDefault="00EB6564" w:rsidP="00C225B7">
            <w:pPr>
              <w:pStyle w:val="06bTABLEHEADERROW"/>
              <w:spacing w:line="240" w:lineRule="auto"/>
              <w:jc w:val="center"/>
            </w:pPr>
            <w:r>
              <w:t>Number of exceedances</w:t>
            </w:r>
          </w:p>
        </w:tc>
        <w:tc>
          <w:tcPr>
            <w:tcW w:w="246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E05CA2F" w14:textId="2927F0D2" w:rsidR="00EB6564" w:rsidRDefault="00EB6564" w:rsidP="00C225B7">
            <w:pPr>
              <w:pStyle w:val="06bTABLEHEADERROW"/>
              <w:spacing w:line="240" w:lineRule="auto"/>
              <w:jc w:val="center"/>
            </w:pPr>
            <w:r>
              <w:t>Annual average (</w:t>
            </w:r>
            <w:r w:rsidR="00B3345B">
              <w:t>µ</w:t>
            </w:r>
            <w:r>
              <w:t>g/m</w:t>
            </w:r>
            <w:r>
              <w:rPr>
                <w:vertAlign w:val="superscript"/>
              </w:rPr>
              <w:t>3</w:t>
            </w:r>
            <w:r>
              <w:t>)</w:t>
            </w:r>
          </w:p>
        </w:tc>
      </w:tr>
      <w:tr w:rsidR="00EB6564" w14:paraId="7CEC23C2" w14:textId="77777777">
        <w:trPr>
          <w:trHeight w:val="60"/>
        </w:trPr>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6C0D05E" w14:textId="77777777" w:rsidR="00EB6564" w:rsidRDefault="00EB6564">
            <w:pPr>
              <w:pStyle w:val="06cTABLETEXT"/>
            </w:pPr>
            <w:r>
              <w:t>Monash</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068EE6" w14:textId="77777777" w:rsidR="00EB6564" w:rsidRDefault="00EB6564">
            <w:pPr>
              <w:pStyle w:val="06cTABLETEXT"/>
              <w:jc w:val="center"/>
            </w:pPr>
            <w:r>
              <w:t>2#</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A4E4D9" w14:textId="77777777" w:rsidR="00EB6564" w:rsidRDefault="00EB6564">
            <w:pPr>
              <w:pStyle w:val="06cTABLETEXT"/>
              <w:jc w:val="center"/>
            </w:pPr>
            <w:r>
              <w:t>6.8</w:t>
            </w:r>
          </w:p>
        </w:tc>
      </w:tr>
      <w:tr w:rsidR="00EB6564" w14:paraId="384BE095" w14:textId="77777777">
        <w:trPr>
          <w:trHeight w:val="60"/>
        </w:trPr>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24BBE5" w14:textId="77777777" w:rsidR="00EB6564" w:rsidRDefault="00EB6564">
            <w:pPr>
              <w:pStyle w:val="06cTABLETEXT"/>
            </w:pPr>
            <w:r>
              <w:t>Florey</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4901C1" w14:textId="77777777" w:rsidR="00EB6564" w:rsidRDefault="00EB6564">
            <w:pPr>
              <w:pStyle w:val="06cTABLETEXT"/>
              <w:jc w:val="center"/>
            </w:pPr>
            <w:r>
              <w:t>2#</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D5207C" w14:textId="77777777" w:rsidR="00EB6564" w:rsidRDefault="00EB6564">
            <w:pPr>
              <w:pStyle w:val="06cTABLETEXT"/>
              <w:jc w:val="center"/>
            </w:pPr>
            <w:r>
              <w:t>7.1</w:t>
            </w:r>
          </w:p>
        </w:tc>
      </w:tr>
      <w:tr w:rsidR="00EB6564" w14:paraId="4601E0FC" w14:textId="77777777">
        <w:trPr>
          <w:trHeight w:val="60"/>
        </w:trPr>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F37C0F" w14:textId="77777777" w:rsidR="00EB6564" w:rsidRDefault="00EB6564">
            <w:pPr>
              <w:pStyle w:val="06cTABLETEXT"/>
            </w:pPr>
            <w:r>
              <w:t>Civic</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4EB33AE" w14:textId="77777777" w:rsidR="00EB6564" w:rsidRDefault="00EB6564">
            <w:pPr>
              <w:pStyle w:val="06cTABLETEXT"/>
              <w:jc w:val="center"/>
            </w:pPr>
            <w:r>
              <w:t>1#</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2A40B9" w14:textId="77777777" w:rsidR="00EB6564" w:rsidRDefault="00EB6564">
            <w:pPr>
              <w:pStyle w:val="06cTABLETEXT"/>
              <w:jc w:val="center"/>
            </w:pPr>
            <w:r>
              <w:t>6.5</w:t>
            </w:r>
          </w:p>
        </w:tc>
      </w:tr>
    </w:tbl>
    <w:p w14:paraId="77300CF5" w14:textId="77777777" w:rsidR="00EB6564" w:rsidRDefault="00EB6564" w:rsidP="00EB6564">
      <w:pPr>
        <w:pStyle w:val="07FOOTNOTES"/>
      </w:pPr>
      <w:r>
        <w:t xml:space="preserve"># </w:t>
      </w:r>
      <w:r>
        <w:tab/>
        <w:t>only one of the exceedances at Monash (27 May 2018) was a result of increased domestic wood heater emissions during the winter months. The other four exceedances were directly associated with exceptional events such as hazard reduction burn or dust storm, therefore are excluded for the purpose of reporting compliance.</w:t>
      </w:r>
    </w:p>
    <w:p w14:paraId="5C17EA47" w14:textId="77777777" w:rsidR="00EB6564" w:rsidRPr="009408AB" w:rsidRDefault="00EB6564" w:rsidP="00CB0DA6">
      <w:pPr>
        <w:pStyle w:val="Heading2"/>
      </w:pPr>
      <w:bookmarkStart w:id="33" w:name="_Toc58254387"/>
      <w:r w:rsidRPr="009408AB">
        <w:t>Northern Territory</w:t>
      </w:r>
      <w:bookmarkEnd w:id="33"/>
    </w:p>
    <w:p w14:paraId="1C838375" w14:textId="77777777" w:rsidR="00EB6564" w:rsidRDefault="00EB6564" w:rsidP="00EB6564">
      <w:pPr>
        <w:pStyle w:val="05BODYTEXT"/>
        <w:rPr>
          <w:rStyle w:val="ITALIC"/>
        </w:rPr>
      </w:pPr>
      <w:r>
        <w:rPr>
          <w:rStyle w:val="ITALIC"/>
        </w:rPr>
        <w:t>Report to the NEPC on the implementation of the National Environment Protection (Ambient Air Quality) Measure for the Northern Territory by the Hon Eva Lawler, Minister for Environment and Natural Resources for the reporting year ended 30 June 2019.</w:t>
      </w:r>
    </w:p>
    <w:p w14:paraId="7C56D4ED" w14:textId="77777777" w:rsidR="00EB6564" w:rsidRDefault="00EB6564" w:rsidP="00EB6564">
      <w:pPr>
        <w:pStyle w:val="02HEADING2"/>
      </w:pPr>
      <w:r>
        <w:lastRenderedPageBreak/>
        <w:t>Part 1—Implementation of the NEPM and any significant issues</w:t>
      </w:r>
    </w:p>
    <w:p w14:paraId="2A33757F" w14:textId="77777777" w:rsidR="00EB6564" w:rsidRDefault="00EB6564" w:rsidP="00EB6564">
      <w:pPr>
        <w:pStyle w:val="05bDOTPOINTS"/>
      </w:pPr>
      <w:r>
        <w:t>•</w:t>
      </w:r>
      <w:r>
        <w:tab/>
        <w:t xml:space="preserve">The Northern Territory Environment Protection Authority is responsible for implementing the Ambient Air Quality NEPM in the Northern Territory through the provisions of the </w:t>
      </w:r>
      <w:r>
        <w:rPr>
          <w:rStyle w:val="ITALIC"/>
        </w:rPr>
        <w:t xml:space="preserve">Waste Management and Pollution Control Act 1998 </w:t>
      </w:r>
      <w:r>
        <w:t xml:space="preserve">and the </w:t>
      </w:r>
      <w:r>
        <w:rPr>
          <w:rStyle w:val="ITALIC"/>
        </w:rPr>
        <w:t>National Environment Protection Council (Northern Territory) Act 1994.</w:t>
      </w:r>
    </w:p>
    <w:p w14:paraId="132F441C" w14:textId="77777777" w:rsidR="00EB6564" w:rsidRDefault="00EB6564" w:rsidP="00EB6564">
      <w:pPr>
        <w:pStyle w:val="05bDOTPOINTS"/>
      </w:pPr>
      <w:r>
        <w:t>•</w:t>
      </w:r>
      <w:r>
        <w:tab/>
        <w:t>Major pollutants in the Darwin air shed - PM</w:t>
      </w:r>
      <w:r>
        <w:rPr>
          <w:vertAlign w:val="subscript"/>
        </w:rPr>
        <w:t>2.5</w:t>
      </w:r>
      <w:r>
        <w:t xml:space="preserve"> and PM</w:t>
      </w:r>
      <w:r>
        <w:rPr>
          <w:vertAlign w:val="subscript"/>
        </w:rPr>
        <w:t>10</w:t>
      </w:r>
      <w:r>
        <w:t xml:space="preserve"> - are associated with smoke from controlled and uncontrolled bushfire activities in surrounding bushland. </w:t>
      </w:r>
    </w:p>
    <w:p w14:paraId="175497C7" w14:textId="77777777" w:rsidR="00EB6564" w:rsidRDefault="00EB6564" w:rsidP="00EB6564">
      <w:pPr>
        <w:pStyle w:val="05bDOTPOINTS"/>
      </w:pPr>
      <w:r>
        <w:t>•</w:t>
      </w:r>
      <w:r>
        <w:tab/>
        <w:t>The Northern Territory’s ambient air monitoring program is undertaken in accordance with the approved monitoring plan. The administrative frameworks for implementation of the NEPM are in place.</w:t>
      </w:r>
    </w:p>
    <w:p w14:paraId="234F6A36" w14:textId="77777777" w:rsidR="00EB6564" w:rsidRDefault="00EB6564" w:rsidP="00EB6564">
      <w:pPr>
        <w:pStyle w:val="05bDOTPOINTS"/>
      </w:pPr>
      <w:r>
        <w:t>•</w:t>
      </w:r>
      <w:r>
        <w:tab/>
        <w:t>The Stokes Hill air quality monitoring station was installed in 2017 to monitor potential air quality impacts from industrial development and increased shipping traffic in Darwin Harbour. The Stokes Hill monitoring station collected sufficient data over this reporting period to enable assessment against NEPM goals for that site for the first time.</w:t>
      </w:r>
    </w:p>
    <w:p w14:paraId="38AA66F2" w14:textId="77777777" w:rsidR="00EB6564" w:rsidRDefault="00EB6564" w:rsidP="00EB6564">
      <w:pPr>
        <w:pStyle w:val="02HEADING2"/>
      </w:pPr>
      <w:r>
        <w:t>Part 2—Assessment of NEPM effectiveness</w:t>
      </w:r>
    </w:p>
    <w:p w14:paraId="7C3C16C5" w14:textId="77777777" w:rsidR="00EB6564" w:rsidRDefault="00EB6564" w:rsidP="00EB6564">
      <w:pPr>
        <w:pStyle w:val="05bDOTPOINTS"/>
      </w:pPr>
      <w:r>
        <w:t>•</w:t>
      </w:r>
      <w:r>
        <w:tab/>
        <w:t xml:space="preserve">During 2018, all the ambient air quality monitoring stations in the Darwin region showed no exceedances of the AAQ NEPM standards for </w:t>
      </w:r>
      <w:proofErr w:type="spellStart"/>
      <w:r>
        <w:t>sulfur</w:t>
      </w:r>
      <w:proofErr w:type="spellEnd"/>
      <w:r>
        <w:t xml:space="preserve"> dioxide (SO</w:t>
      </w:r>
      <w:r>
        <w:rPr>
          <w:vertAlign w:val="subscript"/>
        </w:rPr>
        <w:t>2</w:t>
      </w:r>
      <w:r>
        <w:t>) and nitrogen dioxide (NO</w:t>
      </w:r>
      <w:r>
        <w:rPr>
          <w:vertAlign w:val="subscript"/>
        </w:rPr>
        <w:t>2</w:t>
      </w:r>
      <w:r>
        <w:t>). However, as explained below, although some exceedances were recorded for carbon monoxide (CO), ozone (O</w:t>
      </w:r>
      <w:r>
        <w:rPr>
          <w:vertAlign w:val="subscript"/>
        </w:rPr>
        <w:t>3</w:t>
      </w:r>
      <w:r>
        <w:t>), PM</w:t>
      </w:r>
      <w:r>
        <w:rPr>
          <w:vertAlign w:val="subscript"/>
        </w:rPr>
        <w:t>10</w:t>
      </w:r>
      <w:r>
        <w:t xml:space="preserve"> and PM</w:t>
      </w:r>
      <w:r>
        <w:rPr>
          <w:vertAlign w:val="subscript"/>
        </w:rPr>
        <w:t>2.5</w:t>
      </w:r>
      <w:r>
        <w:t>, the NEPM goals were met for their respective short-term AAQ standards. Conversely, the NEPM goal for the long-term PM</w:t>
      </w:r>
      <w:r>
        <w:rPr>
          <w:vertAlign w:val="subscript"/>
        </w:rPr>
        <w:t xml:space="preserve">2.5 </w:t>
      </w:r>
      <w:r>
        <w:t>standard was not met at any of the three monitoring stations.</w:t>
      </w:r>
    </w:p>
    <w:p w14:paraId="28428100" w14:textId="77777777" w:rsidR="00EB6564" w:rsidRDefault="00EB6564" w:rsidP="00EB6564">
      <w:pPr>
        <w:pStyle w:val="05bDOTPOINTS"/>
      </w:pPr>
      <w:r>
        <w:t>•</w:t>
      </w:r>
      <w:r>
        <w:tab/>
        <w:t>Carbon monoxide: There was one exceedance of the 8-hour rolling average for CO. However, since one exceedance day per year of the standard is permitted, compliance with the NEPM goal for carbon monoxide was met at all monitoring stations.</w:t>
      </w:r>
    </w:p>
    <w:p w14:paraId="1A5B932D" w14:textId="77777777" w:rsidR="00EB6564" w:rsidRDefault="00EB6564" w:rsidP="00EB6564">
      <w:pPr>
        <w:pStyle w:val="05bDOTPOINTS"/>
      </w:pPr>
      <w:r>
        <w:t>•</w:t>
      </w:r>
      <w:r>
        <w:tab/>
        <w:t>Ozone: To comply with the NEPM goal for ozone one exceedance day is allowed for the 1-hour and 4-hour standards. There was one exceedance of the 4-hour rolling average standard for ozone. Compliance with the NEPM goal for ozone was met at all monitoring stations.</w:t>
      </w:r>
    </w:p>
    <w:p w14:paraId="4629E556" w14:textId="77777777" w:rsidR="00EB6564" w:rsidRDefault="00EB6564" w:rsidP="00EB6564">
      <w:pPr>
        <w:pStyle w:val="05bDOTPOINTS"/>
      </w:pPr>
      <w:r>
        <w:t>•</w:t>
      </w:r>
      <w:r>
        <w:tab/>
        <w:t>PM</w:t>
      </w:r>
      <w:r>
        <w:rPr>
          <w:vertAlign w:val="subscript"/>
        </w:rPr>
        <w:t>10</w:t>
      </w:r>
      <w:r>
        <w:t>: To comply with the 24-hour NEPM goal for particulates as PM</w:t>
      </w:r>
      <w:r>
        <w:rPr>
          <w:vertAlign w:val="subscript"/>
        </w:rPr>
        <w:t>10</w:t>
      </w:r>
      <w:r>
        <w:t xml:space="preserve"> no exceedance of the 24-hour standard is allowed, unless determined as an exceptional event. All the recorded exceedances were linked to hazard reduction burns, which are considered exceptional events. All monitoring sites also complied with the annual NEPM goal for particulates as PM</w:t>
      </w:r>
      <w:r>
        <w:rPr>
          <w:vertAlign w:val="subscript"/>
        </w:rPr>
        <w:t>10</w:t>
      </w:r>
      <w:r>
        <w:t>.</w:t>
      </w:r>
    </w:p>
    <w:p w14:paraId="504FF2BA" w14:textId="77777777" w:rsidR="00EB6564" w:rsidRDefault="00EB6564" w:rsidP="00EB6564">
      <w:pPr>
        <w:pStyle w:val="05bDOTPOINTS"/>
      </w:pPr>
      <w:r>
        <w:t>•</w:t>
      </w:r>
      <w:r>
        <w:tab/>
        <w:t>PM</w:t>
      </w:r>
      <w:r>
        <w:rPr>
          <w:vertAlign w:val="subscript"/>
        </w:rPr>
        <w:t>2.5</w:t>
      </w:r>
      <w:r>
        <w:t>: To comply with the 24-hour NEPM goal for particulates as PM</w:t>
      </w:r>
      <w:r>
        <w:rPr>
          <w:vertAlign w:val="subscript"/>
        </w:rPr>
        <w:t>2.5</w:t>
      </w:r>
      <w:r>
        <w:t>, no exceedance of the 24-hour standard is allowed, unless determined to be an exceptional event. During 2017, all recorded exceedances of the PM</w:t>
      </w:r>
      <w:r>
        <w:rPr>
          <w:vertAlign w:val="subscript"/>
        </w:rPr>
        <w:t>2.5</w:t>
      </w:r>
      <w:r>
        <w:t xml:space="preserve"> standard were related to hazard reduction burns or other natural fire activities and are therefore classified as exceptional events. However, none of the monitoring sites complied with the annual NEPM goal for particulates as PM</w:t>
      </w:r>
      <w:r>
        <w:rPr>
          <w:vertAlign w:val="subscript"/>
        </w:rPr>
        <w:t>2.5</w:t>
      </w:r>
      <w:r>
        <w:t>.</w:t>
      </w:r>
    </w:p>
    <w:p w14:paraId="261FA549" w14:textId="77777777" w:rsidR="00EB6564" w:rsidRDefault="00EB6564" w:rsidP="00EB6564">
      <w:pPr>
        <w:pStyle w:val="05BODYTEXT"/>
      </w:pPr>
      <w:r>
        <w:t>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at least 75% of data are captured in each quarter and the standard for a pollutant is exceeded on no more than a specified number of days in a calendar year (one day per year for all pollutants except PM</w:t>
      </w:r>
      <w:r>
        <w:rPr>
          <w:vertAlign w:val="subscript"/>
        </w:rPr>
        <w:t>10</w:t>
      </w:r>
      <w:r>
        <w:t xml:space="preserve"> and PM</w:t>
      </w:r>
      <w:r>
        <w:rPr>
          <w:vertAlign w:val="subscript"/>
        </w:rPr>
        <w:t>2.5</w:t>
      </w:r>
      <w:r>
        <w:t xml:space="preserve">, which may not be exceeded unless caused by an exceptional event). </w:t>
      </w:r>
    </w:p>
    <w:p w14:paraId="2714A196" w14:textId="24BE80AB" w:rsidR="00EB6564" w:rsidRDefault="00EB6564" w:rsidP="00EB6564">
      <w:pPr>
        <w:pStyle w:val="05BODYTEXT"/>
      </w:pPr>
      <w:r>
        <w:t xml:space="preserve">The data are presented in detail at </w:t>
      </w:r>
      <w:hyperlink r:id="rId56" w:history="1">
        <w:r w:rsidRPr="00276A45">
          <w:rPr>
            <w:rStyle w:val="Hyperlink"/>
            <w:color w:val="4472C4" w:themeColor="accent1"/>
            <w:u w:val="single"/>
          </w:rPr>
          <w:t>http://ntepa.webhop.net/NTEPA/Default.ltr.aspx</w:t>
        </w:r>
      </w:hyperlink>
      <w:r>
        <w:t>.</w:t>
      </w:r>
    </w:p>
    <w:p w14:paraId="5D87B695" w14:textId="1E86111C" w:rsidR="00EB6564" w:rsidRDefault="00EB6564" w:rsidP="00EB6564">
      <w:pPr>
        <w:pStyle w:val="05BODYTEXT"/>
      </w:pPr>
      <w:r>
        <w:t xml:space="preserve">The monitoring plan for the Northern Territory is available from </w:t>
      </w:r>
      <w:hyperlink r:id="rId57" w:history="1">
        <w:r w:rsidRPr="00276A45">
          <w:rPr>
            <w:rStyle w:val="Hyperlink"/>
            <w:color w:val="4472C4" w:themeColor="accent1"/>
            <w:u w:val="single"/>
          </w:rPr>
          <w:t>https://ntepa.nt.gov.au/__data/assets/pdf_file/0010/284986/monitoringplan.pdf</w:t>
        </w:r>
      </w:hyperlink>
      <w:r>
        <w:t>.</w:t>
      </w: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3101E1E0" w14:textId="77777777" w:rsidTr="009327B5">
        <w:trPr>
          <w:trHeight w:val="60"/>
          <w:tblHeader/>
        </w:trPr>
        <w:tc>
          <w:tcPr>
            <w:tcW w:w="1701" w:type="dxa"/>
            <w:vMerge w:val="restart"/>
            <w:tcMar>
              <w:top w:w="85" w:type="dxa"/>
              <w:left w:w="85" w:type="dxa"/>
              <w:bottom w:w="85" w:type="dxa"/>
              <w:right w:w="85" w:type="dxa"/>
            </w:tcMar>
          </w:tcPr>
          <w:p w14:paraId="3A7449B9" w14:textId="77777777" w:rsidR="00EB6564" w:rsidRDefault="00EB6564" w:rsidP="009327B5">
            <w:pPr>
              <w:pStyle w:val="CHEMICALCHEMTABLES"/>
              <w:keepNext/>
              <w:spacing w:after="0" w:line="240" w:lineRule="auto"/>
            </w:pPr>
            <w:r>
              <w:t>CO</w:t>
            </w:r>
          </w:p>
        </w:tc>
        <w:tc>
          <w:tcPr>
            <w:tcW w:w="5731" w:type="dxa"/>
            <w:tcMar>
              <w:top w:w="85" w:type="dxa"/>
              <w:left w:w="85" w:type="dxa"/>
              <w:bottom w:w="85" w:type="dxa"/>
              <w:right w:w="85" w:type="dxa"/>
            </w:tcMar>
          </w:tcPr>
          <w:p w14:paraId="1A3CFEA6" w14:textId="77777777" w:rsidR="00EB6564" w:rsidRDefault="00EB6564" w:rsidP="009327B5">
            <w:pPr>
              <w:pStyle w:val="CHEMICALfullnameCHEMTABLES"/>
              <w:keepNext/>
              <w:spacing w:after="0" w:line="240" w:lineRule="auto"/>
            </w:pPr>
            <w:r>
              <w:t>Carbon monoxide</w:t>
            </w:r>
          </w:p>
        </w:tc>
      </w:tr>
      <w:tr w:rsidR="00EB6564" w14:paraId="01649269" w14:textId="77777777" w:rsidTr="009327B5">
        <w:trPr>
          <w:trHeight w:val="60"/>
          <w:tblHeader/>
        </w:trPr>
        <w:tc>
          <w:tcPr>
            <w:tcW w:w="1701" w:type="dxa"/>
            <w:vMerge/>
          </w:tcPr>
          <w:p w14:paraId="3043115D" w14:textId="77777777" w:rsidR="00EB6564" w:rsidRDefault="00EB6564" w:rsidP="009327B5">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17FDDF19" w14:textId="77777777" w:rsidR="00EB6564" w:rsidRDefault="00EB6564" w:rsidP="009327B5">
            <w:pPr>
              <w:pStyle w:val="NEPMstandardCHEMTABLES"/>
              <w:keepNext/>
              <w:spacing w:after="0" w:line="240" w:lineRule="auto"/>
            </w:pPr>
            <w:r>
              <w:t>(NEPM standard 8 hours = 9.0ppm)</w:t>
            </w:r>
          </w:p>
        </w:tc>
      </w:tr>
      <w:tr w:rsidR="00EB6564" w14:paraId="679CE8F5" w14:textId="77777777" w:rsidTr="009327B5">
        <w:trPr>
          <w:trHeight w:hRule="exact" w:val="113"/>
        </w:trPr>
        <w:tc>
          <w:tcPr>
            <w:tcW w:w="1701" w:type="dxa"/>
            <w:tcMar>
              <w:top w:w="85" w:type="dxa"/>
              <w:left w:w="85" w:type="dxa"/>
              <w:bottom w:w="85" w:type="dxa"/>
              <w:right w:w="85" w:type="dxa"/>
            </w:tcMar>
          </w:tcPr>
          <w:p w14:paraId="0A516ED6" w14:textId="77777777" w:rsidR="00EB6564" w:rsidRDefault="00EB6564" w:rsidP="009327B5">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7115AD0E" w14:textId="77777777" w:rsidR="00EB6564" w:rsidRDefault="00EB6564" w:rsidP="009327B5">
            <w:pPr>
              <w:pStyle w:val="NoParagraphStyle"/>
              <w:keepNext/>
              <w:spacing w:line="240" w:lineRule="auto"/>
              <w:textAlignment w:val="auto"/>
              <w:rPr>
                <w:rFonts w:ascii="Calibri" w:hAnsi="Calibri" w:cs="Calibri"/>
                <w:color w:val="auto"/>
              </w:rPr>
            </w:pPr>
          </w:p>
        </w:tc>
      </w:tr>
    </w:tbl>
    <w:p w14:paraId="09A1F2C6" w14:textId="77777777" w:rsidR="00EB6564" w:rsidRDefault="00EB6564" w:rsidP="006D4FDC">
      <w:pPr>
        <w:pStyle w:val="05BODYTEXT"/>
        <w:keepN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2472"/>
        <w:gridCol w:w="2473"/>
        <w:gridCol w:w="2472"/>
      </w:tblGrid>
      <w:tr w:rsidR="00EB6564" w14:paraId="581854DD" w14:textId="77777777">
        <w:trPr>
          <w:trHeight w:val="60"/>
          <w:tblHeader/>
        </w:trPr>
        <w:tc>
          <w:tcPr>
            <w:tcW w:w="247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4EB3B65" w14:textId="77777777" w:rsidR="00EB6564" w:rsidRDefault="00EB6564" w:rsidP="006D4FDC">
            <w:pPr>
              <w:pStyle w:val="06bTABLEHEADERROW"/>
              <w:spacing w:line="240" w:lineRule="auto"/>
            </w:pPr>
            <w:r>
              <w:t>Station</w:t>
            </w:r>
          </w:p>
        </w:tc>
        <w:tc>
          <w:tcPr>
            <w:tcW w:w="247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F5264A2" w14:textId="77777777" w:rsidR="00EB6564" w:rsidRDefault="00EB6564" w:rsidP="006D4FDC">
            <w:pPr>
              <w:pStyle w:val="06bTABLEHEADERROW"/>
              <w:spacing w:line="240" w:lineRule="auto"/>
              <w:jc w:val="center"/>
            </w:pPr>
            <w:r>
              <w:t>Number of exceedances</w:t>
            </w:r>
          </w:p>
        </w:tc>
        <w:tc>
          <w:tcPr>
            <w:tcW w:w="247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6EB9DFA" w14:textId="77777777" w:rsidR="00EB6564" w:rsidRDefault="00EB6564" w:rsidP="006D4FDC">
            <w:pPr>
              <w:pStyle w:val="06bTABLEHEADERROW"/>
              <w:spacing w:line="240" w:lineRule="auto"/>
              <w:jc w:val="center"/>
            </w:pPr>
            <w:r>
              <w:t>NEPM goal compliance</w:t>
            </w:r>
          </w:p>
        </w:tc>
      </w:tr>
      <w:tr w:rsidR="00EB6564" w14:paraId="11B2A90F"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87C8258" w14:textId="77777777" w:rsidR="00EB6564" w:rsidRDefault="00EB6564" w:rsidP="006D4FDC">
            <w:pPr>
              <w:pStyle w:val="05BODYTEXT"/>
              <w:keepNext/>
              <w:spacing w:line="240" w:lineRule="auto"/>
            </w:pPr>
            <w:r>
              <w:t>Palmerston</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A13E91" w14:textId="77777777" w:rsidR="00EB6564" w:rsidRDefault="00EB6564" w:rsidP="006D4FDC">
            <w:pPr>
              <w:pStyle w:val="05BODYTEXT"/>
              <w:keepNext/>
              <w:spacing w:line="240" w:lineRule="auto"/>
              <w:jc w:val="center"/>
            </w:pPr>
            <w:r>
              <w:t>0</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3E9F6ED" w14:textId="77777777" w:rsidR="00EB6564" w:rsidRDefault="00EB6564" w:rsidP="006D4FDC">
            <w:pPr>
              <w:pStyle w:val="05BODYTEXT"/>
              <w:keepNext/>
              <w:spacing w:line="240" w:lineRule="auto"/>
              <w:jc w:val="center"/>
            </w:pPr>
            <w:r>
              <w:t>Met</w:t>
            </w:r>
          </w:p>
        </w:tc>
      </w:tr>
      <w:tr w:rsidR="00EB6564" w14:paraId="6C894CA5"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0C5874" w14:textId="77777777" w:rsidR="00EB6564" w:rsidRDefault="00EB6564" w:rsidP="006D4FDC">
            <w:pPr>
              <w:pStyle w:val="05BODYTEXT"/>
              <w:keepNext/>
              <w:spacing w:line="240" w:lineRule="auto"/>
            </w:pPr>
            <w:r>
              <w:t>Stokes Hill</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AA0FDE" w14:textId="77777777" w:rsidR="00EB6564" w:rsidRDefault="00EB6564" w:rsidP="006D4FDC">
            <w:pPr>
              <w:pStyle w:val="05BODYTEXT"/>
              <w:keepNext/>
              <w:spacing w:line="240" w:lineRule="auto"/>
              <w:jc w:val="center"/>
            </w:pPr>
            <w:r>
              <w:t>0</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2F7431" w14:textId="77777777" w:rsidR="00EB6564" w:rsidRDefault="00EB6564" w:rsidP="006D4FDC">
            <w:pPr>
              <w:pStyle w:val="05BODYTEXT"/>
              <w:keepNext/>
              <w:spacing w:line="240" w:lineRule="auto"/>
              <w:jc w:val="center"/>
            </w:pPr>
            <w:r>
              <w:t>Met</w:t>
            </w:r>
          </w:p>
        </w:tc>
      </w:tr>
      <w:tr w:rsidR="00EB6564" w14:paraId="25901518"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A4E55C4" w14:textId="77777777" w:rsidR="00EB6564" w:rsidRDefault="00EB6564">
            <w:pPr>
              <w:pStyle w:val="05BODYTEXT"/>
            </w:pPr>
            <w:r>
              <w:t>Winnellie</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3D3BE9" w14:textId="77777777" w:rsidR="00EB6564" w:rsidRDefault="00EB6564">
            <w:pPr>
              <w:pStyle w:val="05BODYTEXT"/>
              <w:jc w:val="center"/>
            </w:pPr>
            <w:r>
              <w:t>1</w:t>
            </w: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302F36" w14:textId="77777777" w:rsidR="00EB6564" w:rsidRDefault="00EB6564">
            <w:pPr>
              <w:pStyle w:val="05BODYTEXT"/>
              <w:jc w:val="center"/>
            </w:pPr>
            <w:r>
              <w:t>Met</w:t>
            </w:r>
          </w:p>
        </w:tc>
      </w:tr>
    </w:tbl>
    <w:p w14:paraId="64902155" w14:textId="77777777" w:rsidR="00EB6564" w:rsidRDefault="00EB6564" w:rsidP="00EB6564">
      <w:pPr>
        <w:pStyle w:val="05BODYTEXT"/>
      </w:pP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72CADDEB" w14:textId="77777777" w:rsidTr="009327B5">
        <w:trPr>
          <w:trHeight w:val="60"/>
          <w:tblHeader/>
        </w:trPr>
        <w:tc>
          <w:tcPr>
            <w:tcW w:w="1701" w:type="dxa"/>
            <w:vMerge w:val="restart"/>
            <w:tcMar>
              <w:top w:w="85" w:type="dxa"/>
              <w:left w:w="85" w:type="dxa"/>
              <w:bottom w:w="85" w:type="dxa"/>
              <w:right w:w="85" w:type="dxa"/>
            </w:tcMar>
          </w:tcPr>
          <w:p w14:paraId="085BB0CB" w14:textId="77777777" w:rsidR="00EB6564" w:rsidRDefault="00EB6564" w:rsidP="009327B5">
            <w:pPr>
              <w:pStyle w:val="CHEMICALCHEMTABLES"/>
              <w:spacing w:after="0" w:line="240" w:lineRule="auto"/>
            </w:pPr>
            <w:r>
              <w:lastRenderedPageBreak/>
              <w:t>NO</w:t>
            </w:r>
            <w:r>
              <w:rPr>
                <w:vertAlign w:val="subscript"/>
              </w:rPr>
              <w:t>2</w:t>
            </w:r>
          </w:p>
        </w:tc>
        <w:tc>
          <w:tcPr>
            <w:tcW w:w="5731" w:type="dxa"/>
            <w:tcMar>
              <w:top w:w="85" w:type="dxa"/>
              <w:left w:w="85" w:type="dxa"/>
              <w:bottom w:w="85" w:type="dxa"/>
              <w:right w:w="85" w:type="dxa"/>
            </w:tcMar>
          </w:tcPr>
          <w:p w14:paraId="409A1956" w14:textId="77777777" w:rsidR="00EB6564" w:rsidRDefault="00EB6564" w:rsidP="009327B5">
            <w:pPr>
              <w:pStyle w:val="CHEMICALfullnameCHEMTABLES"/>
              <w:spacing w:after="0" w:line="240" w:lineRule="auto"/>
            </w:pPr>
            <w:r>
              <w:t>Nitrogen dioxide</w:t>
            </w:r>
          </w:p>
        </w:tc>
      </w:tr>
      <w:tr w:rsidR="00EB6564" w14:paraId="34AC3E20" w14:textId="77777777" w:rsidTr="009327B5">
        <w:trPr>
          <w:trHeight w:val="60"/>
          <w:tblHeader/>
        </w:trPr>
        <w:tc>
          <w:tcPr>
            <w:tcW w:w="1701" w:type="dxa"/>
            <w:vMerge/>
          </w:tcPr>
          <w:p w14:paraId="6BB06CDD" w14:textId="77777777" w:rsidR="00EB6564" w:rsidRDefault="00EB6564" w:rsidP="009327B5">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A4D5B16" w14:textId="77777777" w:rsidR="00EB6564" w:rsidRDefault="00EB6564" w:rsidP="009327B5">
            <w:pPr>
              <w:pStyle w:val="NEPMstandardCHEMTABLES"/>
              <w:spacing w:after="0" w:line="240" w:lineRule="auto"/>
            </w:pPr>
            <w:r>
              <w:t>(NEPM standard: 1 hour = 0.12ppm, 1 year = 0.03ppm)</w:t>
            </w:r>
          </w:p>
        </w:tc>
      </w:tr>
      <w:tr w:rsidR="00EB6564" w14:paraId="075684E8" w14:textId="77777777" w:rsidTr="009327B5">
        <w:trPr>
          <w:trHeight w:hRule="exact" w:val="113"/>
        </w:trPr>
        <w:tc>
          <w:tcPr>
            <w:tcW w:w="1701" w:type="dxa"/>
            <w:tcMar>
              <w:top w:w="85" w:type="dxa"/>
              <w:left w:w="85" w:type="dxa"/>
              <w:bottom w:w="85" w:type="dxa"/>
              <w:right w:w="85" w:type="dxa"/>
            </w:tcMar>
          </w:tcPr>
          <w:p w14:paraId="4ED81104" w14:textId="77777777" w:rsidR="00EB6564" w:rsidRDefault="00EB6564" w:rsidP="009327B5">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5211938E" w14:textId="77777777" w:rsidR="00EB6564" w:rsidRDefault="00EB6564" w:rsidP="009327B5">
            <w:pPr>
              <w:pStyle w:val="NoParagraphStyle"/>
              <w:spacing w:line="240" w:lineRule="auto"/>
              <w:textAlignment w:val="auto"/>
              <w:rPr>
                <w:rFonts w:ascii="Calibri" w:hAnsi="Calibri" w:cs="Calibri"/>
                <w:color w:val="auto"/>
              </w:rPr>
            </w:pPr>
          </w:p>
        </w:tc>
      </w:tr>
    </w:tbl>
    <w:p w14:paraId="1D35755A"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1483"/>
        <w:gridCol w:w="1484"/>
        <w:gridCol w:w="1483"/>
        <w:gridCol w:w="1483"/>
        <w:gridCol w:w="1484"/>
      </w:tblGrid>
      <w:tr w:rsidR="00EB6564" w14:paraId="50F80550" w14:textId="77777777">
        <w:trPr>
          <w:trHeight w:val="6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6E3B299" w14:textId="77777777" w:rsidR="00EB6564" w:rsidRDefault="00EB6564">
            <w:pPr>
              <w:pStyle w:val="06bTABLEHEADERROW"/>
            </w:pPr>
            <w:r>
              <w:t>Station</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8475434" w14:textId="77777777" w:rsidR="00EB6564" w:rsidRDefault="00EB6564">
            <w:pPr>
              <w:pStyle w:val="06bTABLEHEADERROW"/>
              <w:jc w:val="center"/>
            </w:pPr>
            <w:r>
              <w:t>1 hour</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3760058" w14:textId="77777777" w:rsidR="00EB6564" w:rsidRDefault="00EB6564">
            <w:pPr>
              <w:pStyle w:val="06bTABLEHEADERROW"/>
              <w:jc w:val="center"/>
            </w:pPr>
            <w:r>
              <w:t>1 year</w:t>
            </w:r>
          </w:p>
        </w:tc>
      </w:tr>
      <w:tr w:rsidR="00EB6564" w14:paraId="4FB22432" w14:textId="77777777">
        <w:trPr>
          <w:trHeight w:val="60"/>
          <w:tblHeader/>
        </w:trPr>
        <w:tc>
          <w:tcPr>
            <w:tcW w:w="1483" w:type="dxa"/>
            <w:vMerge/>
            <w:tcBorders>
              <w:top w:val="single" w:sz="8" w:space="0" w:color="FFFFFF"/>
              <w:left w:val="single" w:sz="4" w:space="0" w:color="FFFFFF"/>
              <w:bottom w:val="single" w:sz="8" w:space="0" w:color="FFFFFF"/>
              <w:right w:val="single" w:sz="4" w:space="0" w:color="FFFFFF"/>
            </w:tcBorders>
          </w:tcPr>
          <w:p w14:paraId="55F0A3A1" w14:textId="77777777" w:rsidR="00EB6564" w:rsidRDefault="00EB6564">
            <w:pPr>
              <w:pStyle w:val="NoParagraphStyle"/>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BC241F7" w14:textId="77777777" w:rsidR="00EB6564" w:rsidRDefault="00EB6564">
            <w:pPr>
              <w:pStyle w:val="06bTABLEHEADERROW"/>
              <w:jc w:val="center"/>
            </w:pPr>
            <w:r>
              <w:t>Number of exceedances</w:t>
            </w:r>
          </w:p>
        </w:tc>
        <w:tc>
          <w:tcPr>
            <w:tcW w:w="148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669587A" w14:textId="77777777" w:rsidR="00EB6564" w:rsidRDefault="00EB6564">
            <w:pPr>
              <w:pStyle w:val="06bTABLEHEADERROW"/>
              <w:jc w:val="center"/>
            </w:pPr>
            <w:r>
              <w:t>NEPM goal compliance</w:t>
            </w:r>
          </w:p>
        </w:tc>
        <w:tc>
          <w:tcPr>
            <w:tcW w:w="148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2741F8F" w14:textId="77777777" w:rsidR="00EB6564" w:rsidRDefault="00EB6564">
            <w:pPr>
              <w:pStyle w:val="06bTABLEHEADERROW"/>
              <w:jc w:val="center"/>
            </w:pPr>
            <w:r>
              <w:t>Annual average (ppm)</w:t>
            </w:r>
          </w:p>
        </w:tc>
        <w:tc>
          <w:tcPr>
            <w:tcW w:w="148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BEB5F41" w14:textId="77777777" w:rsidR="00EB6564" w:rsidRDefault="00EB6564">
            <w:pPr>
              <w:pStyle w:val="06bTABLEHEADERROW"/>
              <w:jc w:val="center"/>
            </w:pPr>
            <w:r>
              <w:t>NEPM goal compliance</w:t>
            </w:r>
          </w:p>
        </w:tc>
      </w:tr>
      <w:tr w:rsidR="00EB6564" w14:paraId="5FF518F0"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236C02" w14:textId="77777777" w:rsidR="00EB6564" w:rsidRDefault="00EB6564">
            <w:pPr>
              <w:pStyle w:val="06cTABLETEXT"/>
            </w:pPr>
            <w:r>
              <w:t>Palmerston</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F33408"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2016A9"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122E02" w14:textId="77777777" w:rsidR="00EB6564" w:rsidRDefault="00EB6564">
            <w:pPr>
              <w:pStyle w:val="06cTABLETEXT"/>
              <w:jc w:val="center"/>
            </w:pPr>
            <w:r>
              <w:t>0.0024</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7BC9B0" w14:textId="77777777" w:rsidR="00EB6564" w:rsidRDefault="00EB6564">
            <w:pPr>
              <w:pStyle w:val="06cTABLETEXT"/>
              <w:jc w:val="center"/>
            </w:pPr>
            <w:r>
              <w:t>Met</w:t>
            </w:r>
          </w:p>
        </w:tc>
      </w:tr>
      <w:tr w:rsidR="00EB6564" w14:paraId="218235B9"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CA8B46" w14:textId="77777777" w:rsidR="00EB6564" w:rsidRDefault="00EB6564">
            <w:pPr>
              <w:pStyle w:val="06cTABLETEXT"/>
            </w:pPr>
            <w:r>
              <w:t>Stokes Hill</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4DDF55"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7DB717"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4E5C6E4" w14:textId="77777777" w:rsidR="00EB6564" w:rsidRDefault="00EB6564">
            <w:pPr>
              <w:pStyle w:val="06cTABLETEXT"/>
              <w:jc w:val="center"/>
            </w:pPr>
            <w:r>
              <w:t>0.0020</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0C1B5B" w14:textId="77777777" w:rsidR="00EB6564" w:rsidRDefault="00EB6564">
            <w:pPr>
              <w:pStyle w:val="06cTABLETEXT"/>
              <w:jc w:val="center"/>
            </w:pPr>
            <w:r>
              <w:t>Met</w:t>
            </w:r>
          </w:p>
        </w:tc>
      </w:tr>
      <w:tr w:rsidR="00EB6564" w14:paraId="35B723FD"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53AE82" w14:textId="77777777" w:rsidR="00EB6564" w:rsidRDefault="00EB6564">
            <w:pPr>
              <w:pStyle w:val="06cTABLETEXT"/>
            </w:pPr>
            <w:r>
              <w:t>Winnellie</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45A82D2"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F59AB13"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04CA40" w14:textId="77777777" w:rsidR="00EB6564" w:rsidRDefault="00EB6564">
            <w:pPr>
              <w:pStyle w:val="06cTABLETEXT"/>
              <w:jc w:val="center"/>
            </w:pPr>
            <w:r>
              <w:t>0.0017</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CFC4A0" w14:textId="77777777" w:rsidR="00EB6564" w:rsidRDefault="00EB6564">
            <w:pPr>
              <w:pStyle w:val="06cTABLETEXT"/>
              <w:jc w:val="center"/>
            </w:pPr>
            <w:r>
              <w:t>Met</w:t>
            </w:r>
          </w:p>
        </w:tc>
      </w:tr>
    </w:tbl>
    <w:p w14:paraId="4DEC7009" w14:textId="77777777" w:rsidR="00EB6564" w:rsidRDefault="00EB6564" w:rsidP="00EB6564">
      <w:pPr>
        <w:pStyle w:val="05BODYTEXT"/>
      </w:pP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67EF8EAF" w14:textId="77777777" w:rsidTr="009327B5">
        <w:trPr>
          <w:trHeight w:val="60"/>
          <w:tblHeader/>
        </w:trPr>
        <w:tc>
          <w:tcPr>
            <w:tcW w:w="1701" w:type="dxa"/>
            <w:vMerge w:val="restart"/>
            <w:tcMar>
              <w:top w:w="85" w:type="dxa"/>
              <w:left w:w="85" w:type="dxa"/>
              <w:bottom w:w="85" w:type="dxa"/>
              <w:right w:w="85" w:type="dxa"/>
            </w:tcMar>
          </w:tcPr>
          <w:p w14:paraId="570B8742" w14:textId="77777777" w:rsidR="00EB6564" w:rsidRDefault="00EB6564" w:rsidP="009327B5">
            <w:pPr>
              <w:pStyle w:val="CHEMICALCHEMTABLES"/>
              <w:keepNext/>
              <w:spacing w:after="0" w:line="240" w:lineRule="auto"/>
            </w:pPr>
            <w:r>
              <w:t>O</w:t>
            </w:r>
            <w:r>
              <w:rPr>
                <w:vertAlign w:val="subscript"/>
              </w:rPr>
              <w:t>3</w:t>
            </w:r>
          </w:p>
        </w:tc>
        <w:tc>
          <w:tcPr>
            <w:tcW w:w="5731" w:type="dxa"/>
            <w:tcMar>
              <w:top w:w="85" w:type="dxa"/>
              <w:left w:w="85" w:type="dxa"/>
              <w:bottom w:w="85" w:type="dxa"/>
              <w:right w:w="85" w:type="dxa"/>
            </w:tcMar>
          </w:tcPr>
          <w:p w14:paraId="7050D45B" w14:textId="77777777" w:rsidR="00EB6564" w:rsidRDefault="00EB6564" w:rsidP="009327B5">
            <w:pPr>
              <w:pStyle w:val="CHEMICALfullnameCHEMTABLES"/>
              <w:keepNext/>
              <w:spacing w:after="0" w:line="240" w:lineRule="auto"/>
            </w:pPr>
            <w:r>
              <w:t>Ozone</w:t>
            </w:r>
          </w:p>
        </w:tc>
      </w:tr>
      <w:tr w:rsidR="00EB6564" w14:paraId="4D407F71" w14:textId="77777777" w:rsidTr="009327B5">
        <w:trPr>
          <w:trHeight w:val="60"/>
          <w:tblHeader/>
        </w:trPr>
        <w:tc>
          <w:tcPr>
            <w:tcW w:w="1701" w:type="dxa"/>
            <w:vMerge/>
          </w:tcPr>
          <w:p w14:paraId="6C41B181" w14:textId="77777777" w:rsidR="00EB6564" w:rsidRDefault="00EB6564" w:rsidP="009327B5">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2F438B37" w14:textId="77777777" w:rsidR="00EB6564" w:rsidRDefault="00EB6564" w:rsidP="009327B5">
            <w:pPr>
              <w:pStyle w:val="NEPMstandardCHEMTABLES"/>
              <w:keepNext/>
              <w:spacing w:after="0" w:line="240" w:lineRule="auto"/>
            </w:pPr>
            <w:r>
              <w:t>(NEPM standard: 1 hour = 0.10ppm, 4 hours = 0.08ppm)</w:t>
            </w:r>
          </w:p>
        </w:tc>
      </w:tr>
      <w:tr w:rsidR="00EB6564" w14:paraId="70587E70" w14:textId="77777777" w:rsidTr="009327B5">
        <w:trPr>
          <w:trHeight w:hRule="exact" w:val="113"/>
        </w:trPr>
        <w:tc>
          <w:tcPr>
            <w:tcW w:w="1701" w:type="dxa"/>
            <w:tcMar>
              <w:top w:w="85" w:type="dxa"/>
              <w:left w:w="85" w:type="dxa"/>
              <w:bottom w:w="85" w:type="dxa"/>
              <w:right w:w="85" w:type="dxa"/>
            </w:tcMar>
          </w:tcPr>
          <w:p w14:paraId="3E65F050" w14:textId="77777777" w:rsidR="00EB6564" w:rsidRDefault="00EB6564" w:rsidP="009327B5">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7C0F3DE" w14:textId="77777777" w:rsidR="00EB6564" w:rsidRDefault="00EB6564" w:rsidP="009327B5">
            <w:pPr>
              <w:pStyle w:val="NoParagraphStyle"/>
              <w:keepNext/>
              <w:spacing w:line="240" w:lineRule="auto"/>
              <w:textAlignment w:val="auto"/>
              <w:rPr>
                <w:rFonts w:ascii="Calibri" w:hAnsi="Calibri" w:cs="Calibri"/>
                <w:color w:val="auto"/>
              </w:rPr>
            </w:pPr>
          </w:p>
        </w:tc>
      </w:tr>
    </w:tbl>
    <w:p w14:paraId="0DF77305" w14:textId="77777777" w:rsidR="00EB6564" w:rsidRDefault="00EB6564" w:rsidP="00C225B7">
      <w:pPr>
        <w:pStyle w:val="05BODYTEXT"/>
        <w:keepN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1483"/>
        <w:gridCol w:w="1484"/>
        <w:gridCol w:w="1483"/>
        <w:gridCol w:w="1483"/>
        <w:gridCol w:w="1484"/>
      </w:tblGrid>
      <w:tr w:rsidR="00EB6564" w14:paraId="6D7A4C41" w14:textId="77777777">
        <w:trPr>
          <w:trHeight w:val="6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37F126E" w14:textId="77777777" w:rsidR="00EB6564" w:rsidRDefault="00EB6564" w:rsidP="00C225B7">
            <w:pPr>
              <w:pStyle w:val="06bTABLEHEADERROW"/>
              <w:spacing w:line="240" w:lineRule="auto"/>
            </w:pPr>
            <w:r>
              <w:t>Station</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1CF30484" w14:textId="77777777" w:rsidR="00EB6564" w:rsidRDefault="00EB6564" w:rsidP="00C225B7">
            <w:pPr>
              <w:pStyle w:val="06bTABLEHEADERROW"/>
              <w:spacing w:line="240" w:lineRule="auto"/>
              <w:jc w:val="center"/>
            </w:pPr>
            <w:r>
              <w:t>1 hour</w:t>
            </w:r>
          </w:p>
        </w:tc>
        <w:tc>
          <w:tcPr>
            <w:tcW w:w="2967"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2010DC7" w14:textId="733C69E6" w:rsidR="00EB6564" w:rsidRDefault="00EB6564" w:rsidP="00C225B7">
            <w:pPr>
              <w:pStyle w:val="06bTABLEHEADERROW"/>
              <w:spacing w:line="240" w:lineRule="auto"/>
              <w:jc w:val="center"/>
            </w:pPr>
            <w:r>
              <w:t>4 hours</w:t>
            </w:r>
          </w:p>
        </w:tc>
      </w:tr>
      <w:tr w:rsidR="00EB6564" w14:paraId="5FF50406" w14:textId="77777777">
        <w:trPr>
          <w:trHeight w:val="60"/>
          <w:tblHeader/>
        </w:trPr>
        <w:tc>
          <w:tcPr>
            <w:tcW w:w="1483" w:type="dxa"/>
            <w:vMerge/>
            <w:tcBorders>
              <w:top w:val="single" w:sz="8" w:space="0" w:color="FFFFFF"/>
              <w:left w:val="single" w:sz="4" w:space="0" w:color="FFFFFF"/>
              <w:bottom w:val="single" w:sz="8" w:space="0" w:color="FFFFFF"/>
              <w:right w:val="single" w:sz="4" w:space="0" w:color="FFFFFF"/>
            </w:tcBorders>
          </w:tcPr>
          <w:p w14:paraId="07CC45F7" w14:textId="77777777" w:rsidR="00EB6564" w:rsidRDefault="00EB6564" w:rsidP="00C225B7">
            <w:pPr>
              <w:pStyle w:val="NoParagraphStyle"/>
              <w:keepNext/>
              <w:spacing w:line="240" w:lineRule="auto"/>
              <w:textAlignment w:val="auto"/>
              <w:rPr>
                <w:rFonts w:ascii="Calibri" w:hAnsi="Calibri" w:cs="Calibri"/>
                <w:color w:val="auto"/>
              </w:rPr>
            </w:pPr>
          </w:p>
        </w:tc>
        <w:tc>
          <w:tcPr>
            <w:tcW w:w="148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2A4BB05" w14:textId="77777777" w:rsidR="00EB6564" w:rsidRDefault="00EB6564" w:rsidP="00C225B7">
            <w:pPr>
              <w:pStyle w:val="06bTABLEHEADERROW"/>
              <w:spacing w:line="240" w:lineRule="auto"/>
              <w:jc w:val="center"/>
            </w:pPr>
            <w:r>
              <w:t>Number of exceedances</w:t>
            </w:r>
          </w:p>
        </w:tc>
        <w:tc>
          <w:tcPr>
            <w:tcW w:w="148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4A781B0" w14:textId="77777777" w:rsidR="00EB6564" w:rsidRDefault="00EB6564" w:rsidP="00C225B7">
            <w:pPr>
              <w:pStyle w:val="06bTABLEHEADERROW"/>
              <w:spacing w:line="240" w:lineRule="auto"/>
              <w:jc w:val="center"/>
            </w:pPr>
            <w:r>
              <w:t>NEPM goal compliance</w:t>
            </w:r>
          </w:p>
        </w:tc>
        <w:tc>
          <w:tcPr>
            <w:tcW w:w="148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92712BA" w14:textId="77777777" w:rsidR="00EB6564" w:rsidRDefault="00EB6564" w:rsidP="00C225B7">
            <w:pPr>
              <w:pStyle w:val="06bTABLEHEADERROW"/>
              <w:spacing w:line="240" w:lineRule="auto"/>
              <w:jc w:val="center"/>
            </w:pPr>
            <w:r>
              <w:t>Number of exceedances</w:t>
            </w:r>
          </w:p>
        </w:tc>
        <w:tc>
          <w:tcPr>
            <w:tcW w:w="148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B0668F3" w14:textId="77777777" w:rsidR="00EB6564" w:rsidRDefault="00EB6564" w:rsidP="00C225B7">
            <w:pPr>
              <w:pStyle w:val="06bTABLEHEADERROW"/>
              <w:spacing w:line="240" w:lineRule="auto"/>
              <w:jc w:val="center"/>
            </w:pPr>
            <w:r>
              <w:t>NEPM goal compliance</w:t>
            </w:r>
          </w:p>
        </w:tc>
      </w:tr>
      <w:tr w:rsidR="00EB6564" w14:paraId="6B6E867E"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A83A89" w14:textId="77777777" w:rsidR="00EB6564" w:rsidRDefault="00EB6564" w:rsidP="00C225B7">
            <w:pPr>
              <w:pStyle w:val="06cTABLETEXT"/>
              <w:keepNext/>
              <w:spacing w:line="240" w:lineRule="auto"/>
            </w:pPr>
            <w:r>
              <w:t>Palmerston</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DA8A3D" w14:textId="77777777" w:rsidR="00EB6564" w:rsidRDefault="00EB6564" w:rsidP="00C225B7">
            <w:pPr>
              <w:pStyle w:val="06cTABLETEXT"/>
              <w:keepNext/>
              <w:spacing w:line="240" w:lineRule="auto"/>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F6124A" w14:textId="77777777" w:rsidR="00EB6564" w:rsidRDefault="00EB6564" w:rsidP="00C225B7">
            <w:pPr>
              <w:pStyle w:val="06cTABLETEXT"/>
              <w:keepNext/>
              <w:spacing w:line="240" w:lineRule="auto"/>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286957" w14:textId="77777777" w:rsidR="00EB6564" w:rsidRDefault="00EB6564" w:rsidP="00C225B7">
            <w:pPr>
              <w:pStyle w:val="06cTABLETEXT"/>
              <w:keepNext/>
              <w:spacing w:line="240" w:lineRule="auto"/>
              <w:jc w:val="center"/>
            </w:pPr>
            <w:r>
              <w:t>1</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5DFAE1" w14:textId="77777777" w:rsidR="00EB6564" w:rsidRDefault="00EB6564" w:rsidP="00C225B7">
            <w:pPr>
              <w:pStyle w:val="06cTABLETEXT"/>
              <w:keepNext/>
              <w:spacing w:line="240" w:lineRule="auto"/>
              <w:jc w:val="center"/>
            </w:pPr>
            <w:r>
              <w:t>Met</w:t>
            </w:r>
          </w:p>
        </w:tc>
      </w:tr>
      <w:tr w:rsidR="00EB6564" w14:paraId="6133E3F3"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2A7A40" w14:textId="77777777" w:rsidR="00EB6564" w:rsidRDefault="00EB6564" w:rsidP="00C225B7">
            <w:pPr>
              <w:pStyle w:val="06cTABLETEXT"/>
              <w:keepNext/>
              <w:spacing w:line="240" w:lineRule="auto"/>
            </w:pPr>
            <w:r>
              <w:t>Stokes Hill</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A0A113" w14:textId="77777777" w:rsidR="00EB6564" w:rsidRDefault="00EB6564" w:rsidP="00C225B7">
            <w:pPr>
              <w:pStyle w:val="06cTABLETEXT"/>
              <w:keepNext/>
              <w:spacing w:line="240" w:lineRule="auto"/>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5015BE" w14:textId="77777777" w:rsidR="00EB6564" w:rsidRDefault="00EB6564" w:rsidP="00C225B7">
            <w:pPr>
              <w:pStyle w:val="06cTABLETEXT"/>
              <w:keepNext/>
              <w:spacing w:line="240" w:lineRule="auto"/>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5EEA92" w14:textId="77777777" w:rsidR="00EB6564" w:rsidRDefault="00EB6564" w:rsidP="00C225B7">
            <w:pPr>
              <w:pStyle w:val="06cTABLETEXT"/>
              <w:keepNext/>
              <w:spacing w:line="240" w:lineRule="auto"/>
              <w:jc w:val="center"/>
            </w:pPr>
            <w:r>
              <w:t>1</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59C6FD" w14:textId="77777777" w:rsidR="00EB6564" w:rsidRDefault="00EB6564" w:rsidP="00C225B7">
            <w:pPr>
              <w:pStyle w:val="06cTABLETEXT"/>
              <w:keepNext/>
              <w:spacing w:line="240" w:lineRule="auto"/>
              <w:jc w:val="center"/>
            </w:pPr>
            <w:r>
              <w:t>Met</w:t>
            </w:r>
          </w:p>
        </w:tc>
      </w:tr>
      <w:tr w:rsidR="00EB6564" w14:paraId="6BC08E63" w14:textId="77777777">
        <w:trPr>
          <w:trHeight w:val="60"/>
        </w:trPr>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BCCDDA" w14:textId="77777777" w:rsidR="00EB6564" w:rsidRDefault="00EB6564">
            <w:pPr>
              <w:pStyle w:val="06cTABLETEXT"/>
            </w:pPr>
            <w:r>
              <w:t>Winnellie</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31DF3D" w14:textId="77777777" w:rsidR="00EB6564" w:rsidRDefault="00EB6564">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4E0618" w14:textId="77777777" w:rsidR="00EB6564" w:rsidRDefault="00EB6564">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4CA5E1" w14:textId="77777777" w:rsidR="00EB6564" w:rsidRDefault="00EB6564">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3847670" w14:textId="77777777" w:rsidR="00EB6564" w:rsidRDefault="00EB6564">
            <w:pPr>
              <w:pStyle w:val="06cTABLETEXT"/>
              <w:jc w:val="center"/>
            </w:pPr>
            <w:r>
              <w:t>Met</w:t>
            </w:r>
          </w:p>
        </w:tc>
      </w:tr>
    </w:tbl>
    <w:p w14:paraId="552354CA" w14:textId="77777777" w:rsidR="00EB6564" w:rsidRDefault="00EB6564" w:rsidP="00EB6564">
      <w:pPr>
        <w:pStyle w:val="05BODYTEXT"/>
      </w:pP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41159B11" w14:textId="77777777" w:rsidTr="009327B5">
        <w:trPr>
          <w:trHeight w:val="60"/>
          <w:tblHeader/>
        </w:trPr>
        <w:tc>
          <w:tcPr>
            <w:tcW w:w="1701" w:type="dxa"/>
            <w:vMerge w:val="restart"/>
            <w:tcMar>
              <w:top w:w="85" w:type="dxa"/>
              <w:left w:w="85" w:type="dxa"/>
              <w:bottom w:w="85" w:type="dxa"/>
              <w:right w:w="85" w:type="dxa"/>
            </w:tcMar>
          </w:tcPr>
          <w:p w14:paraId="4778A7B8" w14:textId="77777777" w:rsidR="00EB6564" w:rsidRDefault="00EB6564" w:rsidP="009327B5">
            <w:pPr>
              <w:pStyle w:val="CHEMICALCHEMTABLES"/>
              <w:keepNext/>
              <w:spacing w:after="0" w:line="240" w:lineRule="auto"/>
            </w:pPr>
            <w:r>
              <w:t>SO</w:t>
            </w:r>
            <w:r>
              <w:rPr>
                <w:vertAlign w:val="subscript"/>
              </w:rPr>
              <w:t>2</w:t>
            </w:r>
          </w:p>
        </w:tc>
        <w:tc>
          <w:tcPr>
            <w:tcW w:w="5731" w:type="dxa"/>
            <w:tcMar>
              <w:top w:w="85" w:type="dxa"/>
              <w:left w:w="85" w:type="dxa"/>
              <w:bottom w:w="85" w:type="dxa"/>
              <w:right w:w="85" w:type="dxa"/>
            </w:tcMar>
          </w:tcPr>
          <w:p w14:paraId="7AC70B9E" w14:textId="77777777" w:rsidR="00EB6564" w:rsidRDefault="00EB6564" w:rsidP="009327B5">
            <w:pPr>
              <w:pStyle w:val="CHEMICALfullnameCHEMTABLES"/>
              <w:keepNext/>
              <w:spacing w:after="0" w:line="240" w:lineRule="auto"/>
            </w:pPr>
            <w:r>
              <w:t>Sulfur dioxide</w:t>
            </w:r>
          </w:p>
        </w:tc>
      </w:tr>
      <w:tr w:rsidR="00EB6564" w14:paraId="6FE5050C" w14:textId="77777777" w:rsidTr="009327B5">
        <w:trPr>
          <w:trHeight w:val="60"/>
          <w:tblHeader/>
        </w:trPr>
        <w:tc>
          <w:tcPr>
            <w:tcW w:w="1701" w:type="dxa"/>
            <w:vMerge/>
          </w:tcPr>
          <w:p w14:paraId="74EABFF4" w14:textId="77777777" w:rsidR="00EB6564" w:rsidRDefault="00EB6564" w:rsidP="009327B5">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CD2D93E" w14:textId="77777777" w:rsidR="00EB6564" w:rsidRDefault="00EB6564" w:rsidP="009327B5">
            <w:pPr>
              <w:pStyle w:val="NEPMstandardCHEMTABLES"/>
              <w:keepNext/>
              <w:spacing w:after="0" w:line="240" w:lineRule="auto"/>
            </w:pPr>
            <w:r>
              <w:t>(NEPM standard: 1 hour = 0.20ppm, 1 day = 0.08ppm, 1 year = 0.02ppm)</w:t>
            </w:r>
          </w:p>
        </w:tc>
      </w:tr>
      <w:tr w:rsidR="00EB6564" w14:paraId="3CE7EBCF" w14:textId="77777777" w:rsidTr="009327B5">
        <w:trPr>
          <w:trHeight w:hRule="exact" w:val="113"/>
        </w:trPr>
        <w:tc>
          <w:tcPr>
            <w:tcW w:w="1701" w:type="dxa"/>
            <w:tcMar>
              <w:top w:w="85" w:type="dxa"/>
              <w:left w:w="85" w:type="dxa"/>
              <w:bottom w:w="85" w:type="dxa"/>
              <w:right w:w="85" w:type="dxa"/>
            </w:tcMar>
          </w:tcPr>
          <w:p w14:paraId="3FFFA25C" w14:textId="77777777" w:rsidR="00EB6564" w:rsidRDefault="00EB6564" w:rsidP="009327B5">
            <w:pPr>
              <w:pStyle w:val="NoParagraphStyle"/>
              <w:keepNext/>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4D0466C8" w14:textId="77777777" w:rsidR="00EB6564" w:rsidRDefault="00EB6564" w:rsidP="009327B5">
            <w:pPr>
              <w:pStyle w:val="NoParagraphStyle"/>
              <w:keepNext/>
              <w:spacing w:line="240" w:lineRule="auto"/>
              <w:textAlignment w:val="auto"/>
              <w:rPr>
                <w:rFonts w:ascii="Calibri" w:hAnsi="Calibri" w:cs="Calibri"/>
                <w:color w:val="auto"/>
              </w:rPr>
            </w:pPr>
          </w:p>
        </w:tc>
      </w:tr>
    </w:tbl>
    <w:p w14:paraId="284E4648" w14:textId="77777777" w:rsidR="00EB6564" w:rsidRDefault="00EB6564" w:rsidP="009327B5">
      <w:pPr>
        <w:pStyle w:val="05BODYTEXT"/>
        <w:keepN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1060"/>
        <w:gridCol w:w="1059"/>
        <w:gridCol w:w="1060"/>
        <w:gridCol w:w="1059"/>
        <w:gridCol w:w="1060"/>
        <w:gridCol w:w="1059"/>
        <w:gridCol w:w="1060"/>
      </w:tblGrid>
      <w:tr w:rsidR="00EB6564" w14:paraId="74177BF8" w14:textId="77777777">
        <w:trPr>
          <w:trHeight w:val="60"/>
          <w:tblHeader/>
        </w:trPr>
        <w:tc>
          <w:tcPr>
            <w:tcW w:w="1060"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DEB0914" w14:textId="77777777" w:rsidR="00EB6564" w:rsidRDefault="00EB6564" w:rsidP="006D4FDC">
            <w:pPr>
              <w:pStyle w:val="06bTABLEHEADERROW"/>
              <w:spacing w:line="240" w:lineRule="auto"/>
            </w:pPr>
            <w:r>
              <w:t>Station</w:t>
            </w:r>
          </w:p>
        </w:tc>
        <w:tc>
          <w:tcPr>
            <w:tcW w:w="2119"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1CC824B3" w14:textId="77777777" w:rsidR="00EB6564" w:rsidRDefault="00EB6564" w:rsidP="006D4FDC">
            <w:pPr>
              <w:pStyle w:val="06bTABLEHEADERROW"/>
              <w:spacing w:line="240" w:lineRule="auto"/>
              <w:jc w:val="center"/>
            </w:pPr>
            <w:r>
              <w:t>1 hour</w:t>
            </w:r>
          </w:p>
        </w:tc>
        <w:tc>
          <w:tcPr>
            <w:tcW w:w="2119"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534B81A" w14:textId="77777777" w:rsidR="00EB6564" w:rsidRDefault="00EB6564" w:rsidP="006D4FDC">
            <w:pPr>
              <w:pStyle w:val="06bTABLEHEADERROW"/>
              <w:spacing w:line="240" w:lineRule="auto"/>
              <w:jc w:val="center"/>
            </w:pPr>
            <w:r>
              <w:t>1 day</w:t>
            </w:r>
          </w:p>
        </w:tc>
        <w:tc>
          <w:tcPr>
            <w:tcW w:w="2119"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12878574" w14:textId="77777777" w:rsidR="00EB6564" w:rsidRDefault="00EB6564" w:rsidP="006D4FDC">
            <w:pPr>
              <w:pStyle w:val="06bTABLEHEADERROW"/>
              <w:spacing w:line="240" w:lineRule="auto"/>
              <w:jc w:val="center"/>
            </w:pPr>
            <w:r>
              <w:t>1 year</w:t>
            </w:r>
          </w:p>
        </w:tc>
      </w:tr>
      <w:tr w:rsidR="00EB6564" w14:paraId="18C63DCB" w14:textId="77777777">
        <w:trPr>
          <w:trHeight w:val="60"/>
          <w:tblHeader/>
        </w:trPr>
        <w:tc>
          <w:tcPr>
            <w:tcW w:w="1060" w:type="dxa"/>
            <w:vMerge/>
            <w:tcBorders>
              <w:top w:val="single" w:sz="8" w:space="0" w:color="FFFFFF"/>
              <w:left w:val="single" w:sz="4" w:space="0" w:color="FFFFFF"/>
              <w:bottom w:val="single" w:sz="8" w:space="0" w:color="FFFFFF"/>
              <w:right w:val="single" w:sz="4" w:space="0" w:color="FFFFFF"/>
            </w:tcBorders>
          </w:tcPr>
          <w:p w14:paraId="43FBC836" w14:textId="77777777" w:rsidR="00EB6564" w:rsidRDefault="00EB6564" w:rsidP="006D4FDC">
            <w:pPr>
              <w:pStyle w:val="NoParagraphStyle"/>
              <w:keepNext/>
              <w:spacing w:line="240" w:lineRule="auto"/>
              <w:textAlignment w:val="auto"/>
              <w:rPr>
                <w:rFonts w:ascii="Calibri" w:hAnsi="Calibri" w:cs="Calibri"/>
                <w:color w:val="auto"/>
              </w:rPr>
            </w:pPr>
          </w:p>
        </w:tc>
        <w:tc>
          <w:tcPr>
            <w:tcW w:w="105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D3CA7D8" w14:textId="77777777" w:rsidR="00EB6564" w:rsidRDefault="00EB6564" w:rsidP="006D4FDC">
            <w:pPr>
              <w:pStyle w:val="06bTABLEHEADERROW"/>
              <w:spacing w:line="240" w:lineRule="auto"/>
              <w:jc w:val="center"/>
            </w:pPr>
            <w:r>
              <w:t>Number of exceedances</w:t>
            </w:r>
          </w:p>
        </w:tc>
        <w:tc>
          <w:tcPr>
            <w:tcW w:w="10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AFFD659" w14:textId="77777777" w:rsidR="00EB6564" w:rsidRDefault="00EB6564" w:rsidP="006D4FDC">
            <w:pPr>
              <w:pStyle w:val="06bTABLEHEADERROW"/>
              <w:spacing w:line="240" w:lineRule="auto"/>
              <w:jc w:val="center"/>
            </w:pPr>
            <w:r>
              <w:t>NEPM goal compliance</w:t>
            </w:r>
          </w:p>
        </w:tc>
        <w:tc>
          <w:tcPr>
            <w:tcW w:w="105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3CED5BF" w14:textId="77777777" w:rsidR="00EB6564" w:rsidRDefault="00EB6564" w:rsidP="006D4FDC">
            <w:pPr>
              <w:pStyle w:val="06bTABLEHEADERROW"/>
              <w:spacing w:line="240" w:lineRule="auto"/>
              <w:jc w:val="center"/>
            </w:pPr>
            <w:r>
              <w:t>Number of exceedances</w:t>
            </w:r>
          </w:p>
        </w:tc>
        <w:tc>
          <w:tcPr>
            <w:tcW w:w="10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0EAC9D2" w14:textId="77777777" w:rsidR="00EB6564" w:rsidRDefault="00EB6564" w:rsidP="006D4FDC">
            <w:pPr>
              <w:pStyle w:val="06bTABLEHEADERROW"/>
              <w:spacing w:line="240" w:lineRule="auto"/>
              <w:jc w:val="center"/>
            </w:pPr>
            <w:r>
              <w:t>NEPM goal compliance</w:t>
            </w:r>
          </w:p>
        </w:tc>
        <w:tc>
          <w:tcPr>
            <w:tcW w:w="105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A4D3110" w14:textId="77777777" w:rsidR="00EB6564" w:rsidRDefault="00EB6564" w:rsidP="006D4FDC">
            <w:pPr>
              <w:pStyle w:val="06bTABLEHEADERROW"/>
              <w:spacing w:line="240" w:lineRule="auto"/>
              <w:jc w:val="center"/>
            </w:pPr>
            <w:r>
              <w:t>Annual average (ppm)</w:t>
            </w:r>
          </w:p>
        </w:tc>
        <w:tc>
          <w:tcPr>
            <w:tcW w:w="106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E60205D" w14:textId="77777777" w:rsidR="00EB6564" w:rsidRDefault="00EB6564" w:rsidP="006D4FDC">
            <w:pPr>
              <w:pStyle w:val="06bTABLEHEADERROW"/>
              <w:spacing w:line="240" w:lineRule="auto"/>
              <w:jc w:val="center"/>
            </w:pPr>
            <w:r>
              <w:t>NEPM goal compliance</w:t>
            </w:r>
          </w:p>
        </w:tc>
      </w:tr>
      <w:tr w:rsidR="00EB6564" w14:paraId="58491251"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3D5C75" w14:textId="77777777" w:rsidR="00EB6564" w:rsidRDefault="00EB6564" w:rsidP="006D4FDC">
            <w:pPr>
              <w:pStyle w:val="06cTABLETEXT"/>
              <w:keepNext/>
              <w:spacing w:line="240" w:lineRule="auto"/>
            </w:pPr>
            <w:r>
              <w:t>Palmerston</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10A176" w14:textId="77777777" w:rsidR="00EB6564" w:rsidRDefault="00EB6564" w:rsidP="006D4FDC">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0F051B" w14:textId="77777777" w:rsidR="00EB6564" w:rsidRDefault="00EB6564" w:rsidP="006D4FDC">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43C377" w14:textId="77777777" w:rsidR="00EB6564" w:rsidRDefault="00EB6564" w:rsidP="006D4FDC">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BAE59DC" w14:textId="77777777" w:rsidR="00EB6564" w:rsidRDefault="00EB6564" w:rsidP="006D4FDC">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ABA3E83" w14:textId="77777777" w:rsidR="00EB6564" w:rsidRDefault="00EB6564" w:rsidP="006D4FDC">
            <w:pPr>
              <w:pStyle w:val="06cTABLETEXT"/>
              <w:keepNext/>
              <w:spacing w:line="240" w:lineRule="auto"/>
              <w:jc w:val="center"/>
            </w:pPr>
            <w:r>
              <w:t>0.0004</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FD0F85" w14:textId="77777777" w:rsidR="00EB6564" w:rsidRDefault="00EB6564" w:rsidP="006D4FDC">
            <w:pPr>
              <w:pStyle w:val="06cTABLETEXT"/>
              <w:keepNext/>
              <w:spacing w:line="240" w:lineRule="auto"/>
              <w:jc w:val="center"/>
            </w:pPr>
            <w:r>
              <w:t>Met</w:t>
            </w:r>
          </w:p>
        </w:tc>
      </w:tr>
      <w:tr w:rsidR="00EB6564" w14:paraId="492580C4"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650A5B1" w14:textId="77777777" w:rsidR="00EB6564" w:rsidRDefault="00EB6564" w:rsidP="006D4FDC">
            <w:pPr>
              <w:pStyle w:val="06cTABLETEXT"/>
              <w:keepNext/>
              <w:spacing w:line="240" w:lineRule="auto"/>
            </w:pPr>
            <w:r>
              <w:t>Stokes Hill</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F118DE" w14:textId="77777777" w:rsidR="00EB6564" w:rsidRDefault="00EB6564" w:rsidP="006D4FDC">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53E4DF" w14:textId="77777777" w:rsidR="00EB6564" w:rsidRDefault="00EB6564" w:rsidP="006D4FDC">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803240" w14:textId="77777777" w:rsidR="00EB6564" w:rsidRDefault="00EB6564" w:rsidP="006D4FDC">
            <w:pPr>
              <w:pStyle w:val="06cTABLETEXT"/>
              <w:keepNext/>
              <w:spacing w:line="240" w:lineRule="auto"/>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14A907" w14:textId="77777777" w:rsidR="00EB6564" w:rsidRDefault="00EB6564" w:rsidP="006D4FDC">
            <w:pPr>
              <w:pStyle w:val="06cTABLETEXT"/>
              <w:keepNext/>
              <w:spacing w:line="240" w:lineRule="auto"/>
              <w:jc w:val="center"/>
            </w:pPr>
            <w:r>
              <w:t>Met</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A53AF9" w14:textId="77777777" w:rsidR="00EB6564" w:rsidRDefault="00EB6564" w:rsidP="006D4FDC">
            <w:pPr>
              <w:pStyle w:val="06cTABLETEXT"/>
              <w:keepNext/>
              <w:spacing w:line="240" w:lineRule="auto"/>
              <w:jc w:val="center"/>
            </w:pPr>
            <w:r>
              <w:t>0.0002</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D43C98" w14:textId="77777777" w:rsidR="00EB6564" w:rsidRDefault="00EB6564" w:rsidP="006D4FDC">
            <w:pPr>
              <w:pStyle w:val="06cTABLETEXT"/>
              <w:keepNext/>
              <w:spacing w:line="240" w:lineRule="auto"/>
              <w:jc w:val="center"/>
            </w:pPr>
            <w:r>
              <w:t>Met</w:t>
            </w:r>
          </w:p>
        </w:tc>
      </w:tr>
      <w:tr w:rsidR="00EB6564" w14:paraId="4BD8B818"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C9A81C" w14:textId="77777777" w:rsidR="00EB6564" w:rsidRDefault="00EB6564">
            <w:pPr>
              <w:pStyle w:val="06cTABLETEXT"/>
            </w:pPr>
            <w:r>
              <w:t>Winnellie</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4309E5"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BDF7A38" w14:textId="77777777" w:rsidR="00EB6564" w:rsidRDefault="00EB6564">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60A2FD" w14:textId="77777777" w:rsidR="00EB6564" w:rsidRDefault="00EB6564">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59AC6F" w14:textId="77777777" w:rsidR="00EB6564" w:rsidRDefault="00EB6564">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390713" w14:textId="77777777" w:rsidR="00EB6564" w:rsidRDefault="00EB6564">
            <w:pPr>
              <w:pStyle w:val="06cTABLETEXT"/>
              <w:jc w:val="center"/>
            </w:pPr>
            <w:r>
              <w:t>0.0001</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D13B31" w14:textId="77777777" w:rsidR="00EB6564" w:rsidRDefault="00EB6564">
            <w:pPr>
              <w:pStyle w:val="06cTABLETEXT"/>
              <w:jc w:val="center"/>
            </w:pPr>
            <w:r>
              <w:t>Met</w:t>
            </w:r>
          </w:p>
        </w:tc>
      </w:tr>
    </w:tbl>
    <w:p w14:paraId="33F7396B" w14:textId="77777777" w:rsidR="00EB6564" w:rsidRDefault="00EB6564" w:rsidP="00EB6564">
      <w:pPr>
        <w:pStyle w:val="05BODYTEXT"/>
      </w:pPr>
    </w:p>
    <w:tbl>
      <w:tblPr>
        <w:tblW w:w="0" w:type="auto"/>
        <w:tblInd w:w="-8" w:type="dxa"/>
        <w:tblLayout w:type="fixed"/>
        <w:tblCellMar>
          <w:left w:w="0" w:type="dxa"/>
          <w:right w:w="0" w:type="dxa"/>
        </w:tblCellMar>
        <w:tblLook w:val="0000" w:firstRow="0" w:lastRow="0" w:firstColumn="0" w:lastColumn="0" w:noHBand="0" w:noVBand="0"/>
      </w:tblPr>
      <w:tblGrid>
        <w:gridCol w:w="1701"/>
        <w:gridCol w:w="5731"/>
      </w:tblGrid>
      <w:tr w:rsidR="00EB6564" w14:paraId="0360EA8D" w14:textId="77777777" w:rsidTr="009327B5">
        <w:trPr>
          <w:trHeight w:val="60"/>
          <w:tblHeader/>
        </w:trPr>
        <w:tc>
          <w:tcPr>
            <w:tcW w:w="1701" w:type="dxa"/>
            <w:vMerge w:val="restart"/>
            <w:tcMar>
              <w:top w:w="85" w:type="dxa"/>
              <w:left w:w="85" w:type="dxa"/>
              <w:bottom w:w="85" w:type="dxa"/>
              <w:right w:w="85" w:type="dxa"/>
            </w:tcMar>
          </w:tcPr>
          <w:p w14:paraId="2E628E45" w14:textId="77777777" w:rsidR="00EB6564" w:rsidRDefault="00EB6564" w:rsidP="009327B5">
            <w:pPr>
              <w:pStyle w:val="CHEMICALCHEMTABLES"/>
              <w:spacing w:after="0" w:line="240" w:lineRule="auto"/>
            </w:pPr>
            <w:r>
              <w:lastRenderedPageBreak/>
              <w:t>Pb</w:t>
            </w:r>
          </w:p>
        </w:tc>
        <w:tc>
          <w:tcPr>
            <w:tcW w:w="5731" w:type="dxa"/>
            <w:tcMar>
              <w:top w:w="85" w:type="dxa"/>
              <w:left w:w="85" w:type="dxa"/>
              <w:bottom w:w="85" w:type="dxa"/>
              <w:right w:w="85" w:type="dxa"/>
            </w:tcMar>
          </w:tcPr>
          <w:p w14:paraId="15F8C316" w14:textId="77777777" w:rsidR="00EB6564" w:rsidRDefault="00EB6564" w:rsidP="009327B5">
            <w:pPr>
              <w:pStyle w:val="CHEMICALfullnameCHEMTABLES"/>
              <w:spacing w:after="0" w:line="240" w:lineRule="auto"/>
            </w:pPr>
            <w:r>
              <w:t>Lead</w:t>
            </w:r>
          </w:p>
        </w:tc>
      </w:tr>
      <w:tr w:rsidR="00EB6564" w14:paraId="676B2249" w14:textId="77777777" w:rsidTr="009327B5">
        <w:trPr>
          <w:trHeight w:val="60"/>
          <w:tblHeader/>
        </w:trPr>
        <w:tc>
          <w:tcPr>
            <w:tcW w:w="1701" w:type="dxa"/>
            <w:vMerge/>
          </w:tcPr>
          <w:p w14:paraId="3812E89B" w14:textId="77777777" w:rsidR="00EB6564" w:rsidRDefault="00EB6564" w:rsidP="009327B5">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487263CA" w14:textId="77777777" w:rsidR="00EB6564" w:rsidRDefault="00EB6564" w:rsidP="009327B5">
            <w:pPr>
              <w:pStyle w:val="NEPMstandardCHEMTABLES"/>
              <w:spacing w:after="0" w:line="240" w:lineRule="auto"/>
            </w:pPr>
            <w:r>
              <w:t>(NEPM standard 1 year = 0.50µg/m</w:t>
            </w:r>
            <w:r>
              <w:rPr>
                <w:vertAlign w:val="superscript"/>
              </w:rPr>
              <w:t>3</w:t>
            </w:r>
            <w:r>
              <w:t>)</w:t>
            </w:r>
          </w:p>
        </w:tc>
      </w:tr>
      <w:tr w:rsidR="00EB6564" w14:paraId="149AA35D" w14:textId="77777777" w:rsidTr="009327B5">
        <w:trPr>
          <w:trHeight w:hRule="exact" w:val="113"/>
        </w:trPr>
        <w:tc>
          <w:tcPr>
            <w:tcW w:w="1701" w:type="dxa"/>
            <w:tcMar>
              <w:top w:w="85" w:type="dxa"/>
              <w:left w:w="85" w:type="dxa"/>
              <w:bottom w:w="85" w:type="dxa"/>
              <w:right w:w="85" w:type="dxa"/>
            </w:tcMar>
          </w:tcPr>
          <w:p w14:paraId="140F258F" w14:textId="77777777" w:rsidR="00EB6564" w:rsidRDefault="00EB6564" w:rsidP="009327B5">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2420AD07" w14:textId="77777777" w:rsidR="00EB6564" w:rsidRDefault="00EB6564" w:rsidP="009327B5">
            <w:pPr>
              <w:pStyle w:val="NoParagraphStyle"/>
              <w:spacing w:line="240" w:lineRule="auto"/>
              <w:textAlignment w:val="auto"/>
              <w:rPr>
                <w:rFonts w:ascii="Calibri" w:hAnsi="Calibri" w:cs="Calibri"/>
                <w:color w:val="auto"/>
              </w:rPr>
            </w:pPr>
          </w:p>
        </w:tc>
      </w:tr>
    </w:tbl>
    <w:p w14:paraId="0B79D4A5"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2472"/>
        <w:gridCol w:w="2473"/>
        <w:gridCol w:w="2472"/>
      </w:tblGrid>
      <w:tr w:rsidR="00EB6564" w14:paraId="46615BB9" w14:textId="77777777">
        <w:trPr>
          <w:trHeight w:val="60"/>
          <w:tblHeader/>
        </w:trPr>
        <w:tc>
          <w:tcPr>
            <w:tcW w:w="247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BDF77B6" w14:textId="77777777" w:rsidR="00EB6564" w:rsidRDefault="00EB6564">
            <w:pPr>
              <w:pStyle w:val="06bTABLEHEADERROW"/>
            </w:pPr>
            <w:r>
              <w:t>Station</w:t>
            </w:r>
          </w:p>
        </w:tc>
        <w:tc>
          <w:tcPr>
            <w:tcW w:w="247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7005CAE" w14:textId="77777777" w:rsidR="00EB6564" w:rsidRDefault="00EB6564">
            <w:pPr>
              <w:pStyle w:val="06bTABLEHEADERROW"/>
            </w:pPr>
            <w:r>
              <w:t>Annual average (µg/m</w:t>
            </w:r>
            <w:r>
              <w:rPr>
                <w:vertAlign w:val="superscript"/>
              </w:rPr>
              <w:t>3</w:t>
            </w:r>
            <w:r>
              <w:t>)</w:t>
            </w:r>
          </w:p>
        </w:tc>
        <w:tc>
          <w:tcPr>
            <w:tcW w:w="247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3F057B3" w14:textId="77777777" w:rsidR="00EB6564" w:rsidRDefault="00EB6564">
            <w:pPr>
              <w:pStyle w:val="06bTABLEHEADERROW"/>
            </w:pPr>
            <w:r>
              <w:t>NEPM goal compliance</w:t>
            </w:r>
          </w:p>
        </w:tc>
      </w:tr>
      <w:tr w:rsidR="00EB6564" w14:paraId="05CA7D35"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089F0D" w14:textId="77777777" w:rsidR="00EB6564" w:rsidRDefault="00EB6564">
            <w:pPr>
              <w:pStyle w:val="06cTABLETEXT"/>
            </w:pPr>
            <w:r>
              <w:t>No monitoring for lead is undertaken in the NT</w:t>
            </w:r>
          </w:p>
        </w:tc>
      </w:tr>
    </w:tbl>
    <w:p w14:paraId="443218AB" w14:textId="77777777" w:rsidR="00EB6564" w:rsidRDefault="00EB6564" w:rsidP="00EB6564">
      <w:pPr>
        <w:pStyle w:val="05BODYTEXT"/>
      </w:pPr>
    </w:p>
    <w:tbl>
      <w:tblPr>
        <w:tblW w:w="0" w:type="auto"/>
        <w:tblInd w:w="-8" w:type="dxa"/>
        <w:tblLayout w:type="fixed"/>
        <w:tblCellMar>
          <w:left w:w="0" w:type="dxa"/>
          <w:right w:w="0" w:type="dxa"/>
        </w:tblCellMar>
        <w:tblLook w:val="0000" w:firstRow="0" w:lastRow="0" w:firstColumn="0" w:lastColumn="0" w:noHBand="0" w:noVBand="0"/>
      </w:tblPr>
      <w:tblGrid>
        <w:gridCol w:w="2537"/>
        <w:gridCol w:w="4890"/>
      </w:tblGrid>
      <w:tr w:rsidR="00EB6564" w14:paraId="5552953D" w14:textId="77777777" w:rsidTr="009327B5">
        <w:trPr>
          <w:trHeight w:val="60"/>
          <w:tblHeader/>
        </w:trPr>
        <w:tc>
          <w:tcPr>
            <w:tcW w:w="2537" w:type="dxa"/>
            <w:vMerge w:val="restart"/>
            <w:tcMar>
              <w:top w:w="85" w:type="dxa"/>
              <w:left w:w="85" w:type="dxa"/>
              <w:bottom w:w="85" w:type="dxa"/>
              <w:right w:w="85" w:type="dxa"/>
            </w:tcMar>
          </w:tcPr>
          <w:p w14:paraId="1EF1C7BD" w14:textId="77777777" w:rsidR="00EB6564" w:rsidRDefault="00EB6564" w:rsidP="009327B5">
            <w:pPr>
              <w:pStyle w:val="CHEMICALCHEMTABLES"/>
              <w:keepNext/>
              <w:spacing w:after="0" w:line="240" w:lineRule="auto"/>
            </w:pPr>
            <w:r>
              <w:t>PM</w:t>
            </w:r>
            <w:r>
              <w:rPr>
                <w:vertAlign w:val="subscript"/>
              </w:rPr>
              <w:t>10</w:t>
            </w:r>
          </w:p>
        </w:tc>
        <w:tc>
          <w:tcPr>
            <w:tcW w:w="4890" w:type="dxa"/>
            <w:tcMar>
              <w:top w:w="85" w:type="dxa"/>
              <w:left w:w="85" w:type="dxa"/>
              <w:bottom w:w="85" w:type="dxa"/>
              <w:right w:w="85" w:type="dxa"/>
            </w:tcMar>
          </w:tcPr>
          <w:p w14:paraId="3C8855DB" w14:textId="77777777" w:rsidR="00EB6564" w:rsidRDefault="00EB6564" w:rsidP="009327B5">
            <w:pPr>
              <w:pStyle w:val="CHEMICALfullnameCHEMTABLES"/>
              <w:keepNext/>
              <w:spacing w:after="0" w:line="240" w:lineRule="auto"/>
            </w:pPr>
            <w:r>
              <w:t>Particles as PM</w:t>
            </w:r>
            <w:r>
              <w:rPr>
                <w:vertAlign w:val="subscript"/>
              </w:rPr>
              <w:t>10</w:t>
            </w:r>
          </w:p>
        </w:tc>
      </w:tr>
      <w:tr w:rsidR="00EB6564" w14:paraId="03B8A186" w14:textId="77777777" w:rsidTr="009327B5">
        <w:trPr>
          <w:trHeight w:val="60"/>
          <w:tblHeader/>
        </w:trPr>
        <w:tc>
          <w:tcPr>
            <w:tcW w:w="2537" w:type="dxa"/>
            <w:vMerge/>
          </w:tcPr>
          <w:p w14:paraId="5C342777" w14:textId="77777777" w:rsidR="00EB6564" w:rsidRDefault="00EB6564" w:rsidP="009327B5">
            <w:pPr>
              <w:pStyle w:val="NoParagraphStyle"/>
              <w:keepNext/>
              <w:spacing w:line="240" w:lineRule="auto"/>
              <w:textAlignment w:val="auto"/>
              <w:rPr>
                <w:rFonts w:ascii="Calibri" w:hAnsi="Calibri" w:cs="Calibri"/>
                <w:color w:val="auto"/>
              </w:rPr>
            </w:pPr>
          </w:p>
        </w:tc>
        <w:tc>
          <w:tcPr>
            <w:tcW w:w="4890" w:type="dxa"/>
            <w:tcMar>
              <w:top w:w="85" w:type="dxa"/>
              <w:left w:w="85" w:type="dxa"/>
              <w:bottom w:w="85" w:type="dxa"/>
              <w:right w:w="85" w:type="dxa"/>
            </w:tcMar>
          </w:tcPr>
          <w:p w14:paraId="57DAE60F" w14:textId="77777777" w:rsidR="00EB6564" w:rsidRDefault="00EB6564" w:rsidP="009327B5">
            <w:pPr>
              <w:pStyle w:val="NEPMstandardCHEMTABLES"/>
              <w:keepNext/>
              <w:spacing w:after="0" w:line="240" w:lineRule="auto"/>
            </w:pPr>
            <w:r>
              <w:t>(NEPM standard 1 day = 50µg/m</w:t>
            </w:r>
            <w:r>
              <w:rPr>
                <w:vertAlign w:val="superscript"/>
              </w:rPr>
              <w:t>3</w:t>
            </w:r>
            <w:r>
              <w:t>)</w:t>
            </w:r>
          </w:p>
        </w:tc>
      </w:tr>
      <w:tr w:rsidR="00EB6564" w14:paraId="07843070" w14:textId="77777777" w:rsidTr="009327B5">
        <w:trPr>
          <w:trHeight w:hRule="exact" w:val="113"/>
        </w:trPr>
        <w:tc>
          <w:tcPr>
            <w:tcW w:w="2537" w:type="dxa"/>
            <w:tcMar>
              <w:top w:w="85" w:type="dxa"/>
              <w:left w:w="85" w:type="dxa"/>
              <w:bottom w:w="85" w:type="dxa"/>
              <w:right w:w="85" w:type="dxa"/>
            </w:tcMar>
          </w:tcPr>
          <w:p w14:paraId="5D193D83" w14:textId="77777777" w:rsidR="00EB6564" w:rsidRDefault="00EB6564" w:rsidP="009327B5">
            <w:pPr>
              <w:pStyle w:val="NoParagraphStyle"/>
              <w:keepNext/>
              <w:spacing w:line="240" w:lineRule="auto"/>
              <w:textAlignment w:val="auto"/>
              <w:rPr>
                <w:rFonts w:ascii="Calibri" w:hAnsi="Calibri" w:cs="Calibri"/>
                <w:color w:val="auto"/>
              </w:rPr>
            </w:pPr>
          </w:p>
        </w:tc>
        <w:tc>
          <w:tcPr>
            <w:tcW w:w="4890" w:type="dxa"/>
            <w:tcMar>
              <w:top w:w="85" w:type="dxa"/>
              <w:left w:w="85" w:type="dxa"/>
              <w:bottom w:w="85" w:type="dxa"/>
              <w:right w:w="85" w:type="dxa"/>
            </w:tcMar>
          </w:tcPr>
          <w:p w14:paraId="2C59AE65" w14:textId="77777777" w:rsidR="00EB6564" w:rsidRDefault="00EB6564" w:rsidP="009327B5">
            <w:pPr>
              <w:pStyle w:val="NoParagraphStyle"/>
              <w:keepNext/>
              <w:spacing w:line="240" w:lineRule="auto"/>
              <w:textAlignment w:val="auto"/>
              <w:rPr>
                <w:rFonts w:ascii="Calibri" w:hAnsi="Calibri" w:cs="Calibri"/>
                <w:color w:val="auto"/>
              </w:rPr>
            </w:pPr>
          </w:p>
        </w:tc>
      </w:tr>
    </w:tbl>
    <w:p w14:paraId="7542E0B2" w14:textId="77777777" w:rsidR="00EB6564" w:rsidRDefault="00EB6564" w:rsidP="00C225B7">
      <w:pPr>
        <w:pStyle w:val="05BODYTEXT"/>
        <w:keepNext/>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2469"/>
        <w:gridCol w:w="2469"/>
        <w:gridCol w:w="2469"/>
      </w:tblGrid>
      <w:tr w:rsidR="00EB6564" w14:paraId="4B61B56C" w14:textId="77777777">
        <w:trPr>
          <w:trHeight w:val="60"/>
          <w:tblHeader/>
        </w:trPr>
        <w:tc>
          <w:tcPr>
            <w:tcW w:w="246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1B30CB8" w14:textId="77777777" w:rsidR="00EB6564" w:rsidRDefault="00EB6564" w:rsidP="00C225B7">
            <w:pPr>
              <w:pStyle w:val="06bTABLEHEADERROW"/>
              <w:spacing w:line="240" w:lineRule="auto"/>
            </w:pPr>
            <w:r>
              <w:t>Station</w:t>
            </w:r>
          </w:p>
        </w:tc>
        <w:tc>
          <w:tcPr>
            <w:tcW w:w="246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CFBB2A7" w14:textId="77777777" w:rsidR="00EB6564" w:rsidRDefault="00EB6564" w:rsidP="00C225B7">
            <w:pPr>
              <w:pStyle w:val="06bTABLEHEADERROW"/>
              <w:spacing w:line="240" w:lineRule="auto"/>
              <w:jc w:val="center"/>
            </w:pPr>
            <w:r>
              <w:t>Number of exceedances</w:t>
            </w:r>
          </w:p>
        </w:tc>
        <w:tc>
          <w:tcPr>
            <w:tcW w:w="246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F019945" w14:textId="77777777" w:rsidR="00EB6564" w:rsidRDefault="00EB6564" w:rsidP="00C225B7">
            <w:pPr>
              <w:pStyle w:val="06bTABLEHEADERROW"/>
              <w:spacing w:line="240" w:lineRule="auto"/>
              <w:jc w:val="center"/>
            </w:pPr>
            <w:r>
              <w:t>NEPM goal compliance</w:t>
            </w:r>
          </w:p>
        </w:tc>
      </w:tr>
      <w:tr w:rsidR="00EB6564" w14:paraId="409103CC" w14:textId="77777777">
        <w:trPr>
          <w:trHeight w:val="60"/>
        </w:trPr>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79C367" w14:textId="77777777" w:rsidR="00EB6564" w:rsidRDefault="00EB6564" w:rsidP="00C225B7">
            <w:pPr>
              <w:pStyle w:val="06cTABLETEXT"/>
              <w:keepNext/>
              <w:spacing w:line="240" w:lineRule="auto"/>
            </w:pPr>
            <w:r>
              <w:t>Palmerston</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4A3816" w14:textId="77777777" w:rsidR="00EB6564" w:rsidRDefault="00EB6564" w:rsidP="00C225B7">
            <w:pPr>
              <w:pStyle w:val="06cTABLETEXT"/>
              <w:keepNext/>
              <w:spacing w:line="240" w:lineRule="auto"/>
              <w:jc w:val="center"/>
            </w:pPr>
            <w:r>
              <w:t>5</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566C99" w14:textId="77777777" w:rsidR="00EB6564" w:rsidRDefault="00EB6564" w:rsidP="00C225B7">
            <w:pPr>
              <w:pStyle w:val="06cTABLETEXT"/>
              <w:keepNext/>
              <w:spacing w:line="240" w:lineRule="auto"/>
              <w:jc w:val="center"/>
            </w:pPr>
            <w:r>
              <w:t>Met</w:t>
            </w:r>
          </w:p>
        </w:tc>
      </w:tr>
      <w:tr w:rsidR="00EB6564" w14:paraId="13BCC2B8" w14:textId="77777777">
        <w:trPr>
          <w:trHeight w:val="60"/>
        </w:trPr>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64B7743" w14:textId="77777777" w:rsidR="00EB6564" w:rsidRDefault="00EB6564" w:rsidP="00C225B7">
            <w:pPr>
              <w:pStyle w:val="06cTABLETEXT"/>
              <w:keepNext/>
              <w:spacing w:line="240" w:lineRule="auto"/>
            </w:pPr>
            <w:r>
              <w:t>Stokes Hill</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2B0A1F" w14:textId="77777777" w:rsidR="00EB6564" w:rsidRDefault="00EB6564" w:rsidP="00C225B7">
            <w:pPr>
              <w:pStyle w:val="06cTABLETEXT"/>
              <w:keepNext/>
              <w:spacing w:line="240" w:lineRule="auto"/>
              <w:jc w:val="center"/>
            </w:pPr>
            <w:r>
              <w:t>6</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6303DB9" w14:textId="77777777" w:rsidR="00EB6564" w:rsidRDefault="00EB6564" w:rsidP="00C225B7">
            <w:pPr>
              <w:pStyle w:val="06cTABLETEXT"/>
              <w:keepNext/>
              <w:spacing w:line="240" w:lineRule="auto"/>
              <w:jc w:val="center"/>
            </w:pPr>
            <w:r>
              <w:t>Met</w:t>
            </w:r>
          </w:p>
        </w:tc>
      </w:tr>
      <w:tr w:rsidR="00EB6564" w14:paraId="227D8856" w14:textId="77777777">
        <w:trPr>
          <w:trHeight w:val="60"/>
        </w:trPr>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86BE85" w14:textId="77777777" w:rsidR="00EB6564" w:rsidRDefault="00EB6564">
            <w:pPr>
              <w:pStyle w:val="06cTABLETEXT"/>
            </w:pPr>
            <w:r>
              <w:t>Winnellie</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B47DE91" w14:textId="77777777" w:rsidR="00EB6564" w:rsidRDefault="00EB6564">
            <w:pPr>
              <w:pStyle w:val="06cTABLETEXT"/>
              <w:jc w:val="center"/>
            </w:pPr>
            <w:r>
              <w:t>5</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3229E1" w14:textId="77777777" w:rsidR="00EB6564" w:rsidRDefault="00EB6564">
            <w:pPr>
              <w:pStyle w:val="06cTABLETEXT"/>
              <w:jc w:val="center"/>
            </w:pPr>
            <w:r>
              <w:t>Met</w:t>
            </w:r>
          </w:p>
        </w:tc>
      </w:tr>
    </w:tbl>
    <w:p w14:paraId="44E41ECA" w14:textId="63A299CB" w:rsidR="009327B5" w:rsidRDefault="009327B5" w:rsidP="00EB6564">
      <w:pPr>
        <w:pStyle w:val="05BODYTEXT"/>
      </w:pPr>
    </w:p>
    <w:p w14:paraId="6FF2F4E2" w14:textId="60C2EF4F" w:rsidR="009327B5" w:rsidRDefault="009327B5">
      <w:pPr>
        <w:rPr>
          <w:rFonts w:ascii="Calibri" w:hAnsi="Calibri" w:cs="Calibri"/>
          <w:color w:val="00000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1715"/>
        <w:gridCol w:w="5731"/>
      </w:tblGrid>
      <w:tr w:rsidR="00EB6564" w14:paraId="62DF0C0D" w14:textId="77777777" w:rsidTr="009327B5">
        <w:trPr>
          <w:trHeight w:val="60"/>
          <w:tblHeader/>
        </w:trPr>
        <w:tc>
          <w:tcPr>
            <w:tcW w:w="1715" w:type="dxa"/>
            <w:vMerge w:val="restart"/>
            <w:tcMar>
              <w:top w:w="85" w:type="dxa"/>
              <w:left w:w="85" w:type="dxa"/>
              <w:bottom w:w="85" w:type="dxa"/>
              <w:right w:w="85" w:type="dxa"/>
            </w:tcMar>
          </w:tcPr>
          <w:p w14:paraId="7E7DF329" w14:textId="77777777" w:rsidR="00EB6564" w:rsidRDefault="00EB6564" w:rsidP="009327B5">
            <w:pPr>
              <w:pStyle w:val="CHEMICALCHEMTABLES"/>
              <w:spacing w:after="0" w:line="240" w:lineRule="auto"/>
            </w:pPr>
            <w:r>
              <w:t>PM</w:t>
            </w:r>
            <w:r>
              <w:rPr>
                <w:vertAlign w:val="subscript"/>
              </w:rPr>
              <w:t>2.5</w:t>
            </w:r>
          </w:p>
        </w:tc>
        <w:tc>
          <w:tcPr>
            <w:tcW w:w="5731" w:type="dxa"/>
            <w:tcMar>
              <w:top w:w="85" w:type="dxa"/>
              <w:left w:w="85" w:type="dxa"/>
              <w:bottom w:w="85" w:type="dxa"/>
              <w:right w:w="85" w:type="dxa"/>
            </w:tcMar>
          </w:tcPr>
          <w:p w14:paraId="40E66C8C" w14:textId="77777777" w:rsidR="00EB6564" w:rsidRDefault="00EB6564" w:rsidP="009327B5">
            <w:pPr>
              <w:pStyle w:val="CHEMICALfullnameCHEMTABLES"/>
              <w:spacing w:after="0" w:line="240" w:lineRule="auto"/>
            </w:pPr>
            <w:r>
              <w:t>Particles as PM</w:t>
            </w:r>
            <w:r>
              <w:rPr>
                <w:vertAlign w:val="subscript"/>
              </w:rPr>
              <w:t>2.5</w:t>
            </w:r>
          </w:p>
        </w:tc>
      </w:tr>
      <w:tr w:rsidR="00EB6564" w14:paraId="64A1FA86" w14:textId="77777777" w:rsidTr="009327B5">
        <w:trPr>
          <w:trHeight w:val="60"/>
          <w:tblHeader/>
        </w:trPr>
        <w:tc>
          <w:tcPr>
            <w:tcW w:w="1715" w:type="dxa"/>
            <w:vMerge/>
          </w:tcPr>
          <w:p w14:paraId="21DE3CB8" w14:textId="77777777" w:rsidR="00EB6564" w:rsidRDefault="00EB6564" w:rsidP="009327B5">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65CC2B32" w14:textId="77777777" w:rsidR="00EB6564" w:rsidRDefault="00EB6564" w:rsidP="009327B5">
            <w:pPr>
              <w:pStyle w:val="NEPMstandardCHEMTABLES"/>
              <w:spacing w:after="0" w:line="240" w:lineRule="auto"/>
            </w:pPr>
            <w:r>
              <w:t>(NEPM standard 1 day = 25µg/m</w:t>
            </w:r>
            <w:r>
              <w:rPr>
                <w:vertAlign w:val="superscript"/>
              </w:rPr>
              <w:t>3</w:t>
            </w:r>
            <w:r>
              <w:t>, 1 year = 8µg/m</w:t>
            </w:r>
            <w:r>
              <w:rPr>
                <w:vertAlign w:val="superscript"/>
              </w:rPr>
              <w:t>3</w:t>
            </w:r>
            <w:r>
              <w:t>)</w:t>
            </w:r>
          </w:p>
        </w:tc>
      </w:tr>
      <w:tr w:rsidR="00EB6564" w14:paraId="13259027" w14:textId="77777777" w:rsidTr="009327B5">
        <w:trPr>
          <w:trHeight w:hRule="exact" w:val="113"/>
        </w:trPr>
        <w:tc>
          <w:tcPr>
            <w:tcW w:w="1715" w:type="dxa"/>
            <w:tcMar>
              <w:top w:w="85" w:type="dxa"/>
              <w:left w:w="85" w:type="dxa"/>
              <w:bottom w:w="85" w:type="dxa"/>
              <w:right w:w="85" w:type="dxa"/>
            </w:tcMar>
          </w:tcPr>
          <w:p w14:paraId="3514CCF5" w14:textId="77777777" w:rsidR="00EB6564" w:rsidRDefault="00EB6564" w:rsidP="009327B5">
            <w:pPr>
              <w:pStyle w:val="NoParagraphStyle"/>
              <w:spacing w:line="240" w:lineRule="auto"/>
              <w:textAlignment w:val="auto"/>
              <w:rPr>
                <w:rFonts w:ascii="Calibri" w:hAnsi="Calibri" w:cs="Calibri"/>
                <w:color w:val="auto"/>
              </w:rPr>
            </w:pPr>
          </w:p>
        </w:tc>
        <w:tc>
          <w:tcPr>
            <w:tcW w:w="5731" w:type="dxa"/>
            <w:tcMar>
              <w:top w:w="85" w:type="dxa"/>
              <w:left w:w="85" w:type="dxa"/>
              <w:bottom w:w="85" w:type="dxa"/>
              <w:right w:w="85" w:type="dxa"/>
            </w:tcMar>
          </w:tcPr>
          <w:p w14:paraId="7A07AA84" w14:textId="77777777" w:rsidR="00EB6564" w:rsidRDefault="00EB6564" w:rsidP="009327B5">
            <w:pPr>
              <w:pStyle w:val="NoParagraphStyle"/>
              <w:spacing w:line="240" w:lineRule="auto"/>
              <w:textAlignment w:val="auto"/>
              <w:rPr>
                <w:rFonts w:ascii="Calibri" w:hAnsi="Calibri" w:cs="Calibri"/>
                <w:color w:val="auto"/>
              </w:rPr>
            </w:pPr>
          </w:p>
        </w:tc>
      </w:tr>
    </w:tbl>
    <w:p w14:paraId="2317E7EF" w14:textId="77777777" w:rsidR="00EB6564" w:rsidRDefault="00EB6564" w:rsidP="00EB6564">
      <w:pPr>
        <w:pStyle w:val="05BODYTEXT"/>
        <w:spacing w:after="0"/>
      </w:pPr>
    </w:p>
    <w:tbl>
      <w:tblPr>
        <w:tblW w:w="0" w:type="auto"/>
        <w:tblInd w:w="-5" w:type="dxa"/>
        <w:tblLayout w:type="fixed"/>
        <w:tblCellMar>
          <w:left w:w="0" w:type="dxa"/>
          <w:right w:w="0" w:type="dxa"/>
        </w:tblCellMar>
        <w:tblLook w:val="0000" w:firstRow="0" w:lastRow="0" w:firstColumn="0" w:lastColumn="0" w:noHBand="0" w:noVBand="0"/>
      </w:tblPr>
      <w:tblGrid>
        <w:gridCol w:w="2469"/>
        <w:gridCol w:w="2469"/>
        <w:gridCol w:w="2469"/>
      </w:tblGrid>
      <w:tr w:rsidR="00EB6564" w14:paraId="0B1FCF14" w14:textId="77777777">
        <w:trPr>
          <w:trHeight w:val="60"/>
          <w:tblHeader/>
        </w:trPr>
        <w:tc>
          <w:tcPr>
            <w:tcW w:w="2469"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7298567" w14:textId="77777777" w:rsidR="00EB6564" w:rsidRDefault="00EB6564">
            <w:pPr>
              <w:pStyle w:val="06bTABLEHEADERROW"/>
            </w:pPr>
            <w:r>
              <w:t>Station</w:t>
            </w:r>
          </w:p>
        </w:tc>
        <w:tc>
          <w:tcPr>
            <w:tcW w:w="4938" w:type="dxa"/>
            <w:gridSpan w:val="2"/>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EEFA87E" w14:textId="77777777" w:rsidR="00EB6564" w:rsidRDefault="00EB6564">
            <w:pPr>
              <w:pStyle w:val="06bTABLEHEADERROW"/>
              <w:jc w:val="center"/>
            </w:pPr>
            <w:r>
              <w:t>1 year</w:t>
            </w:r>
          </w:p>
        </w:tc>
      </w:tr>
      <w:tr w:rsidR="00EB6564" w14:paraId="6D37E467" w14:textId="77777777">
        <w:trPr>
          <w:trHeight w:val="60"/>
          <w:tblHeader/>
        </w:trPr>
        <w:tc>
          <w:tcPr>
            <w:tcW w:w="2469" w:type="dxa"/>
            <w:vMerge/>
            <w:tcBorders>
              <w:top w:val="single" w:sz="8" w:space="0" w:color="FFFFFF"/>
              <w:left w:val="single" w:sz="4" w:space="0" w:color="FFFFFF"/>
              <w:bottom w:val="single" w:sz="8" w:space="0" w:color="FFFFFF"/>
              <w:right w:val="single" w:sz="4" w:space="0" w:color="FFFFFF"/>
            </w:tcBorders>
          </w:tcPr>
          <w:p w14:paraId="5E57FBEB" w14:textId="77777777" w:rsidR="00EB6564" w:rsidRDefault="00EB6564">
            <w:pPr>
              <w:pStyle w:val="NoParagraphStyle"/>
              <w:spacing w:line="240" w:lineRule="auto"/>
              <w:textAlignment w:val="auto"/>
              <w:rPr>
                <w:rFonts w:ascii="Calibri" w:hAnsi="Calibri" w:cs="Calibri"/>
                <w:color w:val="auto"/>
              </w:rPr>
            </w:pPr>
          </w:p>
        </w:tc>
        <w:tc>
          <w:tcPr>
            <w:tcW w:w="246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068556A" w14:textId="77777777" w:rsidR="00EB6564" w:rsidRDefault="00EB6564">
            <w:pPr>
              <w:pStyle w:val="06bTABLEHEADERROW"/>
              <w:jc w:val="center"/>
            </w:pPr>
            <w:r>
              <w:t>Number of exceedances</w:t>
            </w:r>
          </w:p>
        </w:tc>
        <w:tc>
          <w:tcPr>
            <w:tcW w:w="246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DA1A4B0" w14:textId="66625185" w:rsidR="00EB6564" w:rsidRDefault="00EB6564">
            <w:pPr>
              <w:pStyle w:val="06bTABLEHEADERROW"/>
              <w:jc w:val="center"/>
            </w:pPr>
            <w:r>
              <w:t>Annual average (</w:t>
            </w:r>
            <w:r w:rsidR="00B3345B">
              <w:t>µ</w:t>
            </w:r>
            <w:r>
              <w:t>g/m</w:t>
            </w:r>
            <w:r>
              <w:rPr>
                <w:vertAlign w:val="superscript"/>
              </w:rPr>
              <w:t>3</w:t>
            </w:r>
            <w:r>
              <w:t>)</w:t>
            </w:r>
          </w:p>
        </w:tc>
      </w:tr>
      <w:tr w:rsidR="00EB6564" w14:paraId="465F2AB1" w14:textId="77777777">
        <w:trPr>
          <w:trHeight w:val="60"/>
        </w:trPr>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4235FC" w14:textId="77777777" w:rsidR="00EB6564" w:rsidRDefault="00EB6564">
            <w:pPr>
              <w:pStyle w:val="06cTABLETEXT"/>
            </w:pPr>
            <w:r>
              <w:t>Palmerston</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1DD40C" w14:textId="77777777" w:rsidR="00EB6564" w:rsidRDefault="00EB6564">
            <w:pPr>
              <w:pStyle w:val="06cTABLETEXT"/>
              <w:jc w:val="center"/>
            </w:pPr>
            <w:r>
              <w:t>15</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5C9F7C" w14:textId="77777777" w:rsidR="00EB6564" w:rsidRDefault="00EB6564">
            <w:pPr>
              <w:pStyle w:val="06cTABLETEXT"/>
              <w:jc w:val="center"/>
            </w:pPr>
            <w:r>
              <w:t>8.7</w:t>
            </w:r>
          </w:p>
        </w:tc>
      </w:tr>
      <w:tr w:rsidR="00EB6564" w14:paraId="5AAD9A99" w14:textId="77777777">
        <w:trPr>
          <w:trHeight w:val="60"/>
        </w:trPr>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F5AF8D" w14:textId="77777777" w:rsidR="00EB6564" w:rsidRDefault="00EB6564">
            <w:pPr>
              <w:pStyle w:val="06cTABLETEXT"/>
            </w:pPr>
            <w:r>
              <w:t>Stokes Hill</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B5C999A" w14:textId="77777777" w:rsidR="00EB6564" w:rsidRDefault="00EB6564">
            <w:pPr>
              <w:pStyle w:val="06cTABLETEXT"/>
              <w:jc w:val="center"/>
            </w:pPr>
            <w:r>
              <w:t>13</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7D7992" w14:textId="77777777" w:rsidR="00EB6564" w:rsidRDefault="00EB6564">
            <w:pPr>
              <w:pStyle w:val="06cTABLETEXT"/>
              <w:jc w:val="center"/>
            </w:pPr>
            <w:r>
              <w:t>8.3</w:t>
            </w:r>
          </w:p>
        </w:tc>
      </w:tr>
      <w:tr w:rsidR="00EB6564" w14:paraId="34157F98" w14:textId="77777777">
        <w:trPr>
          <w:trHeight w:val="60"/>
        </w:trPr>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10C123" w14:textId="77777777" w:rsidR="00EB6564" w:rsidRDefault="00EB6564">
            <w:pPr>
              <w:pStyle w:val="06cTABLETEXT"/>
            </w:pPr>
            <w:r>
              <w:t>Winnellie</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CE4897" w14:textId="77777777" w:rsidR="00EB6564" w:rsidRDefault="00EB6564">
            <w:pPr>
              <w:pStyle w:val="06cTABLETEXT"/>
              <w:jc w:val="center"/>
            </w:pPr>
            <w:r>
              <w:t>19</w:t>
            </w:r>
          </w:p>
        </w:tc>
        <w:tc>
          <w:tcPr>
            <w:tcW w:w="2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C37969" w14:textId="77777777" w:rsidR="00EB6564" w:rsidRDefault="00EB6564">
            <w:pPr>
              <w:pStyle w:val="06cTABLETEXT"/>
              <w:jc w:val="center"/>
            </w:pPr>
            <w:r>
              <w:t>9.1</w:t>
            </w:r>
          </w:p>
        </w:tc>
      </w:tr>
    </w:tbl>
    <w:p w14:paraId="37CCCAE1" w14:textId="0F32E1C7" w:rsidR="00C225B7" w:rsidRDefault="00C225B7" w:rsidP="00EB6564">
      <w:pPr>
        <w:pStyle w:val="05BODYTEXT"/>
      </w:pPr>
    </w:p>
    <w:p w14:paraId="2E0C47F1" w14:textId="77777777" w:rsidR="00C225B7" w:rsidRDefault="00C225B7">
      <w:pPr>
        <w:rPr>
          <w:rFonts w:ascii="Calibri" w:hAnsi="Calibri" w:cs="Calibri"/>
          <w:color w:val="000000"/>
          <w:sz w:val="16"/>
          <w:szCs w:val="16"/>
        </w:rPr>
      </w:pPr>
      <w:r>
        <w:br w:type="page"/>
      </w:r>
    </w:p>
    <w:p w14:paraId="468FD95A" w14:textId="77777777" w:rsidR="00EB6564" w:rsidRPr="00430022" w:rsidRDefault="00EB6564" w:rsidP="00430022">
      <w:pPr>
        <w:pStyle w:val="Heading1"/>
      </w:pPr>
      <w:bookmarkStart w:id="34" w:name="_Toc58254388"/>
      <w:r w:rsidRPr="00430022">
        <w:lastRenderedPageBreak/>
        <w:t>Appendix 3: Jurisdictional reports on the implementation and effectiveness of the Assessment of Site Contamination National Environment Protection Measure</w:t>
      </w:r>
      <w:bookmarkEnd w:id="34"/>
    </w:p>
    <w:p w14:paraId="179233B4" w14:textId="77777777" w:rsidR="00EB6564" w:rsidRPr="009408AB" w:rsidRDefault="00EB6564" w:rsidP="00CB0DA6">
      <w:pPr>
        <w:pStyle w:val="Heading2"/>
      </w:pPr>
      <w:bookmarkStart w:id="35" w:name="_Toc58254389"/>
      <w:r w:rsidRPr="009408AB">
        <w:t>Commonwealth</w:t>
      </w:r>
      <w:bookmarkEnd w:id="35"/>
    </w:p>
    <w:p w14:paraId="5ED64A58" w14:textId="77777777" w:rsidR="00EB6564" w:rsidRDefault="00EB6564" w:rsidP="00EB6564">
      <w:pPr>
        <w:pStyle w:val="05BODYTEXT"/>
        <w:rPr>
          <w:rStyle w:val="ITALIC"/>
        </w:rPr>
      </w:pPr>
      <w:r>
        <w:rPr>
          <w:rStyle w:val="ITALIC"/>
        </w:rPr>
        <w:t>Report to the NEPC on the implementation of the National Environment Protection (Assessment of Site Contamination) Measure for the Commonwealth by the Department of the Environment and Energy for the reporting year ended 30 June 2019.</w:t>
      </w:r>
    </w:p>
    <w:p w14:paraId="5DEEF685" w14:textId="77777777" w:rsidR="00EB6564" w:rsidRDefault="00EB6564" w:rsidP="00EB6564">
      <w:pPr>
        <w:pStyle w:val="02HEADING2"/>
      </w:pPr>
      <w:r>
        <w:t>Part 1—Implementation of the NEPM and any significant issues</w:t>
      </w:r>
    </w:p>
    <w:p w14:paraId="33744361" w14:textId="77777777" w:rsidR="00EB6564" w:rsidRDefault="00EB6564" w:rsidP="00EB6564">
      <w:pPr>
        <w:pStyle w:val="05bDOTPOINTS"/>
      </w:pPr>
      <w:r>
        <w:t>•</w:t>
      </w:r>
      <w:r>
        <w:tab/>
        <w:t>Australian Government agencies continue to conduct site assessments in accordance with the Assessment of Site Contamination NEPM (ASC NEPM).</w:t>
      </w:r>
    </w:p>
    <w:p w14:paraId="0E49ABC5" w14:textId="2AEF90A7" w:rsidR="00EB6564" w:rsidRDefault="00EB6564" w:rsidP="00EB6564">
      <w:pPr>
        <w:pStyle w:val="05bDOTPOINTS"/>
      </w:pPr>
      <w:r>
        <w:t>•</w:t>
      </w:r>
      <w:r>
        <w:tab/>
        <w:t xml:space="preserve">The ASC NEPM is an example of partnering among all jurisdictions. It provides a practical, science-based framework for Australian Government agencies to use in assessing contamination. </w:t>
      </w:r>
    </w:p>
    <w:p w14:paraId="3B4F5BA4" w14:textId="77777777" w:rsidR="00EB6564" w:rsidRDefault="00EB6564" w:rsidP="00EB6564">
      <w:pPr>
        <w:pStyle w:val="05bDOTPOINTS"/>
      </w:pPr>
      <w:r>
        <w:t>•</w:t>
      </w:r>
      <w:r>
        <w:tab/>
        <w:t xml:space="preserve">The approaches in the ASC NEPM underpin the collaborative work among the Commonwealth, states and territories on the PFAS National Environmental Management Plan (PFAS NEMP), published in February 2018. Further national guidance for version 2.0 of the PFAS NEMP was developed, together with extensive stakeholder engagement and consultation, across 2018-19. Together, the ASC NEPM and the PFAS National Environmental Management Plan set out </w:t>
      </w:r>
      <w:proofErr w:type="gramStart"/>
      <w:r>
        <w:t>nationally-agreed</w:t>
      </w:r>
      <w:proofErr w:type="gramEnd"/>
      <w:r>
        <w:t xml:space="preserve"> approaches, guidance and standards for understanding and assessing PFAS contamination.</w:t>
      </w:r>
    </w:p>
    <w:p w14:paraId="6E7B6975" w14:textId="77777777" w:rsidR="00EB6564" w:rsidRDefault="00EB6564" w:rsidP="00EB6564">
      <w:pPr>
        <w:pStyle w:val="02HEADING2"/>
      </w:pPr>
      <w:r>
        <w:t>Part 2—Assessment of NEPM effectiveness</w:t>
      </w:r>
    </w:p>
    <w:p w14:paraId="0F89A744" w14:textId="77777777" w:rsidR="00EB6564" w:rsidRDefault="00EB6564" w:rsidP="00EB6564">
      <w:pPr>
        <w:pStyle w:val="05bDOTPOINTS"/>
      </w:pPr>
      <w:r>
        <w:t>•</w:t>
      </w:r>
      <w:r>
        <w:tab/>
        <w:t xml:space="preserve">The Assessment of Site Contamination NEPM (ASC NEPM) provides a consistent, effective, and efficient national methodology which contributes to achieving Departmental goals, particularly in the context of the </w:t>
      </w:r>
      <w:r>
        <w:rPr>
          <w:rStyle w:val="ITALIC"/>
        </w:rPr>
        <w:t>Environment Protection and Biodiversity Conservation Act 1999</w:t>
      </w:r>
      <w:r>
        <w:t>. It is widely used across Australia by industry, site owners, and governments.</w:t>
      </w:r>
    </w:p>
    <w:p w14:paraId="2EE295A0" w14:textId="77777777" w:rsidR="00EB6564" w:rsidRDefault="00EB6564" w:rsidP="00EB6564">
      <w:pPr>
        <w:pStyle w:val="05bDOTPOINTS"/>
      </w:pPr>
      <w:r>
        <w:t>•</w:t>
      </w:r>
      <w:r>
        <w:tab/>
        <w:t>The ASC MEPM provides useful guidance on assessment of contaminated sites and includes investigation levels for certain toxicants. The next review of the ASC NEPM would be an opportunity to develop additional investigation levels for contaminants such as certain PFASs, persistent organic pollutants, mobile chemicals and endocrine disrupting chemicals. It would also provide an opportunity to update the techniques for laboratory analysis of toxicants in air, soil, and water.</w:t>
      </w:r>
    </w:p>
    <w:p w14:paraId="2E658097" w14:textId="77777777" w:rsidR="00EB6564" w:rsidRPr="009408AB" w:rsidRDefault="00EB6564" w:rsidP="00CB0DA6">
      <w:pPr>
        <w:pStyle w:val="Heading2"/>
      </w:pPr>
      <w:bookmarkStart w:id="36" w:name="_Toc58254390"/>
      <w:r w:rsidRPr="009408AB">
        <w:t>New South Wales</w:t>
      </w:r>
      <w:bookmarkEnd w:id="36"/>
    </w:p>
    <w:p w14:paraId="0702E8F1" w14:textId="77777777" w:rsidR="00EB6564" w:rsidRDefault="00EB6564" w:rsidP="00EB6564">
      <w:pPr>
        <w:pStyle w:val="05BODYTEXT"/>
        <w:rPr>
          <w:rStyle w:val="ITALIC"/>
        </w:rPr>
      </w:pPr>
      <w:r>
        <w:rPr>
          <w:rStyle w:val="ITALIC"/>
        </w:rPr>
        <w:t>Report to the NEPC on the implementation of the National Environment Protection (Assessment of Site Contamination) Measure for New South Wales by the Hon. Matt Kean MP, Minister for Energy and Environment, for the reporting year ended 30 June 2019.</w:t>
      </w:r>
    </w:p>
    <w:p w14:paraId="15AF0EFD" w14:textId="77777777" w:rsidR="00EB6564" w:rsidRDefault="00EB6564" w:rsidP="00EB6564">
      <w:pPr>
        <w:pStyle w:val="02HEADING2"/>
      </w:pPr>
      <w:r>
        <w:t>Part 1—Implementation of the NEPM and any significant issues</w:t>
      </w:r>
    </w:p>
    <w:p w14:paraId="77DEC48B" w14:textId="77777777" w:rsidR="00EB6564" w:rsidRDefault="00EB6564" w:rsidP="00EB6564">
      <w:pPr>
        <w:pStyle w:val="05BODYTEXT"/>
      </w:pPr>
      <w:r>
        <w:t xml:space="preserve">The NSW Environment Protection Authority (EPA) considers the National Environment Protection (Assessment of Site Contamination) Measure (NEPM) when making a decision on whether contaminated land requires regulation under the </w:t>
      </w:r>
      <w:r>
        <w:rPr>
          <w:rStyle w:val="ITALIC"/>
        </w:rPr>
        <w:t>Contaminated Land Management Act 1997</w:t>
      </w:r>
      <w:r>
        <w:t xml:space="preserve"> (NSW). </w:t>
      </w:r>
    </w:p>
    <w:p w14:paraId="3826F106" w14:textId="77777777" w:rsidR="00EB6564" w:rsidRDefault="00EB6564" w:rsidP="00EB6564">
      <w:pPr>
        <w:pStyle w:val="05BODYTEXT"/>
      </w:pPr>
      <w:r>
        <w:t xml:space="preserve">In 2018-19, the NSW EPA was notified of 41 contaminated sites, nine new sites were declared to be significantly contaminated under the </w:t>
      </w:r>
      <w:r>
        <w:rPr>
          <w:rStyle w:val="ITALIC"/>
        </w:rPr>
        <w:t>Contaminated Land Management Act 1997</w:t>
      </w:r>
      <w:r>
        <w:t>, and regulation of eight sites was ended after remediation.</w:t>
      </w:r>
    </w:p>
    <w:p w14:paraId="48F935A4" w14:textId="77777777" w:rsidR="00EB6564" w:rsidRDefault="00EB6564" w:rsidP="00EB6564">
      <w:pPr>
        <w:pStyle w:val="05BODYTEXT"/>
      </w:pPr>
      <w:r>
        <w:t xml:space="preserve">The NSW EPA verifies that site audits and site audit statements have been undertaken with due regard to the NEPM through its quality assurance program. In 2018-19 accredited site auditors issued 250 site audit statements following 199 statutory audits and 51 non-statutory audits under the </w:t>
      </w:r>
      <w:r>
        <w:rPr>
          <w:rStyle w:val="ITALIC"/>
        </w:rPr>
        <w:t>Contaminated Land Management Act 1997</w:t>
      </w:r>
      <w:r>
        <w:t>.</w:t>
      </w:r>
    </w:p>
    <w:p w14:paraId="1B8BB2D7" w14:textId="77777777" w:rsidR="00EB6564" w:rsidRDefault="00EB6564" w:rsidP="00EB6564">
      <w:pPr>
        <w:pStyle w:val="05BODYTEXT"/>
      </w:pPr>
      <w:r>
        <w:t>Overall, the NEPM has improved the efficiency of regulating contaminated sites in NSW.</w:t>
      </w:r>
    </w:p>
    <w:p w14:paraId="5958A8E9" w14:textId="77777777" w:rsidR="00EB6564" w:rsidRDefault="00EB6564" w:rsidP="00EB6564">
      <w:pPr>
        <w:pStyle w:val="05BODYTEXT"/>
      </w:pPr>
      <w:r>
        <w:t>The limited number of derived ecological investigation levels (EILs) adopted into the NEPM continues to present challenges. Whilst there is already a framework for deriving EILs outlined in NEPM Schedule B5b, the NSW EPA encourages more work to develop and implement a consistent framework for adopting new EILs into the NEPM (</w:t>
      </w:r>
      <w:proofErr w:type="gramStart"/>
      <w:r>
        <w:t>e.g.</w:t>
      </w:r>
      <w:proofErr w:type="gramEnd"/>
      <w:r>
        <w:t xml:space="preserve"> for benzo(a)pyrene).</w:t>
      </w:r>
    </w:p>
    <w:p w14:paraId="3954E56F" w14:textId="77777777" w:rsidR="00EB6564" w:rsidRDefault="00EB6564" w:rsidP="00EB6564">
      <w:pPr>
        <w:pStyle w:val="05BODYTEXT"/>
      </w:pPr>
      <w:r>
        <w:lastRenderedPageBreak/>
        <w:t>There is also some contention within industry regarding the definition of friable asbestos within the NEPM (Schedule B1 Vol 2), and the misinterpretation of guidance when completing an asbestos in soils assessment and resulting remediation (Schedule B2 Vol 3).</w:t>
      </w:r>
    </w:p>
    <w:p w14:paraId="08F2B7A8" w14:textId="77777777" w:rsidR="00EB6564" w:rsidRDefault="00EB6564" w:rsidP="00EB6564">
      <w:pPr>
        <w:pStyle w:val="02HEADING2"/>
      </w:pPr>
      <w:r>
        <w:t>Part 2—Assessment of NEPM effectiveness</w:t>
      </w:r>
    </w:p>
    <w:p w14:paraId="627C63D2" w14:textId="77777777" w:rsidR="00EB6564" w:rsidRDefault="00EB6564" w:rsidP="00EB6564">
      <w:pPr>
        <w:pStyle w:val="05BODYTEXT"/>
      </w:pPr>
      <w:r>
        <w:t xml:space="preserve">The NSW EPA is continuing to update relevant legislative instruments and guidance to incorporate or refer to the 2013 amendments to the NEPM. </w:t>
      </w:r>
    </w:p>
    <w:p w14:paraId="5C555BA5" w14:textId="77777777" w:rsidR="00EB6564" w:rsidRPr="009408AB" w:rsidRDefault="00EB6564" w:rsidP="00CB0DA6">
      <w:pPr>
        <w:pStyle w:val="Heading2"/>
      </w:pPr>
      <w:bookmarkStart w:id="37" w:name="_Toc58254391"/>
      <w:r w:rsidRPr="009408AB">
        <w:t>Victoria</w:t>
      </w:r>
      <w:bookmarkEnd w:id="37"/>
    </w:p>
    <w:p w14:paraId="51A9B3CA" w14:textId="77777777" w:rsidR="00EB6564" w:rsidRDefault="00EB6564" w:rsidP="00EB6564">
      <w:pPr>
        <w:pStyle w:val="05BODYTEXT"/>
        <w:rPr>
          <w:rStyle w:val="ITALIC"/>
        </w:rPr>
      </w:pPr>
      <w:r>
        <w:rPr>
          <w:rStyle w:val="ITALIC"/>
        </w:rPr>
        <w:t xml:space="preserve">Report to the NEPC on the implementation of the National Environment Protection (Assessment of Site Contamination) Measure for Victoria by the Hon Lily </w:t>
      </w:r>
      <w:proofErr w:type="spellStart"/>
      <w:r>
        <w:rPr>
          <w:rStyle w:val="ITALIC"/>
        </w:rPr>
        <w:t>D’Ambrosio</w:t>
      </w:r>
      <w:proofErr w:type="spellEnd"/>
      <w:r>
        <w:rPr>
          <w:rStyle w:val="ITALIC"/>
        </w:rPr>
        <w:t>, Minister for Energy, Environment and Climate Change, for the reporting year ended 30 June 2019.</w:t>
      </w:r>
    </w:p>
    <w:p w14:paraId="766326F8" w14:textId="77777777" w:rsidR="00EB6564" w:rsidRDefault="00EB6564" w:rsidP="00EB6564">
      <w:pPr>
        <w:pStyle w:val="02HEADING2"/>
      </w:pPr>
      <w:r>
        <w:t>Part 1—Implementation of the NEPM and any significant issues</w:t>
      </w:r>
    </w:p>
    <w:p w14:paraId="54DAE916" w14:textId="77777777" w:rsidR="00EB6564" w:rsidRDefault="00EB6564" w:rsidP="00EB6564">
      <w:pPr>
        <w:pStyle w:val="05BODYTEXT"/>
      </w:pPr>
      <w:r>
        <w:t>As previously noted, the transition period for the revised ASC NEPM finished in May 2014 and there now seems to be widespread acceptance and use of it, in name.</w:t>
      </w:r>
    </w:p>
    <w:p w14:paraId="6D2CC788" w14:textId="77777777" w:rsidR="00EB6564" w:rsidRDefault="00EB6564" w:rsidP="00EB6564">
      <w:pPr>
        <w:pStyle w:val="05BODYTEXT"/>
      </w:pPr>
      <w:r>
        <w:t>Issues of note:</w:t>
      </w:r>
    </w:p>
    <w:p w14:paraId="69EFA4BD" w14:textId="77777777" w:rsidR="00EB6564" w:rsidRDefault="00EB6564" w:rsidP="00EB6564">
      <w:pPr>
        <w:pStyle w:val="05bDOTPOINTS"/>
      </w:pPr>
      <w:r>
        <w:t>•</w:t>
      </w:r>
      <w:r>
        <w:tab/>
        <w:t xml:space="preserve">Flow on implications for other policy areas that had been reliant on the original NEPM approaches and values. For example, there is a discrepancy between soil characterisation guidance </w:t>
      </w:r>
      <w:proofErr w:type="gramStart"/>
      <w:r>
        <w:t>e.g.</w:t>
      </w:r>
      <w:proofErr w:type="gramEnd"/>
      <w:r>
        <w:t xml:space="preserve"> what soil/fill is acceptable to remain on individual sites (for particular land uses) and what is accepted to landfill. </w:t>
      </w:r>
    </w:p>
    <w:p w14:paraId="298FDC13" w14:textId="77777777" w:rsidR="00EB6564" w:rsidRDefault="00EB6564" w:rsidP="00EB6564">
      <w:pPr>
        <w:pStyle w:val="05bDOTPOINTS"/>
      </w:pPr>
      <w:r>
        <w:t>•</w:t>
      </w:r>
      <w:r>
        <w:tab/>
        <w:t xml:space="preserve">The adequacy of the Health Investigation Levels (HILs) for lead in soil for the protection of human health following the release of the </w:t>
      </w:r>
      <w:r w:rsidRPr="00C225B7">
        <w:rPr>
          <w:rStyle w:val="Hyperlink"/>
          <w:u w:val="none"/>
        </w:rPr>
        <w:t>NHMRC Statement: Evidence on the effects of lead on human health</w:t>
      </w:r>
      <w:r w:rsidRPr="00C225B7">
        <w:t xml:space="preserve"> (the Statement) and associate</w:t>
      </w:r>
      <w:r>
        <w:t xml:space="preserve">d publications on blood lead levels. Contaminated sites regulators are being questioned by risk assessors and contaminated site assessors and auditors in relation to the applicability of the lead HILs as screening criteria for soil and also the appropriate assumptions and inputs when deriving a site-specific clean-up target value for lead in soil. This issue was raised in 2016, has been raised with </w:t>
      </w:r>
      <w:proofErr w:type="spellStart"/>
      <w:r>
        <w:t>enHealth</w:t>
      </w:r>
      <w:proofErr w:type="spellEnd"/>
      <w:r>
        <w:t xml:space="preserve"> and is still to be resolved.</w:t>
      </w:r>
    </w:p>
    <w:p w14:paraId="0EFA9095" w14:textId="77777777" w:rsidR="00EB6564" w:rsidRDefault="00EB6564" w:rsidP="00EB6564">
      <w:pPr>
        <w:pStyle w:val="05bDOTPOINTS"/>
      </w:pPr>
      <w:r>
        <w:t>•</w:t>
      </w:r>
      <w:r>
        <w:tab/>
        <w:t>An administrative error during the drafting of Schedule B3 resulted in information regarding acetone/hexane being omitted from the table in section 10.2.8. This issue was raised in 2016 and remains an issue to be resolved.</w:t>
      </w:r>
    </w:p>
    <w:p w14:paraId="3D896923" w14:textId="77777777" w:rsidR="00EB6564" w:rsidRDefault="00EB6564" w:rsidP="00EB6564">
      <w:pPr>
        <w:pStyle w:val="05bDOTPOINTS"/>
      </w:pPr>
      <w:r>
        <w:t>•</w:t>
      </w:r>
      <w:r>
        <w:tab/>
        <w:t xml:space="preserve">Lack of guidance relating to emerging chemicals of concern, in particular PFAS, which has led to issues dealing with a number of highly PFAS contaminated sites. It is noted that the PFAS National Environmental Management Plan (NEMP) has begun to address some of these issues and is being iteratively revised to develop further guidance for more complex issues such as PFAS level in spoil and wastewater issues. </w:t>
      </w:r>
    </w:p>
    <w:p w14:paraId="5B9348B8" w14:textId="77777777" w:rsidR="00EB6564" w:rsidRDefault="00EB6564" w:rsidP="00EB6564">
      <w:pPr>
        <w:pStyle w:val="05BODYTEXT"/>
      </w:pPr>
      <w:r>
        <w:t>In response, Victoria has contributed to the following:</w:t>
      </w:r>
    </w:p>
    <w:p w14:paraId="3C598EFD" w14:textId="77777777" w:rsidR="00EB6564" w:rsidRDefault="00EB6564" w:rsidP="00EB6564">
      <w:pPr>
        <w:pStyle w:val="05bDOTPOINTS"/>
      </w:pPr>
      <w:r>
        <w:t>•</w:t>
      </w:r>
      <w:r>
        <w:tab/>
        <w:t>As part of the reform to the environment protection framework, EPA Victoria has a dedicated waste team who have worked to address the characterisation of soil/fill in waste regulations and associated guidelines to make it clear what will go to landfill and this included a review of soil fill acceptance criteria.</w:t>
      </w:r>
    </w:p>
    <w:p w14:paraId="52CF5913" w14:textId="77777777" w:rsidR="00EB6564" w:rsidRDefault="00EB6564" w:rsidP="00EB6564">
      <w:pPr>
        <w:pStyle w:val="05bDOTPOINTS"/>
      </w:pPr>
      <w:r>
        <w:t>•</w:t>
      </w:r>
      <w:r>
        <w:tab/>
        <w:t xml:space="preserve">The National Contaminated Environments Network, which comprises representatives of the contaminated sites regulators of Australia, has written to </w:t>
      </w:r>
      <w:proofErr w:type="spellStart"/>
      <w:r>
        <w:t>enHealth</w:t>
      </w:r>
      <w:proofErr w:type="spellEnd"/>
      <w:r>
        <w:t xml:space="preserve"> seeking advice on the protectiveness of the current HIL for lead provided in the NEPM. </w:t>
      </w:r>
    </w:p>
    <w:p w14:paraId="77990D95" w14:textId="77777777" w:rsidR="00EB6564" w:rsidRDefault="00EB6564" w:rsidP="00EB6564">
      <w:pPr>
        <w:pStyle w:val="05bDOTPOINTS"/>
      </w:pPr>
      <w:r>
        <w:t>•</w:t>
      </w:r>
      <w:r>
        <w:tab/>
        <w:t>The National Contaminated Environments Network has informed the NEPC secretariat of the omission of acetone/hexane and requested it for inclusion in the errata.</w:t>
      </w:r>
    </w:p>
    <w:p w14:paraId="45AB0B9C" w14:textId="77777777" w:rsidR="00EB6564" w:rsidRDefault="00EB6564" w:rsidP="00EB6564">
      <w:pPr>
        <w:pStyle w:val="05bDOTPOINTS"/>
      </w:pPr>
      <w:r>
        <w:t>•</w:t>
      </w:r>
      <w:r>
        <w:tab/>
        <w:t xml:space="preserve">The NEPM has been incorporated into the subordinate legislation framework under the </w:t>
      </w:r>
      <w:r>
        <w:rPr>
          <w:rStyle w:val="ITALIC"/>
        </w:rPr>
        <w:t xml:space="preserve">Environment Protection Amendment Act 2018. </w:t>
      </w:r>
      <w:r>
        <w:t xml:space="preserve">A new provision in the </w:t>
      </w:r>
      <w:r>
        <w:rPr>
          <w:rStyle w:val="ITALIC"/>
        </w:rPr>
        <w:t>Environment Protection Amendment Act 2018</w:t>
      </w:r>
      <w:r>
        <w:t xml:space="preserve"> enables the declaration of a substance to be an environmentally hazardous substance (ESHO). An ESHO can potentially prohibit, control or regulate emerging contaminants. </w:t>
      </w:r>
      <w:proofErr w:type="gramStart"/>
      <w:r>
        <w:t>While,</w:t>
      </w:r>
      <w:proofErr w:type="gramEnd"/>
      <w:r>
        <w:t xml:space="preserve"> emerging contaminants have not been addressed at this stage in regulations or the ERS, these instruments could be used in the future, along with the ESHOs to address emerging contaminants </w:t>
      </w:r>
    </w:p>
    <w:p w14:paraId="4DE92A86" w14:textId="77777777" w:rsidR="00EB6564" w:rsidRDefault="00EB6564" w:rsidP="00EB6564">
      <w:pPr>
        <w:pStyle w:val="05bDOTPOINTS"/>
      </w:pPr>
      <w:r>
        <w:t>•</w:t>
      </w:r>
      <w:r>
        <w:tab/>
        <w:t xml:space="preserve">Contributed to the development of the PFAS NEMP. </w:t>
      </w:r>
    </w:p>
    <w:p w14:paraId="05114221" w14:textId="77777777" w:rsidR="00EB6564" w:rsidRDefault="00EB6564" w:rsidP="00EB6564">
      <w:pPr>
        <w:pStyle w:val="02HEADING2"/>
      </w:pPr>
      <w:r>
        <w:t>Part 2—Assessment of NEPM effectiveness</w:t>
      </w:r>
    </w:p>
    <w:p w14:paraId="0222B19A" w14:textId="77777777" w:rsidR="00EB6564" w:rsidRDefault="00EB6564" w:rsidP="00EB6564">
      <w:pPr>
        <w:pStyle w:val="05BODYTEXT"/>
      </w:pPr>
      <w:r>
        <w:t xml:space="preserve">The amended NEPM continues to reinforce an existing framework for the management of contaminated sites in Victoria by providing consistent, consolidated guidance on the assessment of site contamination. Some improvements in the consistency of site assessment have resulted from use of the NEPM. </w:t>
      </w:r>
    </w:p>
    <w:p w14:paraId="08040A9C" w14:textId="77777777" w:rsidR="00EB6564" w:rsidRDefault="00EB6564" w:rsidP="00EB6564">
      <w:pPr>
        <w:pStyle w:val="05BODYTEXT"/>
      </w:pPr>
      <w:r>
        <w:t xml:space="preserve">The NEPM amendments were considered likely to involve more detailed site assessments being undertaken in some cases. While these were likely to increase costs during the assessment phase, they were expected to result in overall cost savings for business as a result of more effective, timely and targeted remediation works. </w:t>
      </w:r>
    </w:p>
    <w:p w14:paraId="1E17B5DA" w14:textId="0B43E85F" w:rsidR="00EB6564" w:rsidRDefault="00EB6564" w:rsidP="00EB6564">
      <w:pPr>
        <w:pStyle w:val="05BODYTEXT"/>
      </w:pPr>
      <w:r>
        <w:lastRenderedPageBreak/>
        <w:t xml:space="preserve">Our experience continues to be that there is no evidence to suggest that the amendment has resulted in any other outcome. Indeed, the amendments to the NEPM continue to be well supported by environmental auditors and others in the site assessment industry, to the extent that there is a National Remediation Framework under development– this would not be a NEPM itself but would complement the ASC. A number of the draft documents have been circulated publicly for comment, more details are available: </w:t>
      </w:r>
      <w:hyperlink r:id="rId58" w:history="1">
        <w:r w:rsidRPr="00276A45">
          <w:rPr>
            <w:rStyle w:val="Hyperlink"/>
            <w:color w:val="4472C4" w:themeColor="accent1"/>
            <w:u w:val="single"/>
          </w:rPr>
          <w:t>http://www.crccare.com/knowledge-sharing/national-remediation-framework</w:t>
        </w:r>
      </w:hyperlink>
      <w:r>
        <w:t xml:space="preserve">. </w:t>
      </w:r>
    </w:p>
    <w:p w14:paraId="7FBAC4B5" w14:textId="77777777" w:rsidR="00EB6564" w:rsidRPr="009408AB" w:rsidRDefault="00EB6564" w:rsidP="00CB0DA6">
      <w:pPr>
        <w:pStyle w:val="Heading2"/>
      </w:pPr>
      <w:bookmarkStart w:id="38" w:name="_Toc58254392"/>
      <w:r w:rsidRPr="009408AB">
        <w:t>Queensland</w:t>
      </w:r>
      <w:bookmarkEnd w:id="38"/>
    </w:p>
    <w:p w14:paraId="3B1961AB" w14:textId="77777777" w:rsidR="00EB6564" w:rsidRDefault="00EB6564" w:rsidP="00EB6564">
      <w:pPr>
        <w:pStyle w:val="05BODYTEXT"/>
        <w:rPr>
          <w:rStyle w:val="ITALIC"/>
        </w:rPr>
      </w:pPr>
      <w:r>
        <w:rPr>
          <w:rStyle w:val="ITALIC"/>
        </w:rPr>
        <w:t>Report to the NEPC on the implementation of the National Environment Protection (Assessment of Site Contamination) Measure for Queensland by Hon. Leeanne Enoch MP, Minister for Environment and the Great Barrier Reef, Minister for Science, and Minister for the Arts for the reporting year ended 30 June 2019.</w:t>
      </w:r>
    </w:p>
    <w:p w14:paraId="57C4B828" w14:textId="77777777" w:rsidR="00EB6564" w:rsidRDefault="00EB6564" w:rsidP="00EB6564">
      <w:pPr>
        <w:pStyle w:val="02HEADING2"/>
      </w:pPr>
      <w:r>
        <w:t>Part 1—Implementation of the NEPM and any significant issues</w:t>
      </w:r>
    </w:p>
    <w:p w14:paraId="30D9CAF9" w14:textId="77777777" w:rsidR="00EB6564" w:rsidRDefault="00EB6564" w:rsidP="00EB6564">
      <w:pPr>
        <w:pStyle w:val="05bDOTPOINTS"/>
      </w:pPr>
      <w:r>
        <w:t>•</w:t>
      </w:r>
      <w:r>
        <w:tab/>
        <w:t xml:space="preserve">The Department of Environment and Science (DES) is the central administering authority for contaminated land in Queensland under the </w:t>
      </w:r>
      <w:r>
        <w:rPr>
          <w:rStyle w:val="ITALIC"/>
        </w:rPr>
        <w:t>Environmental Protection Act 1994</w:t>
      </w:r>
      <w:r>
        <w:t xml:space="preserve"> (EP Act). </w:t>
      </w:r>
    </w:p>
    <w:p w14:paraId="2E4C7046" w14:textId="77777777" w:rsidR="00EB6564" w:rsidRDefault="00EB6564" w:rsidP="00EB6564">
      <w:pPr>
        <w:pStyle w:val="05bDOTPOINTS"/>
      </w:pPr>
      <w:r>
        <w:t>•</w:t>
      </w:r>
      <w:r>
        <w:tab/>
        <w:t xml:space="preserve">The first step in the management of land contaminated or presumed to be contaminated in Queensland is the listing of the land on either the Environmental Management Register (EMR) or the Contaminated Land Register (CLR). Land may be included on the environmental management register if a </w:t>
      </w:r>
      <w:r>
        <w:rPr>
          <w:rStyle w:val="ITALIC"/>
        </w:rPr>
        <w:t>notifiable activity</w:t>
      </w:r>
      <w:r>
        <w:t xml:space="preserve"> prescribed in Schedule 3 of the EP Act has been carried out on the land or the land is otherwise contaminated land. Land may be included on the contaminated land register if it is necessary to take action to remediate the contaminated land to prevent serious environmental harm.</w:t>
      </w:r>
    </w:p>
    <w:p w14:paraId="457C01A6" w14:textId="77777777" w:rsidR="00EB6564" w:rsidRDefault="00EB6564" w:rsidP="00EB6564">
      <w:pPr>
        <w:pStyle w:val="05bDOTPOINTS"/>
      </w:pPr>
      <w:r>
        <w:t>•</w:t>
      </w:r>
      <w:r>
        <w:tab/>
        <w:t xml:space="preserve">Commencing on 1 July 2018, under the </w:t>
      </w:r>
      <w:r>
        <w:rPr>
          <w:rStyle w:val="ITALIC"/>
        </w:rPr>
        <w:t>Planning Regulation 2017</w:t>
      </w:r>
      <w:r>
        <w:t xml:space="preserve">, prohibited development is that which is commenced on land listed on the EMR or CLR, unless the land is remediated or certified fit for purpose. The Department of State Development, Manufacturing, Infrastructure and Planning (DSDMIP) is the administering authority of the planning regulation. DES provides DSDMIP with advice on matters related to contaminated land. </w:t>
      </w:r>
    </w:p>
    <w:p w14:paraId="41581D70" w14:textId="77777777" w:rsidR="00EB6564" w:rsidRDefault="00EB6564" w:rsidP="00EB6564">
      <w:pPr>
        <w:pStyle w:val="05bDOTPOINTS"/>
      </w:pPr>
      <w:r>
        <w:t>•</w:t>
      </w:r>
      <w:r>
        <w:tab/>
        <w:t>It is mandatory in Queensland for contaminated land investigation documents, which includes site investigation reports, validation reports and draft site management plans, to be certified by an approved auditor prior to being submitted to DES.</w:t>
      </w:r>
    </w:p>
    <w:p w14:paraId="6C6E2D3F" w14:textId="77777777" w:rsidR="00EB6564" w:rsidRDefault="00EB6564" w:rsidP="00EB6564">
      <w:pPr>
        <w:pStyle w:val="05bDOTPOINTS"/>
      </w:pPr>
      <w:r>
        <w:t>•</w:t>
      </w:r>
      <w:r>
        <w:tab/>
        <w:t xml:space="preserve">Queensland currently has 21 appointed contaminated land auditors to perform regulatory functions under section 568 of the EP Act. </w:t>
      </w:r>
    </w:p>
    <w:p w14:paraId="59CAC8BD" w14:textId="77777777" w:rsidR="00EB6564" w:rsidRDefault="00EB6564" w:rsidP="00EB6564">
      <w:pPr>
        <w:pStyle w:val="05bDOTPOINTS"/>
      </w:pPr>
      <w:r>
        <w:t>•</w:t>
      </w:r>
      <w:r>
        <w:tab/>
        <w:t>The following relevant operational data associated with NEPM implementation were collected in the reporting period 2018-19</w:t>
      </w:r>
    </w:p>
    <w:p w14:paraId="5383E86E" w14:textId="77777777" w:rsidR="00EB6564" w:rsidRDefault="00EB6564" w:rsidP="00EB6564">
      <w:pPr>
        <w:pStyle w:val="05bDOTPOINTS2ndlevel"/>
      </w:pPr>
      <w:r>
        <w:t>–</w:t>
      </w:r>
      <w:r>
        <w:tab/>
        <w:t>82 Contaminated Land Investigation Documents were reviewed for compliance with NEPM prior to statutory decisions regarding EMR/CLR status of the subject land. All reports submitted as investigation documents were reviewed by approved auditors.</w:t>
      </w:r>
    </w:p>
    <w:p w14:paraId="0678A1C6" w14:textId="77777777" w:rsidR="00EB6564" w:rsidRDefault="00EB6564" w:rsidP="00EB6564">
      <w:pPr>
        <w:pStyle w:val="05bDOTPOINTS2ndlevel"/>
      </w:pPr>
      <w:r>
        <w:t>–</w:t>
      </w:r>
      <w:r>
        <w:tab/>
        <w:t>46 sites were listed on the EMR for a hazardous contaminant.</w:t>
      </w:r>
    </w:p>
    <w:p w14:paraId="5CE2EC4A" w14:textId="77777777" w:rsidR="00EB6564" w:rsidRDefault="00EB6564" w:rsidP="00EB6564">
      <w:pPr>
        <w:pStyle w:val="05bDOTPOINTS2ndlevel"/>
      </w:pPr>
      <w:r>
        <w:t>–</w:t>
      </w:r>
      <w:r>
        <w:tab/>
        <w:t xml:space="preserve">96 sites were listed on the EMR as a notifiable activity </w:t>
      </w:r>
    </w:p>
    <w:p w14:paraId="088FB80A" w14:textId="77777777" w:rsidR="00EB6564" w:rsidRDefault="00EB6564" w:rsidP="00EB6564">
      <w:pPr>
        <w:pStyle w:val="05bDOTPOINTS2ndlevel"/>
      </w:pPr>
      <w:r>
        <w:t>–</w:t>
      </w:r>
      <w:r>
        <w:tab/>
        <w:t>DES appointed three contaminated land auditors during 2018-19, which includes mutual recognition on the basis of approvals held in other jurisdictions. These auditor applications are assessed by a DES approved technical panel who are engaged to review contaminated land auditor applications on behalf of DES.</w:t>
      </w:r>
    </w:p>
    <w:p w14:paraId="0C94135B" w14:textId="77777777" w:rsidR="00EB6564" w:rsidRDefault="00EB6564" w:rsidP="00EB6564">
      <w:pPr>
        <w:pStyle w:val="05bDOTPOINTS2ndlevel"/>
      </w:pPr>
      <w:r>
        <w:t>–</w:t>
      </w:r>
      <w:r>
        <w:tab/>
        <w:t xml:space="preserve">46 sites were finalised as being adequately assessed according to NEPM, remediated and removed from the EMR. </w:t>
      </w:r>
    </w:p>
    <w:p w14:paraId="27B7349F" w14:textId="77777777" w:rsidR="00EB6564" w:rsidRDefault="00EB6564" w:rsidP="00EB6564">
      <w:pPr>
        <w:pStyle w:val="05bDOTPOINTS2ndlevel"/>
      </w:pPr>
      <w:r>
        <w:t>–</w:t>
      </w:r>
      <w:r>
        <w:tab/>
        <w:t xml:space="preserve">7 Site Management Plans were issued for development or use of a site, including those that were assessed and partially remediated with management of residual contamination for restricted land uses. </w:t>
      </w:r>
    </w:p>
    <w:p w14:paraId="3A6A71D5" w14:textId="77777777" w:rsidR="00EB6564" w:rsidRDefault="00EB6564" w:rsidP="00EB6564">
      <w:pPr>
        <w:pStyle w:val="05bDOTPOINTS2ndlevel"/>
      </w:pPr>
      <w:r>
        <w:t>–</w:t>
      </w:r>
      <w:r>
        <w:tab/>
        <w:t>276 permits were issued for the transport and disposal of contaminated soil in accordance with the EP Act.</w:t>
      </w:r>
    </w:p>
    <w:p w14:paraId="209DC974" w14:textId="77777777" w:rsidR="00EB6564" w:rsidRDefault="00EB6564" w:rsidP="00EB6564">
      <w:pPr>
        <w:pStyle w:val="02HEADING2"/>
      </w:pPr>
      <w:r>
        <w:t>Part 2—Assessment of NEPM effectiveness</w:t>
      </w:r>
    </w:p>
    <w:p w14:paraId="60462F25" w14:textId="77777777" w:rsidR="00EB6564" w:rsidRDefault="00EB6564" w:rsidP="00EB6564">
      <w:pPr>
        <w:pStyle w:val="05BODYTEXT"/>
      </w:pPr>
      <w:r>
        <w:t xml:space="preserve">The NEPM is a central reference document for the assessment of site contamination in Queensland. It is supported by Queensland’s guidelines on contaminated land and, in instances of surface and groundwater contamination, the Environmental Protection (Water) Policy 2009. Its use is well established in contaminated land practices, leading to effective and practical site and development outcomes. </w:t>
      </w:r>
    </w:p>
    <w:p w14:paraId="7F8B8DA2" w14:textId="77777777" w:rsidR="00EB6564" w:rsidRDefault="00EB6564" w:rsidP="00EB6564">
      <w:pPr>
        <w:pStyle w:val="05BODYTEXT"/>
      </w:pPr>
      <w:r>
        <w:t xml:space="preserve">The use of the NEPM by contaminated land practitioners has been recognised through the provisions of the operational policy and guidelines relating to assessment of contaminated land. All applications to DES for statutory decisions about site contamination and changing the status of land on the EMR/CLR must demonstrate compliance with the current NEPM in accordance with the EP Act. </w:t>
      </w:r>
    </w:p>
    <w:p w14:paraId="27C56EF9" w14:textId="77777777" w:rsidR="00EB6564" w:rsidRDefault="00EB6564" w:rsidP="00EB6564">
      <w:pPr>
        <w:pStyle w:val="05BODYTEXT"/>
      </w:pPr>
      <w:r>
        <w:t xml:space="preserve">The NEPM continues to be used as an effective technical basis for site assessment for contaminated site professionals operating in Queensland. </w:t>
      </w:r>
    </w:p>
    <w:p w14:paraId="5C3F0851" w14:textId="77777777" w:rsidR="00EB6564" w:rsidRDefault="00EB6564" w:rsidP="00EB6564">
      <w:pPr>
        <w:pStyle w:val="05BODYTEXT"/>
      </w:pPr>
      <w:r>
        <w:t xml:space="preserve">The current NEPM addresses adequate guidance for selected types of contamination affecting terrestrial ecosystem, vapour flux, aesthetic and management impacts of petroleum hydrocarbon compounds in soil and groundwater, and fragments of cement bonded asbestos commonly </w:t>
      </w:r>
      <w:r>
        <w:lastRenderedPageBreak/>
        <w:t xml:space="preserve">encountered on contaminated sites. Statutory approval conditions related to land development require current NEPM adherence. The quality control procedures applied by DES in internal review of assessment reports involve a review of the practitioner’s adherence to the NEPM. </w:t>
      </w:r>
    </w:p>
    <w:p w14:paraId="792EFEAA" w14:textId="77777777" w:rsidR="00EB6564" w:rsidRDefault="00EB6564" w:rsidP="00EB6564">
      <w:pPr>
        <w:pStyle w:val="05BODYTEXT"/>
      </w:pPr>
      <w:r>
        <w:t xml:space="preserve">The establishment and implementation of the contaminated land auditor approval framework has successfully led to the certification of 21 auditors. The selection and approval of the persons to be auditors has been structured around Schedule B9 of the amended NEPM 1999. </w:t>
      </w:r>
    </w:p>
    <w:p w14:paraId="1AECA789" w14:textId="77777777" w:rsidR="00EB6564" w:rsidRDefault="00EB6564" w:rsidP="00EB6564">
      <w:pPr>
        <w:pStyle w:val="05BODYTEXT"/>
      </w:pPr>
      <w:r>
        <w:t xml:space="preserve">Implementation of the general provisions of the NEPM would be improved by additional guidance for particular common types of contamination. This includes fluorinated organic chemicals that are commonly encountered on contaminated sites. </w:t>
      </w:r>
    </w:p>
    <w:p w14:paraId="03E3FC47" w14:textId="77777777" w:rsidR="00EB6564" w:rsidRDefault="00EB6564" w:rsidP="00EB6564">
      <w:pPr>
        <w:pStyle w:val="05BODYTEXT"/>
      </w:pPr>
      <w:r>
        <w:t>It is considered that clarification of these issues in any future revision of the NEPM would assist jurisdictions and practitioners</w:t>
      </w:r>
    </w:p>
    <w:p w14:paraId="6B1DF79D" w14:textId="77777777" w:rsidR="00EB6564" w:rsidRPr="009408AB" w:rsidRDefault="00EB6564" w:rsidP="00CB0DA6">
      <w:pPr>
        <w:pStyle w:val="Heading2"/>
      </w:pPr>
      <w:bookmarkStart w:id="39" w:name="_Toc58254393"/>
      <w:r w:rsidRPr="009408AB">
        <w:t>Western Australia</w:t>
      </w:r>
      <w:bookmarkEnd w:id="39"/>
      <w:r w:rsidRPr="009408AB">
        <w:t xml:space="preserve"> </w:t>
      </w:r>
    </w:p>
    <w:p w14:paraId="77B137E5" w14:textId="77777777" w:rsidR="00EB6564" w:rsidRDefault="00EB6564" w:rsidP="00EB6564">
      <w:pPr>
        <w:pStyle w:val="05BODYTEXT"/>
        <w:rPr>
          <w:rStyle w:val="ITALIC"/>
        </w:rPr>
      </w:pPr>
      <w:r>
        <w:rPr>
          <w:rStyle w:val="ITALIC"/>
        </w:rPr>
        <w:t>Report to the NEPC on the implementation of the National Environment Protection (Assessment of Site Contamination) Measure for Western Australia by the Hon. Stephen Dawson MLC, Minister for Environment; Disability Services; Electoral Affairs for the reporting year ended 30 June 2019.</w:t>
      </w:r>
    </w:p>
    <w:p w14:paraId="64BA41C1" w14:textId="77777777" w:rsidR="00EB6564" w:rsidRDefault="00EB6564" w:rsidP="00EB6564">
      <w:pPr>
        <w:pStyle w:val="02HEADING2"/>
      </w:pPr>
      <w:r>
        <w:t>Part 1—Implementation of the NEPM and any significant issues</w:t>
      </w:r>
    </w:p>
    <w:p w14:paraId="587962CD" w14:textId="77777777" w:rsidR="00EB6564" w:rsidRDefault="00EB6564" w:rsidP="00EB6564">
      <w:pPr>
        <w:pStyle w:val="05bDOTPOINTS"/>
      </w:pPr>
      <w:r>
        <w:t>•</w:t>
      </w:r>
      <w:r>
        <w:tab/>
        <w:t>The Department of Water and Environmental Regulation (DWER) is responsible for regulating the assessment of site contamination in Western Australia (WA) under the</w:t>
      </w:r>
      <w:r>
        <w:rPr>
          <w:rStyle w:val="ITALIC"/>
        </w:rPr>
        <w:t xml:space="preserve"> Contaminated Sites Act 2003</w:t>
      </w:r>
      <w:r>
        <w:t xml:space="preserve"> (CS Act) and the </w:t>
      </w:r>
      <w:r>
        <w:rPr>
          <w:rStyle w:val="ITALIC"/>
        </w:rPr>
        <w:t>Contaminated Sites Regulations 2006</w:t>
      </w:r>
      <w:r>
        <w:t xml:space="preserve">. </w:t>
      </w:r>
    </w:p>
    <w:p w14:paraId="43D03C92" w14:textId="77777777" w:rsidR="00EB6564" w:rsidRDefault="00EB6564" w:rsidP="00EB6564">
      <w:pPr>
        <w:pStyle w:val="05bDOTPOINTS"/>
      </w:pPr>
      <w:r>
        <w:t>•</w:t>
      </w:r>
      <w:r>
        <w:tab/>
        <w:t>The NEPM and other relevant technical guidelines are taken into account by DWER in regulating contaminated sites, by contaminated sites auditors when conducting site audits, and by environmental consultants when assessing the risk to human health and the environment from known and suspected contaminated sites.</w:t>
      </w:r>
    </w:p>
    <w:p w14:paraId="26B08EAC" w14:textId="77777777" w:rsidR="00EB6564" w:rsidRDefault="00EB6564" w:rsidP="00EB6564">
      <w:pPr>
        <w:pStyle w:val="05bDOTPOINTS"/>
      </w:pPr>
      <w:r>
        <w:t>•</w:t>
      </w:r>
      <w:r>
        <w:tab/>
        <w:t>During the year ended 30 June 2019, 220 known or suspected contaminated sites were reported to DWER compared with 188 in the previous year. In the same period, DWER received 53 mandatory auditor’s reports related to contaminated sites, and a further 29 voluntary auditor’s reports or addenda. These reports were submitted to comply with conditions imposed under a written law, generally a Ministerial or planning condition, or as part of the investigation or remediation of a contaminated or possibly contaminated site.</w:t>
      </w:r>
    </w:p>
    <w:p w14:paraId="5E5E29F5" w14:textId="77777777" w:rsidR="00EB6564" w:rsidRDefault="00EB6564" w:rsidP="00EB6564">
      <w:pPr>
        <w:pStyle w:val="05bDOTPOINTS"/>
      </w:pPr>
      <w:r>
        <w:t>•</w:t>
      </w:r>
      <w:r>
        <w:tab/>
        <w:t>Compliance with the NEPM and departmental guidelines is assessed in the site classification/ reclassification process under the CS Act. The Department classified 368 sites (including reclassifications) during the year, bringing the total number of classified sites to 4001. As of 30 June 2019, 1096 of these sites were listed on the public contaminated sites database and require remediation or restrictions on the use of the land and/or groundwater to protect public health, the environment and/or environmental values.</w:t>
      </w:r>
    </w:p>
    <w:p w14:paraId="5D7C9529" w14:textId="77777777" w:rsidR="00EB6564" w:rsidRDefault="00EB6564" w:rsidP="00EB6564">
      <w:pPr>
        <w:pStyle w:val="05bDOTPOINTS"/>
      </w:pPr>
      <w:r>
        <w:t>•</w:t>
      </w:r>
      <w:r>
        <w:tab/>
        <w:t xml:space="preserve">Environmental practitioners’ awareness of the amended NEPM requirements has continued to improve in WA and as a result, the assessment reports submitted to DWER generally apply the guidance in an appropriate and consistent manner. </w:t>
      </w:r>
    </w:p>
    <w:p w14:paraId="0F733B16" w14:textId="77777777" w:rsidR="00EB6564" w:rsidRDefault="00EB6564" w:rsidP="00EB6564">
      <w:pPr>
        <w:pStyle w:val="02HEADING2"/>
      </w:pPr>
      <w:r>
        <w:t>Part 2—Assessment of NEPM effectiveness</w:t>
      </w:r>
    </w:p>
    <w:p w14:paraId="52AE71C4" w14:textId="77777777" w:rsidR="00EB6564" w:rsidRDefault="00EB6564" w:rsidP="00EB6564">
      <w:pPr>
        <w:pStyle w:val="05BODYTEXT"/>
      </w:pPr>
      <w:r>
        <w:t xml:space="preserve">DWER regularly liaises with environmental regulators in other jurisdictions to ensure a nationally consistent approach can be developed for any new implementation issues as they arise. </w:t>
      </w:r>
    </w:p>
    <w:p w14:paraId="094F3D94" w14:textId="77777777" w:rsidR="00EB6564" w:rsidRDefault="00EB6564" w:rsidP="00EB6564">
      <w:pPr>
        <w:pStyle w:val="05BODYTEXT"/>
      </w:pPr>
      <w:r>
        <w:t xml:space="preserve">The limited number of Ecological Investigation Levels (EILs) provided in the NEPM is a major limitation identified in consistency in implementation. Although the NEPM provides a detailed methodology in Schedule B5b for developing new EILs, this is rarely done in practice for individual site assessments due to the time and effort required to carry out an appropriately detailed literature search to identify and assess relevant ecotoxicity data. </w:t>
      </w:r>
    </w:p>
    <w:p w14:paraId="3FFA1448" w14:textId="77777777" w:rsidR="00EB6564" w:rsidRDefault="00EB6564" w:rsidP="00EB6564">
      <w:pPr>
        <w:pStyle w:val="05BODYTEXT"/>
      </w:pPr>
      <w:r>
        <w:t xml:space="preserve">To ensure that the NEPM continues to provide authoritative guidance where site contamination has occurred, it is important that the guidance is periodically reviewed in the context of advances in scientific knowledge and updated technical information. </w:t>
      </w:r>
    </w:p>
    <w:p w14:paraId="77E8ECDD" w14:textId="77777777" w:rsidR="00EB6564" w:rsidRDefault="00EB6564" w:rsidP="00EB6564">
      <w:pPr>
        <w:pStyle w:val="05BODYTEXT"/>
      </w:pPr>
      <w:r>
        <w:t xml:space="preserve">The inclusion of relevant supporting material in the NEPM </w:t>
      </w:r>
      <w:proofErr w:type="gramStart"/>
      <w:r>
        <w:t>Tool Box</w:t>
      </w:r>
      <w:proofErr w:type="gramEnd"/>
      <w:r>
        <w:t xml:space="preserve"> assists in promoting a nationally consistent approach to emerging issues. The inclusion of new EILs in the </w:t>
      </w:r>
      <w:proofErr w:type="gramStart"/>
      <w:r>
        <w:t>Tool Box</w:t>
      </w:r>
      <w:proofErr w:type="gramEnd"/>
      <w:r>
        <w:t>, derived using the NEPM methodology by appropriately qualified experts and endorsed by environmental regulators, would be consistent with the purpose and desired environmental outcome of the NEPM.</w:t>
      </w:r>
    </w:p>
    <w:p w14:paraId="3DD3CAE7" w14:textId="77777777" w:rsidR="00EB6564" w:rsidRPr="009408AB" w:rsidRDefault="00EB6564" w:rsidP="00CB0DA6">
      <w:pPr>
        <w:pStyle w:val="Heading2"/>
      </w:pPr>
      <w:bookmarkStart w:id="40" w:name="_Toc58254394"/>
      <w:r w:rsidRPr="009408AB">
        <w:lastRenderedPageBreak/>
        <w:t>South Australia</w:t>
      </w:r>
      <w:bookmarkEnd w:id="40"/>
    </w:p>
    <w:p w14:paraId="011BDA10" w14:textId="77777777" w:rsidR="00EB6564" w:rsidRDefault="00EB6564" w:rsidP="006D4FDC">
      <w:pPr>
        <w:pStyle w:val="05BODYTEXT"/>
        <w:keepNext/>
        <w:spacing w:line="240" w:lineRule="auto"/>
        <w:rPr>
          <w:rStyle w:val="ITALIC"/>
        </w:rPr>
      </w:pPr>
      <w:r>
        <w:rPr>
          <w:rStyle w:val="ITALIC"/>
        </w:rPr>
        <w:t>Report to the NEPC on the implementation of the National Environment Protection (Assessment of Site Contamination) Measure for South Australia by the Hon. David Speirs, Minister for Environment and Water, for the reporting year ended 30 June 2019.</w:t>
      </w:r>
    </w:p>
    <w:p w14:paraId="248938A2" w14:textId="77777777" w:rsidR="00EB6564" w:rsidRDefault="00EB6564" w:rsidP="006D4FDC">
      <w:pPr>
        <w:pStyle w:val="02HEADING2"/>
        <w:spacing w:line="240" w:lineRule="auto"/>
      </w:pPr>
      <w:r>
        <w:t>Part 1—Implementation of the NEPM and any significant issues</w:t>
      </w:r>
    </w:p>
    <w:p w14:paraId="3F4E67C2" w14:textId="77777777" w:rsidR="00EB6564" w:rsidRDefault="00EB6564" w:rsidP="006D4FDC">
      <w:pPr>
        <w:pStyle w:val="05bDOTPOINTS"/>
        <w:keepNext/>
        <w:spacing w:line="240" w:lineRule="auto"/>
      </w:pPr>
      <w:r>
        <w:t>•</w:t>
      </w:r>
      <w:r>
        <w:tab/>
        <w:t xml:space="preserve">The South Australian Environment Protection Authority (EPA) is responsible for administering the implementation of the National Environment Protection (Assessment of Site Contamination) Measure (the ASC NEPM) in South Australia. </w:t>
      </w:r>
    </w:p>
    <w:p w14:paraId="3DEF58B4" w14:textId="77777777" w:rsidR="00EB6564" w:rsidRDefault="00EB6564" w:rsidP="006D4FDC">
      <w:pPr>
        <w:pStyle w:val="05bDOTPOINTS"/>
        <w:keepNext/>
        <w:spacing w:line="240" w:lineRule="auto"/>
      </w:pPr>
      <w:r>
        <w:t>•</w:t>
      </w:r>
      <w:r>
        <w:tab/>
        <w:t xml:space="preserve">Site contamination is regulated by the EPA through a framework established under the </w:t>
      </w:r>
      <w:r>
        <w:rPr>
          <w:rStyle w:val="ITALIC"/>
        </w:rPr>
        <w:t xml:space="preserve">Environment Protection Act 1993 </w:t>
      </w:r>
      <w:r>
        <w:t xml:space="preserve">(the Act). </w:t>
      </w:r>
    </w:p>
    <w:p w14:paraId="222ABDAB" w14:textId="77777777" w:rsidR="00EB6564" w:rsidRDefault="00EB6564" w:rsidP="00EB6564">
      <w:pPr>
        <w:pStyle w:val="05bDOTPOINTS"/>
      </w:pPr>
      <w:r>
        <w:t>•</w:t>
      </w:r>
      <w:r>
        <w:tab/>
        <w:t xml:space="preserve">The ASC NEPM informs the EPA’s established processes of assessment and remediation as well as its risk-based regulatory decision making and actions in relation to site contamination. The purpose and desired environmental outcome and the technical guidance of the ASC NEPM continues to be supported by the EPA through published guidelines and advice. </w:t>
      </w:r>
    </w:p>
    <w:p w14:paraId="5CBB1F83" w14:textId="77777777" w:rsidR="00EB6564" w:rsidRDefault="00EB6564" w:rsidP="00EB6564">
      <w:pPr>
        <w:pStyle w:val="05bDOTPOINTS"/>
      </w:pPr>
      <w:r>
        <w:t>•</w:t>
      </w:r>
      <w:r>
        <w:tab/>
        <w:t>The EPA provides written and verbal guidance and information in respect to site contamination and the ASC NEPM to the community, peak groups, industry, developers, site owners, planning authorities, site contamination consultants and accredited site contamination auditors. Selected guidelines are prescribed under the Act and must be taken into account in the regulation, auditing and assessment of site contamination by relevant persons including site contamination auditors and consultants.</w:t>
      </w:r>
    </w:p>
    <w:p w14:paraId="11B4CEFE" w14:textId="2C72216F" w:rsidR="00EB6564" w:rsidRDefault="00EB6564" w:rsidP="00EB6564">
      <w:pPr>
        <w:pStyle w:val="05bDOTPOINTS"/>
      </w:pPr>
      <w:r>
        <w:t>•</w:t>
      </w:r>
      <w:r>
        <w:tab/>
        <w:t>During the 2018-2019 reporting period, the EPA received 112 notifications of site contamination that affects or threatens underground water. In the same period, the EPA recorded 4</w:t>
      </w:r>
      <w:r w:rsidR="003D62FC">
        <w:t>3</w:t>
      </w:r>
      <w:r>
        <w:t xml:space="preserve"> site contamination audit reports on the Public Register, required to be kept by the EPA under the Act. There are 24 site contamination auditors accredited by the EPA in South Australia. </w:t>
      </w:r>
    </w:p>
    <w:p w14:paraId="6075970D" w14:textId="77777777" w:rsidR="00EB6564" w:rsidRDefault="00EB6564" w:rsidP="00EB6564">
      <w:pPr>
        <w:pStyle w:val="05bDOTPOINTS"/>
      </w:pPr>
      <w:r>
        <w:t>•</w:t>
      </w:r>
      <w:r>
        <w:tab/>
        <w:t>Site contamination advice, guidelines and an index of site contamination information and auditor register are available on the EPA website.</w:t>
      </w:r>
    </w:p>
    <w:p w14:paraId="1A30B115" w14:textId="77777777" w:rsidR="00EB6564" w:rsidRDefault="00EB6564" w:rsidP="00EB6564">
      <w:pPr>
        <w:pStyle w:val="05bDOTPOINTS"/>
      </w:pPr>
      <w:r>
        <w:t>•</w:t>
      </w:r>
      <w:r>
        <w:tab/>
        <w:t>Actions which support the implementation of the ASC NEPM in South Australia during 2018/2019 include the following:</w:t>
      </w:r>
    </w:p>
    <w:p w14:paraId="5906208F" w14:textId="77777777" w:rsidR="00EB6564" w:rsidRDefault="00EB6564" w:rsidP="00EB6564">
      <w:pPr>
        <w:pStyle w:val="05bDOTPOINTS2ndlevel"/>
      </w:pPr>
      <w:r>
        <w:t>–</w:t>
      </w:r>
      <w:r>
        <w:tab/>
        <w:t>The EPA continues to update and revise guidance on the processes for assessment, remediation and auditing of site contamination to support the ASC NEPM.</w:t>
      </w:r>
    </w:p>
    <w:p w14:paraId="5B1BF50D" w14:textId="77777777" w:rsidR="00EB6564" w:rsidRDefault="00EB6564" w:rsidP="00EB6564">
      <w:pPr>
        <w:pStyle w:val="05bDOTPOINTS2ndlevel"/>
      </w:pPr>
      <w:r>
        <w:t>–</w:t>
      </w:r>
      <w:r>
        <w:tab/>
        <w:t xml:space="preserve">Establishment of groundwater prohibition areas to protect the community from exposure to contaminated groundwater. Work on further groundwater prohibition areas continues to be undertaken. </w:t>
      </w:r>
    </w:p>
    <w:p w14:paraId="5A94CB2A" w14:textId="77777777" w:rsidR="00EB6564" w:rsidRDefault="00EB6564" w:rsidP="00EB6564">
      <w:pPr>
        <w:pStyle w:val="05bDOTPOINTS2ndlevel"/>
      </w:pPr>
      <w:r>
        <w:t>–</w:t>
      </w:r>
      <w:r>
        <w:tab/>
        <w:t xml:space="preserve">Implementing orphan site contamination assessment programs to investigate identified risks to public health. </w:t>
      </w:r>
    </w:p>
    <w:p w14:paraId="1942E320" w14:textId="77777777" w:rsidR="00EB6564" w:rsidRDefault="00EB6564" w:rsidP="00EB6564">
      <w:pPr>
        <w:pStyle w:val="05bDOTPOINTS2ndlevel"/>
      </w:pPr>
      <w:r>
        <w:t>–</w:t>
      </w:r>
      <w:r>
        <w:tab/>
        <w:t>Use of the EPA regulatory framework and statutory tools to support consistency and predictability in regulatory decision-making in relation to site contamination.</w:t>
      </w:r>
    </w:p>
    <w:p w14:paraId="36100670" w14:textId="77777777" w:rsidR="00EB6564" w:rsidRDefault="00EB6564" w:rsidP="00EB6564">
      <w:pPr>
        <w:pStyle w:val="05bDOTPOINTS2ndlevel"/>
      </w:pPr>
      <w:r>
        <w:t>–</w:t>
      </w:r>
      <w:r>
        <w:tab/>
        <w:t>Implementation of a policy, which came into effect on 1 August 2019, which requires site contamination reports provided to the EPA to be signed by a certified site contamination practitioner.</w:t>
      </w:r>
    </w:p>
    <w:p w14:paraId="1FD3B8ED" w14:textId="77777777" w:rsidR="00EB6564" w:rsidRDefault="00EB6564" w:rsidP="00EB6564">
      <w:pPr>
        <w:pStyle w:val="05bDOTPOINTS2ndlevel"/>
      </w:pPr>
      <w:r>
        <w:t>–</w:t>
      </w:r>
      <w:r>
        <w:tab/>
        <w:t>Ongoing engagement with local communities impacted by site contamination.</w:t>
      </w:r>
    </w:p>
    <w:p w14:paraId="3B2BA650" w14:textId="77777777" w:rsidR="00EB6564" w:rsidRDefault="00EB6564" w:rsidP="00EB6564">
      <w:pPr>
        <w:pStyle w:val="02HEADING2"/>
      </w:pPr>
      <w:r>
        <w:t>Part 2—Assessment of NEPM effectiveness</w:t>
      </w:r>
    </w:p>
    <w:p w14:paraId="1498165E" w14:textId="77777777" w:rsidR="00EB6564" w:rsidRDefault="00EB6564" w:rsidP="00EB6564">
      <w:pPr>
        <w:pStyle w:val="05bDOTPOINTS"/>
        <w:ind w:left="0" w:firstLine="0"/>
      </w:pPr>
      <w:r>
        <w:t>The EPA continues to strengthen its systems, communications, guidance and tools to support the implementation of the NEPM with consideration of the most current technical advice and best practice. Several important issues which influence the effectiveness of the NEPM in South Australia include the following:</w:t>
      </w:r>
    </w:p>
    <w:p w14:paraId="299EDCAE" w14:textId="77777777" w:rsidR="00EB6564" w:rsidRDefault="00EB6564" w:rsidP="00EB6564">
      <w:pPr>
        <w:pStyle w:val="03HEADING3"/>
      </w:pPr>
      <w:r>
        <w:t xml:space="preserve">Environment Protection Policy </w:t>
      </w:r>
    </w:p>
    <w:p w14:paraId="4E84D275" w14:textId="77777777" w:rsidR="00EB6564" w:rsidRDefault="00EB6564" w:rsidP="00EB6564">
      <w:pPr>
        <w:pStyle w:val="05bDOTPOINTS"/>
        <w:ind w:left="0" w:firstLine="0"/>
      </w:pPr>
      <w:r>
        <w:t>The EPA is progressing the development of an environment protection policy under the Act to give mandatory effect to the ASC NEPM (as amended in 2013).</w:t>
      </w:r>
    </w:p>
    <w:p w14:paraId="588AA4C6" w14:textId="77777777" w:rsidR="00EB6564" w:rsidRDefault="00EB6564" w:rsidP="00EB6564">
      <w:pPr>
        <w:pStyle w:val="03HEADING3"/>
      </w:pPr>
      <w:r>
        <w:t>Development and planning</w:t>
      </w:r>
    </w:p>
    <w:p w14:paraId="59E02AB4" w14:textId="77777777" w:rsidR="00EB6564" w:rsidRDefault="00EB6564" w:rsidP="00EB6564">
      <w:pPr>
        <w:pStyle w:val="05bDOTPOINTS"/>
        <w:ind w:left="0" w:firstLine="0"/>
      </w:pPr>
      <w:r>
        <w:t xml:space="preserve">The planning system has an important role in ensuring risk posed by known or suspected site contamination is considered when land use changes or is otherwise developed. The EPA is collaboratively working with the Department of Planning, Transport and Infrastructure on a site contamination planning framework to properly integrate site contamination as part of the current state-wide planning reform. Proposed policy, referral triggers and draft practice direction on the assessment of site contamination are currently out for consultation. </w:t>
      </w:r>
    </w:p>
    <w:p w14:paraId="07D30F04" w14:textId="77777777" w:rsidR="00EB6564" w:rsidRDefault="00EB6564" w:rsidP="00EB6564">
      <w:pPr>
        <w:pStyle w:val="03HEADING3"/>
      </w:pPr>
      <w:r>
        <w:t>National harmonisation of auditor accreditation</w:t>
      </w:r>
    </w:p>
    <w:p w14:paraId="46F3B4D7" w14:textId="77777777" w:rsidR="00EB6564" w:rsidRDefault="00EB6564" w:rsidP="00EB6564">
      <w:pPr>
        <w:pStyle w:val="05bDOTPOINTS"/>
        <w:ind w:left="0" w:firstLine="0"/>
      </w:pPr>
      <w:r>
        <w:t>The national harmonisation of auditor accreditation requirements, consistent with Schedule B9 of the ASC NEPM, would ensure a consistent technical standard across all jurisdictions and provide benefits to future applicants through improved application processes. The EPA strongly supports the development and implementation of an agreed national approach.</w:t>
      </w:r>
    </w:p>
    <w:p w14:paraId="0E6D7247" w14:textId="77777777" w:rsidR="00EB6564" w:rsidRDefault="00EB6564" w:rsidP="00EB6564">
      <w:pPr>
        <w:pStyle w:val="03HEADING3"/>
      </w:pPr>
      <w:r>
        <w:lastRenderedPageBreak/>
        <w:t>Community and stakeholder engagement</w:t>
      </w:r>
    </w:p>
    <w:p w14:paraId="17C5BCED" w14:textId="56419B48" w:rsidR="00EB6564" w:rsidRDefault="00EB6564" w:rsidP="00EB6564">
      <w:pPr>
        <w:pStyle w:val="05bDOTPOINTS"/>
        <w:ind w:left="0" w:firstLine="0"/>
      </w:pPr>
      <w:r>
        <w:t>The EPA continues to work to deliver open and effective engagement and the exchange of information with local c</w:t>
      </w:r>
      <w:r w:rsidR="00276A45">
        <w:t>o</w:t>
      </w:r>
      <w:r>
        <w:t xml:space="preserve">mmunities affected by site contamination and to ensure that appropriate engagement is planned and implemented by all parties through improved and updated guidance and access to specialist expertise within the EPA. </w:t>
      </w:r>
    </w:p>
    <w:p w14:paraId="17ED8D3E" w14:textId="77777777" w:rsidR="00EB6564" w:rsidRDefault="00EB6564" w:rsidP="00EB6564">
      <w:pPr>
        <w:pStyle w:val="03HEADING3"/>
      </w:pPr>
      <w:r>
        <w:t>Review issues</w:t>
      </w:r>
    </w:p>
    <w:p w14:paraId="0F503F65" w14:textId="77777777" w:rsidR="00EB6564" w:rsidRDefault="00EB6564" w:rsidP="00EB6564">
      <w:pPr>
        <w:pStyle w:val="05bDOTPOINTS"/>
        <w:ind w:left="0" w:firstLine="0"/>
      </w:pPr>
      <w:r>
        <w:t>The emergence of new issues where there may be limited or no specific guidance in the ASC NEPM continues to provide challenges in relation to the assessment of risk to human health and the environment. It is noted the 2019 NEPC Act review has made recommendations in relation to a new framework for designing, implementing and monitoring NEPMs. The recommended amendments to the Act have the potential for ensuring the ASC NEPM remains current national best practice guidance.</w:t>
      </w:r>
    </w:p>
    <w:p w14:paraId="149CBE31" w14:textId="77777777" w:rsidR="00EB6564" w:rsidRDefault="00EB6564" w:rsidP="00EB6564">
      <w:pPr>
        <w:pStyle w:val="05bDOTPOINTS"/>
        <w:spacing w:after="57"/>
        <w:ind w:left="0" w:firstLine="0"/>
      </w:pPr>
      <w:r>
        <w:t>In addition, planning for the currently in-built review of the ASC NEPM is essential to ensure that it continues to:</w:t>
      </w:r>
    </w:p>
    <w:p w14:paraId="5C390FA0" w14:textId="77777777" w:rsidR="00EB6564" w:rsidRDefault="00EB6564" w:rsidP="00EB6564">
      <w:pPr>
        <w:pStyle w:val="05bDOTPOINTS"/>
      </w:pPr>
      <w:r>
        <w:t>•</w:t>
      </w:r>
      <w:r>
        <w:tab/>
        <w:t xml:space="preserve">incorporate new scientific knowledge and updated technical information </w:t>
      </w:r>
    </w:p>
    <w:p w14:paraId="14196550" w14:textId="77777777" w:rsidR="00EB6564" w:rsidRDefault="00EB6564" w:rsidP="00EB6564">
      <w:pPr>
        <w:pStyle w:val="05bDOTPOINTS"/>
      </w:pPr>
      <w:r>
        <w:t>•</w:t>
      </w:r>
      <w:r>
        <w:tab/>
        <w:t>maintain credibility as the premier and authoritative source of technical guidance on health and environmental outcomes related to site contamination in Australia, and</w:t>
      </w:r>
    </w:p>
    <w:p w14:paraId="2D506F07" w14:textId="77777777" w:rsidR="00EB6564" w:rsidRDefault="00EB6564" w:rsidP="00EB6564">
      <w:pPr>
        <w:pStyle w:val="05bDOTPOINTS"/>
      </w:pPr>
      <w:r>
        <w:t>•</w:t>
      </w:r>
      <w:r>
        <w:tab/>
        <w:t>provide increased certainty that human health and the environment are adequately protected.</w:t>
      </w:r>
    </w:p>
    <w:p w14:paraId="01C02588" w14:textId="77777777" w:rsidR="00EB6564" w:rsidRPr="009408AB" w:rsidRDefault="00EB6564" w:rsidP="00CB0DA6">
      <w:pPr>
        <w:pStyle w:val="Heading2"/>
      </w:pPr>
      <w:bookmarkStart w:id="41" w:name="_Toc58254395"/>
      <w:r w:rsidRPr="009408AB">
        <w:t>Tasmania</w:t>
      </w:r>
      <w:bookmarkEnd w:id="41"/>
    </w:p>
    <w:p w14:paraId="436C788B" w14:textId="77777777" w:rsidR="00EB6564" w:rsidRDefault="00EB6564" w:rsidP="00C225B7">
      <w:pPr>
        <w:pStyle w:val="05BODYTEXT"/>
        <w:keepNext/>
        <w:spacing w:line="240" w:lineRule="auto"/>
        <w:rPr>
          <w:rStyle w:val="ITALIC"/>
        </w:rPr>
      </w:pPr>
      <w:r>
        <w:rPr>
          <w:rStyle w:val="ITALIC"/>
        </w:rPr>
        <w:t xml:space="preserve">Report to the NEPC on the implementation of the National Environment Protection (Assessment of Site Contamination) Measure for Tasmania by Hon. Peter </w:t>
      </w:r>
      <w:proofErr w:type="spellStart"/>
      <w:r>
        <w:rPr>
          <w:rStyle w:val="ITALIC"/>
        </w:rPr>
        <w:t>Gutwein</w:t>
      </w:r>
      <w:proofErr w:type="spellEnd"/>
      <w:r>
        <w:rPr>
          <w:rStyle w:val="ITALIC"/>
        </w:rPr>
        <w:t xml:space="preserve"> MP, Minister for Environment, Parks and Heritage for the reporting year ended 30 June 2019.</w:t>
      </w:r>
    </w:p>
    <w:p w14:paraId="335957CC" w14:textId="77777777" w:rsidR="00EB6564" w:rsidRDefault="00EB6564" w:rsidP="00C225B7">
      <w:pPr>
        <w:pStyle w:val="02HEADING2"/>
        <w:spacing w:line="240" w:lineRule="auto"/>
      </w:pPr>
      <w:r>
        <w:t>Part 1—Implementation of the NEPM and any significant issues</w:t>
      </w:r>
    </w:p>
    <w:p w14:paraId="0589FBCA" w14:textId="77777777" w:rsidR="00EB6564" w:rsidRDefault="00EB6564" w:rsidP="00C225B7">
      <w:pPr>
        <w:pStyle w:val="05BODYTEXT"/>
        <w:keepNext/>
        <w:spacing w:line="240" w:lineRule="auto"/>
      </w:pPr>
      <w:r>
        <w:t xml:space="preserve">The National Environment Protection (Assessment of Site Contamination) Measure (NEPM) automatically became Tasmanian state policy under the </w:t>
      </w:r>
      <w:r>
        <w:rPr>
          <w:rStyle w:val="ITALIC"/>
        </w:rPr>
        <w:t>State Policies and Projects Act 1993</w:t>
      </w:r>
      <w:r>
        <w:t>.</w:t>
      </w:r>
    </w:p>
    <w:p w14:paraId="198D1D39" w14:textId="77777777" w:rsidR="00EB6564" w:rsidRDefault="00EB6564" w:rsidP="00EB6564">
      <w:pPr>
        <w:pStyle w:val="05BODYTEXT"/>
      </w:pPr>
      <w:r>
        <w:t>The NEPM is implemented in the following ways:</w:t>
      </w:r>
    </w:p>
    <w:p w14:paraId="55A6C6F5" w14:textId="77777777" w:rsidR="00EB6564" w:rsidRDefault="00EB6564" w:rsidP="00EB6564">
      <w:pPr>
        <w:pStyle w:val="05bDOTPOINTS"/>
      </w:pPr>
      <w:r>
        <w:t>•</w:t>
      </w:r>
      <w:r>
        <w:tab/>
        <w:t xml:space="preserve">Notices issued under the </w:t>
      </w:r>
      <w:r>
        <w:rPr>
          <w:rStyle w:val="ITALIC"/>
        </w:rPr>
        <w:t>Environmental Management and Pollution Control Act 1994</w:t>
      </w:r>
      <w:r>
        <w:t xml:space="preserve"> routinely require NEPM compliant environmental site assessment.</w:t>
      </w:r>
    </w:p>
    <w:p w14:paraId="7A2B8821" w14:textId="77777777" w:rsidR="00EB6564" w:rsidRDefault="00EB6564" w:rsidP="00EB6564">
      <w:pPr>
        <w:pStyle w:val="05bDOTPOINTS"/>
      </w:pPr>
      <w:r>
        <w:t>•</w:t>
      </w:r>
      <w:r>
        <w:tab/>
        <w:t xml:space="preserve">Works required pursuant to the </w:t>
      </w:r>
      <w:r>
        <w:rPr>
          <w:rStyle w:val="ITALIC"/>
        </w:rPr>
        <w:t xml:space="preserve">Environmental Management and Pollution Control (Underground Petroleum Storage Systems) Regulations 2010 </w:t>
      </w:r>
      <w:r>
        <w:t xml:space="preserve">(UPSS Regulations) must comply with the NEPM. </w:t>
      </w:r>
    </w:p>
    <w:p w14:paraId="7312661A" w14:textId="77777777" w:rsidR="00EB6564" w:rsidRDefault="00EB6564" w:rsidP="00EB6564">
      <w:pPr>
        <w:pStyle w:val="05bDOTPOINTS"/>
      </w:pPr>
      <w:r>
        <w:t>•</w:t>
      </w:r>
      <w:r>
        <w:tab/>
        <w:t>Contaminated land issues that are being managed through a collaborative approach adopt the NEPM as the primary guidance document for assessment of contaminated land.</w:t>
      </w:r>
    </w:p>
    <w:p w14:paraId="23E3E710" w14:textId="77777777" w:rsidR="00EB6564" w:rsidRDefault="00EB6564" w:rsidP="00EB6564">
      <w:pPr>
        <w:pStyle w:val="05bDOTPOINTS"/>
      </w:pPr>
      <w:r>
        <w:t>•</w:t>
      </w:r>
      <w:r>
        <w:tab/>
        <w:t>Tasmanian Planning Authorities may require NEPM compliant assessments where land changes to a more sensitive use.</w:t>
      </w:r>
    </w:p>
    <w:p w14:paraId="79240EC6" w14:textId="77777777" w:rsidR="00EB6564" w:rsidRDefault="00EB6564" w:rsidP="00EB6564">
      <w:pPr>
        <w:pStyle w:val="05bDOTPOINTS"/>
      </w:pPr>
      <w:r>
        <w:t>•</w:t>
      </w:r>
      <w:r>
        <w:tab/>
        <w:t>The Potentially Contaminated Land Code applies to planning schemes and will be progressively implemented by Tasmanian Planning Authorities. The Code requires that environmental site assessments submitted to satisfy planning purposes are prepared in accordance with the NEPM.</w:t>
      </w:r>
    </w:p>
    <w:p w14:paraId="7757CA72" w14:textId="77777777" w:rsidR="00EB6564" w:rsidRDefault="00EB6564" w:rsidP="00EB6564">
      <w:pPr>
        <w:pStyle w:val="05bDOTPOINTS"/>
      </w:pPr>
      <w:r>
        <w:t>•</w:t>
      </w:r>
      <w:r>
        <w:tab/>
        <w:t xml:space="preserve">Ensuring contaminated land site assessor’s work is compliant with the NEPM is a key focus in Tasmania. To help improve work quality and outcomes in the assessment and management of site contamination, the Director, EPA now requires that contaminated site assessments are completed by persons certified under an approved accreditation scheme. </w:t>
      </w:r>
    </w:p>
    <w:p w14:paraId="7DFE75D1" w14:textId="77777777" w:rsidR="00EB6564" w:rsidRDefault="00EB6564" w:rsidP="00EB6564">
      <w:pPr>
        <w:pStyle w:val="05bDOTPOINTS"/>
      </w:pPr>
      <w:r>
        <w:t>•</w:t>
      </w:r>
      <w:r>
        <w:tab/>
        <w:t xml:space="preserve">Regulatory effort on site contamination continues to be drawn to the management of pollution associated with service stations. Through the implementation of UPSS Regulations, regulatory focus has shifted towards prevention of pollution arising from UPSS, however management of contaminated sites remains a priority. </w:t>
      </w:r>
    </w:p>
    <w:p w14:paraId="25FABD40" w14:textId="77777777" w:rsidR="00EB6564" w:rsidRDefault="00EB6564" w:rsidP="00EB6564">
      <w:pPr>
        <w:pStyle w:val="02HEADING2"/>
      </w:pPr>
      <w:r>
        <w:t>Part 2—Assessment of NEPM effectiveness</w:t>
      </w:r>
    </w:p>
    <w:p w14:paraId="1F3B1080" w14:textId="77777777" w:rsidR="00EB6564" w:rsidRDefault="00EB6564" w:rsidP="00EB6564">
      <w:pPr>
        <w:pStyle w:val="05BODYTEXT"/>
      </w:pPr>
      <w:r>
        <w:t xml:space="preserve">In Tasmania, the implementation of the NEPM has helped ensure a consistent and authoritative framework for the assessment and management of contaminated sites. </w:t>
      </w:r>
    </w:p>
    <w:p w14:paraId="37F4C695" w14:textId="77777777" w:rsidR="00EB6564" w:rsidRDefault="00EB6564" w:rsidP="00EB6564">
      <w:pPr>
        <w:pStyle w:val="05BODYTEXT"/>
      </w:pPr>
      <w:r>
        <w:t xml:space="preserve">Tasmania supports the continued development of the NEPM including guidance on management of emerging contaminants of concern and ongoing addition and review of soil and groundwater criteria. </w:t>
      </w:r>
    </w:p>
    <w:p w14:paraId="0D082D3F" w14:textId="77777777" w:rsidR="00EB6564" w:rsidRPr="009408AB" w:rsidRDefault="00EB6564" w:rsidP="00CB0DA6">
      <w:pPr>
        <w:pStyle w:val="Heading2"/>
      </w:pPr>
      <w:bookmarkStart w:id="42" w:name="_Toc58254396"/>
      <w:r w:rsidRPr="009408AB">
        <w:lastRenderedPageBreak/>
        <w:t>Australian Capital Territory</w:t>
      </w:r>
      <w:bookmarkEnd w:id="42"/>
      <w:r w:rsidRPr="009408AB">
        <w:t xml:space="preserve"> </w:t>
      </w:r>
    </w:p>
    <w:p w14:paraId="0DBC8C47" w14:textId="77777777" w:rsidR="00EB6564" w:rsidRDefault="00EB6564" w:rsidP="006D4FDC">
      <w:pPr>
        <w:pStyle w:val="05BODYTEXT"/>
        <w:keepNext/>
        <w:keepLines/>
        <w:spacing w:line="240" w:lineRule="auto"/>
        <w:rPr>
          <w:rStyle w:val="ITALIC"/>
        </w:rPr>
      </w:pPr>
      <w:r>
        <w:rPr>
          <w:rStyle w:val="ITALIC"/>
        </w:rPr>
        <w:t>Report to the NEPC on the implementation of the National Environment Protection (Assessment of Site Contamination) Measure for the Australian Capital Territory by Mr Mick Gentleman MLA for the reporting year ended 30 June 2019.</w:t>
      </w:r>
    </w:p>
    <w:p w14:paraId="155E30B9" w14:textId="77777777" w:rsidR="00EB6564" w:rsidRDefault="00EB6564" w:rsidP="006D4FDC">
      <w:pPr>
        <w:pStyle w:val="02HEADING2"/>
        <w:keepLines/>
        <w:spacing w:line="240" w:lineRule="auto"/>
      </w:pPr>
      <w:r>
        <w:t>Part 1—Implementation of the NEPM and any significant issues</w:t>
      </w:r>
    </w:p>
    <w:p w14:paraId="597FF422" w14:textId="77777777" w:rsidR="00EB6564" w:rsidRDefault="00EB6564" w:rsidP="006D4FDC">
      <w:pPr>
        <w:pStyle w:val="05BODYTEXT"/>
        <w:keepNext/>
        <w:keepLines/>
        <w:spacing w:line="240" w:lineRule="auto"/>
      </w:pPr>
      <w:r>
        <w:t>Access Canberra, within the Chief Minister, Treasury and Economic Development Directorate, is responsible for the implementation and administration of the National Environment Protection (Assessment of Site Contamination) Measure (the NEPM). In the ACT the Environment, Planning and Sustainable Development Directorate (EPSDD) is responsible for the development of legislation and policy to ensure the NEPM is appropriately implemented.</w:t>
      </w:r>
    </w:p>
    <w:p w14:paraId="1CC5AEC5" w14:textId="77777777" w:rsidR="00EB6564" w:rsidRDefault="00EB6564" w:rsidP="00EB6564">
      <w:pPr>
        <w:pStyle w:val="05BODYTEXT"/>
      </w:pPr>
      <w:r>
        <w:t xml:space="preserve">The provisions of the NEPM are implemented under the </w:t>
      </w:r>
      <w:r>
        <w:rPr>
          <w:rStyle w:val="ITALIC"/>
        </w:rPr>
        <w:t>Environment Protection Act 1994</w:t>
      </w:r>
      <w:r>
        <w:t xml:space="preserve"> (the Act). The Contaminated Sites Environment Protection Policy (EPP), made under the Act, is the primary policy document for the assessment and management of contaminated land in the ACT. The EPP was updated in December 2017 to reference the amended NEPM as the key resource for assessing contaminated land in the ACT. </w:t>
      </w:r>
    </w:p>
    <w:p w14:paraId="66CE7D0D" w14:textId="77777777" w:rsidR="00EB6564" w:rsidRDefault="00EB6564" w:rsidP="00EB6564">
      <w:pPr>
        <w:pStyle w:val="05BODYTEXT"/>
      </w:pPr>
      <w:r>
        <w:t>All contaminated site assessments undertaken in the ACT must be undertaken in accordance with the NEPM.</w:t>
      </w:r>
    </w:p>
    <w:p w14:paraId="1AA0527D" w14:textId="77777777" w:rsidR="00EB6564" w:rsidRDefault="00EB6564" w:rsidP="00EB6564">
      <w:pPr>
        <w:pStyle w:val="05BODYTEXT"/>
      </w:pPr>
      <w:r>
        <w:t>Contaminated land professionals working in the ACT have not raised any significant issues with respect to their implementation of the NEPM. Consultants and Auditors have, however, commented on the need to extend the scope of the NEPM to include site remediation and management. The ACT Environment Protection Authority (EPA) raised this issue as part of its comments on the review of the NEPC Act.</w:t>
      </w:r>
    </w:p>
    <w:p w14:paraId="13893511" w14:textId="77777777" w:rsidR="00EB6564" w:rsidRDefault="00EB6564" w:rsidP="00EB6564">
      <w:pPr>
        <w:pStyle w:val="02HEADING2"/>
      </w:pPr>
      <w:r>
        <w:t>Part 2—Assessment of NEPM effectiveness</w:t>
      </w:r>
    </w:p>
    <w:p w14:paraId="11C594BC" w14:textId="77777777" w:rsidR="00EB6564" w:rsidRDefault="00EB6564" w:rsidP="00EB6564">
      <w:pPr>
        <w:pStyle w:val="05BODYTEXT"/>
      </w:pPr>
      <w:r>
        <w:t xml:space="preserve">The NEPM continues to be the primary reference tool used by contaminated land practitioners in the ACT and remains an effective means of ensuring a nationally consistent approach to contamination assessment. </w:t>
      </w:r>
    </w:p>
    <w:p w14:paraId="63E7B5AE" w14:textId="77777777" w:rsidR="00EB6564" w:rsidRDefault="00EB6564" w:rsidP="00EB6564">
      <w:pPr>
        <w:pStyle w:val="05BODYTEXT"/>
      </w:pPr>
      <w:r>
        <w:t>Practitioners have expressed the need, however, for legislative or other changes to NEPC processes to allow for the inclusion of criteria for emerging contaminants in the NEPM outside of the formal review process and the inclusion of guidance in relation to site remediation and management in line with the proposed National Remediation Framework.</w:t>
      </w:r>
    </w:p>
    <w:p w14:paraId="4D142D34" w14:textId="77777777" w:rsidR="00EB6564" w:rsidRPr="009408AB" w:rsidRDefault="00EB6564" w:rsidP="00CB0DA6">
      <w:pPr>
        <w:pStyle w:val="Heading2"/>
      </w:pPr>
      <w:bookmarkStart w:id="43" w:name="_Toc58254397"/>
      <w:r w:rsidRPr="009408AB">
        <w:t>Northern Territory</w:t>
      </w:r>
      <w:bookmarkEnd w:id="43"/>
    </w:p>
    <w:p w14:paraId="1A16FEEE" w14:textId="77777777" w:rsidR="00EB6564" w:rsidRDefault="00EB6564" w:rsidP="00EB6564">
      <w:pPr>
        <w:pStyle w:val="05BODYTEXT"/>
        <w:rPr>
          <w:rStyle w:val="ITALIC"/>
        </w:rPr>
      </w:pPr>
      <w:r>
        <w:rPr>
          <w:rStyle w:val="ITALIC"/>
        </w:rPr>
        <w:t>Report to the NEPC on the implementation of the National Environment Protection (Assessment of Site Contamination) Measure for the Northern Territory by the Hon Eva Lawler, Minister for Environment and Natural Resources for the reporting year ended 30 June 2019.</w:t>
      </w:r>
    </w:p>
    <w:p w14:paraId="7F3EBE88" w14:textId="77777777" w:rsidR="00EB6564" w:rsidRDefault="00EB6564" w:rsidP="00EB6564">
      <w:pPr>
        <w:pStyle w:val="02HEADING2"/>
      </w:pPr>
      <w:r>
        <w:t>Part 1—Implementation of the NEPM and any significant issues</w:t>
      </w:r>
    </w:p>
    <w:p w14:paraId="252071F3" w14:textId="77777777" w:rsidR="00EB6564" w:rsidRDefault="00EB6564" w:rsidP="00EB6564">
      <w:pPr>
        <w:pStyle w:val="05bDOTPOINTS"/>
      </w:pPr>
      <w:r>
        <w:t>•</w:t>
      </w:r>
      <w:r>
        <w:tab/>
        <w:t xml:space="preserve">In the reporting period of 1 July 2018 to 30 June 2019 the Northern Territory (NT) has continued to implement the ASC NEPM. </w:t>
      </w:r>
    </w:p>
    <w:p w14:paraId="68C04B92" w14:textId="77777777" w:rsidR="00EB6564" w:rsidRDefault="00EB6564" w:rsidP="00EB6564">
      <w:pPr>
        <w:pStyle w:val="05bDOTPOINTS"/>
      </w:pPr>
      <w:r>
        <w:t>•</w:t>
      </w:r>
      <w:r>
        <w:tab/>
        <w:t>The Northern Territory Environment Protection Authority (NT EPA) has continued to disseminate the Northern Territory Contaminated Land Guideline published in 2017, covering all aspects of the ASC NEPM and its application with the relevant NT legislation. The NT EPA has commenced discussions with relevant industry bodies to assist with furthering the education of consultants involved with contaminated site assessment, the planning process, and those carrying out development within the NT.</w:t>
      </w:r>
    </w:p>
    <w:p w14:paraId="34200724" w14:textId="77777777" w:rsidR="00EB6564" w:rsidRDefault="00EB6564" w:rsidP="00EB6564">
      <w:pPr>
        <w:pStyle w:val="05bDOTPOINTS"/>
      </w:pPr>
      <w:r>
        <w:t>•</w:t>
      </w:r>
      <w:r>
        <w:tab/>
        <w:t xml:space="preserve">The NT Government has committed to a range of reforms to improve the environmental management regulatory framework. As part of the reforms the NT is reviewing its regulatory framework for contaminated land management to identify improvements that will assist to minimise the environmental impacts of contamination in the NT from past, current and future land uses. </w:t>
      </w:r>
    </w:p>
    <w:p w14:paraId="4BBEC785" w14:textId="77777777" w:rsidR="00EB6564" w:rsidRDefault="00EB6564" w:rsidP="00EB6564">
      <w:pPr>
        <w:pStyle w:val="05bDOTPOINTS"/>
      </w:pPr>
      <w:r>
        <w:t>•</w:t>
      </w:r>
      <w:r>
        <w:tab/>
        <w:t xml:space="preserve">Asbestos, per-and poly-fluoro alkyl substances (PFAS) and herbicides and pesticides (including </w:t>
      </w:r>
      <w:proofErr w:type="spellStart"/>
      <w:r>
        <w:t>Mirex</w:t>
      </w:r>
      <w:proofErr w:type="spellEnd"/>
      <w:r>
        <w:t>) continue to be identified as contaminants of concern in the NT.</w:t>
      </w:r>
    </w:p>
    <w:p w14:paraId="70F9122E" w14:textId="77777777" w:rsidR="00EB6564" w:rsidRDefault="00EB6564" w:rsidP="00EB6564">
      <w:pPr>
        <w:pStyle w:val="05bDOTPOINTS"/>
      </w:pPr>
      <w:r>
        <w:t>•</w:t>
      </w:r>
      <w:r>
        <w:tab/>
        <w:t>Asbestos matters are being addressed through the implementation of an NT interagency asbestos committee, including development of an asbestos register which will form part of the contaminated sites register. The inter-agency asbestos committee has developed a new website to act as a “one stop shop” to help inform Territorians how to deal with their asbestos concerns, and which agency would be the lead depending on the specific situation. The NT EPA and the Commonwealth have collaborated on issues such as the ongoing asbestos and PFAS issues identified at RAAF Base Darwin.</w:t>
      </w:r>
    </w:p>
    <w:p w14:paraId="1E3B58E3" w14:textId="77777777" w:rsidR="00EB6564" w:rsidRDefault="00EB6564" w:rsidP="00EB6564">
      <w:pPr>
        <w:pStyle w:val="05bDOTPOINTS"/>
      </w:pPr>
      <w:r>
        <w:t>•</w:t>
      </w:r>
      <w:r>
        <w:tab/>
        <w:t xml:space="preserve">The NT EPA has been actively involved in the investigation, assessment and management of sites that have potentially been impacted by PFAS. The NT EPA participates in a variety of PFAS steering committees and working groups, which allows the NT EPA to be at the forefront of this environmental issue and provide input on a Territory and national scale. </w:t>
      </w:r>
    </w:p>
    <w:p w14:paraId="65CDBEC6" w14:textId="77777777" w:rsidR="00EB6564" w:rsidRDefault="00EB6564" w:rsidP="00EB6564">
      <w:pPr>
        <w:pStyle w:val="05bDOTPOINTS"/>
      </w:pPr>
      <w:r>
        <w:t>•</w:t>
      </w:r>
      <w:r>
        <w:tab/>
        <w:t xml:space="preserve">Screening level and preliminary investigations are ongoing on PFAS prioritised sites across the Territory, to determine the presence or absence of sites impacted with PFAS. Based on the results, further investigations may be required to determine appropriate management measures for these sites. </w:t>
      </w:r>
    </w:p>
    <w:p w14:paraId="211CA89E" w14:textId="77777777" w:rsidR="00EB6564" w:rsidRDefault="00EB6564" w:rsidP="00EB6564">
      <w:pPr>
        <w:pStyle w:val="05bDOTPOINTS"/>
      </w:pPr>
      <w:r>
        <w:lastRenderedPageBreak/>
        <w:t>•</w:t>
      </w:r>
      <w:r>
        <w:tab/>
        <w:t xml:space="preserve">Herbicides and pesticides (including </w:t>
      </w:r>
      <w:proofErr w:type="spellStart"/>
      <w:r>
        <w:t>Mirex</w:t>
      </w:r>
      <w:proofErr w:type="spellEnd"/>
      <w:r>
        <w:t xml:space="preserve"> - defined as a Persistent Organic Pollutant) have been identified as potential contaminants associated with mango orchards, banana plantations and market gardens within the NT. The NT EPA is continuing to provide advice to proponents regarding the NT planning process when they are changing the use of former market gardens to more sensitive uses like residential, to ensure preliminary site investigations are undertaken in accordance with the ASC NEPM.</w:t>
      </w:r>
    </w:p>
    <w:p w14:paraId="637D8472" w14:textId="77777777" w:rsidR="00EB6564" w:rsidRDefault="00EB6564" w:rsidP="00EB6564">
      <w:pPr>
        <w:pStyle w:val="05bDOTPOINTS"/>
      </w:pPr>
      <w:r>
        <w:t>•</w:t>
      </w:r>
      <w:r>
        <w:tab/>
        <w:t>The NT EPA has responded to enquiries regarding historical sites that may pose a risk of contamination, including former wartime defence establishments, and waste disposal locations operating prior to self-governance and the subsequent formation of the NT Government and the local government entities.</w:t>
      </w:r>
    </w:p>
    <w:p w14:paraId="614EFB74" w14:textId="77777777" w:rsidR="00EB6564" w:rsidRDefault="00EB6564" w:rsidP="00EB6564">
      <w:pPr>
        <w:pStyle w:val="05bDOTPOINTS"/>
      </w:pPr>
      <w:r>
        <w:t>•</w:t>
      </w:r>
      <w:r>
        <w:tab/>
        <w:t>A challenge for the NT EPA includes the inappropriate use of the ASC NEPM in illegal dumping matters to justify the illegal dumping of waste.</w:t>
      </w:r>
    </w:p>
    <w:p w14:paraId="2E117C84" w14:textId="77777777" w:rsidR="00EB6564" w:rsidRDefault="00EB6564" w:rsidP="00EB6564">
      <w:pPr>
        <w:pStyle w:val="02HEADING2"/>
      </w:pPr>
      <w:r>
        <w:t>Part 2—Assessment of NEPM effectiveness</w:t>
      </w:r>
    </w:p>
    <w:p w14:paraId="6FE29297" w14:textId="77777777" w:rsidR="00EB6564" w:rsidRDefault="00EB6564" w:rsidP="00EB6564">
      <w:pPr>
        <w:pStyle w:val="05BODYTEXT"/>
      </w:pPr>
      <w:r>
        <w:t xml:space="preserve">The NEPM has allowed for a ‘level playing field’ for site contamination assessment and remediation to be established in the Northern Territory. It continues to help ensure that all parties are aware of their requirements and responsibilities within the site assessment and remediation </w:t>
      </w:r>
      <w:proofErr w:type="gramStart"/>
      <w:r>
        <w:t>process, and</w:t>
      </w:r>
      <w:proofErr w:type="gramEnd"/>
      <w:r>
        <w:t xml:space="preserve"> assists in developing clean-up end points in relation to potential risk to environmental receptors and human health. </w:t>
      </w:r>
    </w:p>
    <w:p w14:paraId="621EA55D" w14:textId="6A5DB68C" w:rsidR="00D14E8A" w:rsidRDefault="00EB6564" w:rsidP="00EB6564">
      <w:pPr>
        <w:pStyle w:val="05BODYTEXT"/>
      </w:pPr>
      <w:r>
        <w:t>Further implementation of the ASC NEPM within the NT is required to ensure that all parties are clearly aware of all requirements outlined within the ASC NPEM. This is being progressed through the continuing development of the strategies mentioned in Part 1 and further interaction and consultation with planning authorities, professional organisations such as the Australian Land and Groundwater Association, and the community.</w:t>
      </w:r>
    </w:p>
    <w:p w14:paraId="2830F686" w14:textId="77777777" w:rsidR="00D14E8A" w:rsidRDefault="00D14E8A">
      <w:pPr>
        <w:rPr>
          <w:rFonts w:ascii="Calibri" w:hAnsi="Calibri" w:cs="Calibri"/>
          <w:color w:val="000000"/>
          <w:sz w:val="16"/>
          <w:szCs w:val="16"/>
        </w:rPr>
      </w:pPr>
      <w:r>
        <w:br w:type="page"/>
      </w:r>
    </w:p>
    <w:p w14:paraId="4CBABA06" w14:textId="77777777" w:rsidR="00EB6564" w:rsidRPr="00430022" w:rsidRDefault="00EB6564" w:rsidP="00430022">
      <w:pPr>
        <w:pStyle w:val="Heading1"/>
      </w:pPr>
      <w:bookmarkStart w:id="44" w:name="_Toc58254398"/>
      <w:r w:rsidRPr="00430022">
        <w:lastRenderedPageBreak/>
        <w:t>Appendix 4: Jurisdictional reports on the implementation and effectiveness of the Diesel Vehicle Emissions National Environment Protection Measure</w:t>
      </w:r>
      <w:bookmarkEnd w:id="44"/>
    </w:p>
    <w:p w14:paraId="327F5ED5" w14:textId="77777777" w:rsidR="00EB6564" w:rsidRPr="009408AB" w:rsidRDefault="00EB6564" w:rsidP="00CB0DA6">
      <w:pPr>
        <w:pStyle w:val="Heading2"/>
      </w:pPr>
      <w:bookmarkStart w:id="45" w:name="_Toc58254399"/>
      <w:r w:rsidRPr="009408AB">
        <w:t>Commonwealth</w:t>
      </w:r>
      <w:bookmarkEnd w:id="45"/>
    </w:p>
    <w:p w14:paraId="5B65E55F" w14:textId="77777777" w:rsidR="00EB6564" w:rsidRDefault="00EB6564" w:rsidP="00EB6564">
      <w:pPr>
        <w:pStyle w:val="05BODYTEXT"/>
        <w:rPr>
          <w:rStyle w:val="ITALIC"/>
        </w:rPr>
      </w:pPr>
      <w:r>
        <w:rPr>
          <w:rStyle w:val="ITALIC"/>
        </w:rPr>
        <w:t xml:space="preserve">Report to the NEPC on the implementation of the National Environment Protection (Diesel Vehicle Emissions) Measure for the Commonwealth by the Hon </w:t>
      </w:r>
      <w:proofErr w:type="spellStart"/>
      <w:r>
        <w:rPr>
          <w:rStyle w:val="ITALIC"/>
        </w:rPr>
        <w:t>Sussan</w:t>
      </w:r>
      <w:proofErr w:type="spellEnd"/>
      <w:r>
        <w:rPr>
          <w:rStyle w:val="ITALIC"/>
        </w:rPr>
        <w:t xml:space="preserve"> Ley MP, Minister for the Environment for the reporting year ended 30 June 2019.</w:t>
      </w:r>
    </w:p>
    <w:p w14:paraId="6F1D5F1A" w14:textId="77777777" w:rsidR="00EB6564" w:rsidRDefault="00EB6564" w:rsidP="00EB6564">
      <w:pPr>
        <w:pStyle w:val="02HEADING2"/>
      </w:pPr>
      <w:r>
        <w:t>Part 1—Implementation of the NEPM and any significant issues</w:t>
      </w:r>
    </w:p>
    <w:p w14:paraId="54D6505F" w14:textId="77777777" w:rsidR="00EB6564" w:rsidRDefault="00EB6564" w:rsidP="00EB6564">
      <w:pPr>
        <w:pStyle w:val="05BODYTEXT"/>
      </w:pPr>
      <w:r>
        <w:t>The National Environment Protection (Diesel Vehicle Emissions) Measure 2001 (Diesel NEPM) aims to reduce exhaust emissions from diesel vehicles, by facilitating compliance with in-service emissions standards for diesel vehicles. It forms part of an integrated suite of national approaches to address emissions from diesel vehicles, including the Australian Design Rules and fuel quality standards, managed by the Commonwealth. The Diesel NEPM targets “in service” vehicles (vehicles in use, after the point of sale), by supporting initiatives implemented by states and territories such as smoky vehicle programs.</w:t>
      </w:r>
    </w:p>
    <w:p w14:paraId="3CD623F4" w14:textId="77777777" w:rsidR="00EB6564" w:rsidRDefault="00EB6564" w:rsidP="00EB6564">
      <w:pPr>
        <w:pStyle w:val="05BODYTEXT"/>
      </w:pPr>
      <w:r>
        <w:t xml:space="preserve">The </w:t>
      </w:r>
      <w:r>
        <w:rPr>
          <w:rStyle w:val="ITALIC"/>
        </w:rPr>
        <w:t>Fuel Quality Standards Act 2000</w:t>
      </w:r>
      <w:r>
        <w:t xml:space="preserve"> (the Act) provides a legislative framework for setting and enforcing national fuel quality and fuel quality information standards in Australia. These standards are an important safeguard for consumers and the environment. </w:t>
      </w:r>
    </w:p>
    <w:p w14:paraId="7E2E2081" w14:textId="77777777" w:rsidR="00EB6564" w:rsidRDefault="00EB6564" w:rsidP="00EB6564">
      <w:pPr>
        <w:pStyle w:val="05BODYTEXT"/>
      </w:pPr>
      <w:r>
        <w:t xml:space="preserve">The objects of the Act are to: </w:t>
      </w:r>
    </w:p>
    <w:p w14:paraId="4AA1DF09" w14:textId="77777777" w:rsidR="00EB6564" w:rsidRDefault="00EB6564" w:rsidP="00EB6564">
      <w:pPr>
        <w:pStyle w:val="05bDOTPOINTS"/>
      </w:pPr>
      <w:r>
        <w:t xml:space="preserve">a) </w:t>
      </w:r>
      <w:r>
        <w:tab/>
        <w:t xml:space="preserve">regulate the quality of fuel supplied in Australia in order to: </w:t>
      </w:r>
    </w:p>
    <w:p w14:paraId="3EF644F2" w14:textId="77777777" w:rsidR="00EB6564" w:rsidRDefault="00EB6564" w:rsidP="00EB6564">
      <w:pPr>
        <w:pStyle w:val="05bDOTPOINTS2ndlevel"/>
      </w:pPr>
      <w:proofErr w:type="spellStart"/>
      <w:r>
        <w:t>i</w:t>
      </w:r>
      <w:proofErr w:type="spellEnd"/>
      <w:r>
        <w:t xml:space="preserve">. </w:t>
      </w:r>
      <w:r>
        <w:tab/>
      </w:r>
      <w:proofErr w:type="gramStart"/>
      <w:r>
        <w:t>reduce</w:t>
      </w:r>
      <w:proofErr w:type="gramEnd"/>
      <w:r>
        <w:t xml:space="preserve"> the level of pollutants and emissions arising from the use of fuel that may cause environmental and health problems; and </w:t>
      </w:r>
    </w:p>
    <w:p w14:paraId="08BFC83E" w14:textId="77777777" w:rsidR="00EB6564" w:rsidRDefault="00EB6564" w:rsidP="00EB6564">
      <w:pPr>
        <w:pStyle w:val="05bDOTPOINTS2ndlevel"/>
      </w:pPr>
      <w:r>
        <w:t xml:space="preserve">ii. </w:t>
      </w:r>
      <w:r>
        <w:tab/>
        <w:t xml:space="preserve">facilitate the adoption of better engine technology and emission control technology; and iii. allow the more effective operation of engines; and </w:t>
      </w:r>
    </w:p>
    <w:p w14:paraId="40719B36" w14:textId="77777777" w:rsidR="00EB6564" w:rsidRDefault="00EB6564" w:rsidP="00EB6564">
      <w:pPr>
        <w:pStyle w:val="05bDOTPOINTS"/>
      </w:pPr>
      <w:r>
        <w:t xml:space="preserve">b) </w:t>
      </w:r>
      <w:r>
        <w:tab/>
        <w:t>ensure that, where appropriate, information about fuel is provided when the fuel is supplied.</w:t>
      </w:r>
    </w:p>
    <w:p w14:paraId="615C324B" w14:textId="77777777" w:rsidR="00EB6564" w:rsidRDefault="00EB6564" w:rsidP="00EB6564">
      <w:pPr>
        <w:pStyle w:val="05BODYTEXT"/>
      </w:pPr>
      <w:r>
        <w:t>In 2018-19, authorised fuel inspectors visited 363 sites and tested 1380 samples for compliance with the Act. The Department of the Environment and Energy identified 20 instances of non-compliance with the Act. The Department engaged with stakeholders following these instances to encourage voluntary compliance with the Act.</w:t>
      </w:r>
    </w:p>
    <w:p w14:paraId="2902529F" w14:textId="77777777" w:rsidR="00EB6564" w:rsidRDefault="00EB6564" w:rsidP="00EB6564">
      <w:pPr>
        <w:pStyle w:val="05BODYTEXT"/>
      </w:pPr>
      <w:r>
        <w:t>In March 2019, the Australian Government made improvements to petrol and diesel fuel quality standards to ensure people have access to better quality fuels and to more closely align with international practice. This is an important step that will provide considerable health and environmental benefits by reducing air pollution and saving billions of dollars in health costs.</w:t>
      </w:r>
    </w:p>
    <w:p w14:paraId="59285C67" w14:textId="77777777" w:rsidR="00EB6564" w:rsidRDefault="00EB6564" w:rsidP="00EB6564">
      <w:pPr>
        <w:pStyle w:val="05BODYTEXT"/>
      </w:pPr>
      <w:r>
        <w:t xml:space="preserve">All nine sun-setting fuel quality standards (petrol, automotive diesel, </w:t>
      </w:r>
      <w:proofErr w:type="spellStart"/>
      <w:r>
        <w:t>autogas</w:t>
      </w:r>
      <w:proofErr w:type="spellEnd"/>
      <w:r>
        <w:t xml:space="preserve"> (LPG), biodiesel, ethanol E85, ethanol and ethanol E85 information standards, regulations and register of prohibited fuel additives guidelines) have been remade and will commence on 1 October 2019.</w:t>
      </w:r>
    </w:p>
    <w:p w14:paraId="7C6DAF8F" w14:textId="77777777" w:rsidR="00EB6564" w:rsidRDefault="00EB6564" w:rsidP="00EB6564">
      <w:pPr>
        <w:pStyle w:val="05BODYTEXT"/>
      </w:pPr>
      <w:r>
        <w:t xml:space="preserve">Petrol quality will be improved by setting a lower pool average for aromatics from 2022 and lowering the </w:t>
      </w:r>
      <w:proofErr w:type="spellStart"/>
      <w:r>
        <w:t>sulfur</w:t>
      </w:r>
      <w:proofErr w:type="spellEnd"/>
      <w:r>
        <w:t xml:space="preserve"> limits from 2027. The 2027 date does not preclude the earlier availability of low </w:t>
      </w:r>
      <w:proofErr w:type="spellStart"/>
      <w:r>
        <w:t>sulfur</w:t>
      </w:r>
      <w:proofErr w:type="spellEnd"/>
      <w:r>
        <w:t xml:space="preserve"> petrol in the market.</w:t>
      </w:r>
    </w:p>
    <w:p w14:paraId="16F5007B" w14:textId="77777777" w:rsidR="00EB6564" w:rsidRDefault="00EB6564" w:rsidP="00EB6564">
      <w:pPr>
        <w:pStyle w:val="02HEADING2"/>
      </w:pPr>
      <w:r>
        <w:t>Part 2—Assessment of NEPM effectiveness</w:t>
      </w:r>
    </w:p>
    <w:p w14:paraId="50202827" w14:textId="77777777" w:rsidR="00EB6564" w:rsidRDefault="00EB6564" w:rsidP="00EB6564">
      <w:pPr>
        <w:pStyle w:val="05BODYTEXT"/>
      </w:pPr>
      <w:r>
        <w:t xml:space="preserve">In April 2018, Australian Environment Ministers endorsed a work plan under the National Clean Air Agreement, which included a review of the need for the Diesel NEPM. In 2018 – 19 the Commonwealth undertook a survey of jurisdictional needs for and activity under these NEPMs. The survey responses indicated that at this stage the NEPM remains useful in providing both guidelines for, and a mechanism for reporting on, in-service diesel emission reduction programs. </w:t>
      </w:r>
    </w:p>
    <w:p w14:paraId="37DFBB52" w14:textId="77777777" w:rsidR="00EB6564" w:rsidRPr="009408AB" w:rsidRDefault="00EB6564" w:rsidP="00CB0DA6">
      <w:pPr>
        <w:pStyle w:val="Heading2"/>
      </w:pPr>
      <w:bookmarkStart w:id="46" w:name="_Toc58254400"/>
      <w:r w:rsidRPr="009408AB">
        <w:lastRenderedPageBreak/>
        <w:t>New South Wales</w:t>
      </w:r>
      <w:bookmarkEnd w:id="46"/>
    </w:p>
    <w:p w14:paraId="1D21FEB3" w14:textId="77777777" w:rsidR="00EB6564" w:rsidRDefault="00EB6564" w:rsidP="00D14E8A">
      <w:pPr>
        <w:pStyle w:val="05BODYTEXT"/>
        <w:keepNext/>
        <w:spacing w:line="240" w:lineRule="auto"/>
        <w:rPr>
          <w:rStyle w:val="ITALIC"/>
        </w:rPr>
      </w:pPr>
      <w:r>
        <w:rPr>
          <w:rStyle w:val="ITALIC"/>
        </w:rPr>
        <w:t>Report to the NEPC on the implementation of the National Environment Protection (Diesel Vehicle Emissions) Measure for New South Wales by the Hon. Matt Kean MP, Minister for Energy and Environment, for the reporting year ended 30 June 2019.</w:t>
      </w:r>
    </w:p>
    <w:p w14:paraId="3C34DE90" w14:textId="77777777" w:rsidR="00EB6564" w:rsidRDefault="00EB6564" w:rsidP="00D14E8A">
      <w:pPr>
        <w:pStyle w:val="02HEADING2"/>
        <w:spacing w:line="240" w:lineRule="auto"/>
      </w:pPr>
      <w:r>
        <w:t>Part 1—Implementation of the NEPM and any significant issues</w:t>
      </w:r>
    </w:p>
    <w:p w14:paraId="534B035E" w14:textId="77777777" w:rsidR="00EB6564" w:rsidRDefault="00EB6564" w:rsidP="00D14E8A">
      <w:pPr>
        <w:pStyle w:val="05BODYTEXT"/>
        <w:keepNext/>
        <w:spacing w:line="240" w:lineRule="auto"/>
      </w:pPr>
      <w:r>
        <w:t xml:space="preserve">In NSW, the </w:t>
      </w:r>
      <w:r>
        <w:rPr>
          <w:rStyle w:val="ITALIC"/>
        </w:rPr>
        <w:t xml:space="preserve">Protection of the Environment Operations Act 1997 </w:t>
      </w:r>
      <w:r>
        <w:t xml:space="preserve">and the </w:t>
      </w:r>
      <w:r>
        <w:rPr>
          <w:rStyle w:val="ITALIC"/>
        </w:rPr>
        <w:t>Protection of the Environment Operations (Clean Air) Regulation 2010</w:t>
      </w:r>
      <w:r>
        <w:t xml:space="preserve"> provide the regulatory framework for action to address emissions from the in-service diesel fleet. </w:t>
      </w:r>
    </w:p>
    <w:p w14:paraId="7FCD0ACE" w14:textId="77777777" w:rsidR="00EB6564" w:rsidRDefault="00EB6564" w:rsidP="00EB6564">
      <w:pPr>
        <w:pStyle w:val="02HEADING2"/>
      </w:pPr>
      <w:r>
        <w:t>Part 2—Assessment of NEPM effectiveness</w:t>
      </w:r>
    </w:p>
    <w:p w14:paraId="782482FC" w14:textId="77777777" w:rsidR="00EB6564" w:rsidRDefault="00EB6564" w:rsidP="00EB6564">
      <w:pPr>
        <w:pStyle w:val="05BODYTEXT"/>
      </w:pPr>
      <w:r>
        <w:t>In NSW, the Environment Protection Authority (EPA) and NSW transport agencies, Roads and Maritime Services and State Transit</w:t>
      </w:r>
      <w:r>
        <w:rPr>
          <w:vertAlign w:val="superscript"/>
        </w:rPr>
        <w:footnoteReference w:id="1"/>
      </w:r>
      <w:r>
        <w:t xml:space="preserve">, continue to collect data on the diesel vehicle fleet and implement a range of NSW Government funded programs to reduce diesel emissions. In 2018-19, NSW continued the Smoky Vehicle Program, implementation of the EPA’s </w:t>
      </w:r>
      <w:r w:rsidRPr="00D14E8A">
        <w:rPr>
          <w:rStyle w:val="Hyperlink"/>
          <w:u w:val="none"/>
        </w:rPr>
        <w:t>Diesel and Marine Emissions Management Strategy</w:t>
      </w:r>
      <w:r>
        <w:t xml:space="preserve">, the RMS Clean Fleet Program, and State Transit’s diesel bus upgrade program. </w:t>
      </w:r>
    </w:p>
    <w:p w14:paraId="2BC1EB05" w14:textId="77777777" w:rsidR="00EB6564" w:rsidRDefault="00EB6564" w:rsidP="00EB6564">
      <w:pPr>
        <w:pStyle w:val="03HEADING3"/>
      </w:pPr>
      <w:r>
        <w:t>NSW diesel fleet profile</w:t>
      </w:r>
    </w:p>
    <w:p w14:paraId="4961E0D4" w14:textId="77777777" w:rsidR="00EB6564" w:rsidRDefault="00EB6564" w:rsidP="00EB6564">
      <w:pPr>
        <w:pStyle w:val="04HEADING4"/>
      </w:pPr>
      <w:r>
        <w:t>Diesel vehicles as a percentage of total NSW vehicle fleet</w:t>
      </w:r>
    </w:p>
    <w:p w14:paraId="4AFAFFD4" w14:textId="77777777" w:rsidR="00EB6564" w:rsidRDefault="00EB6564" w:rsidP="00EB6564">
      <w:pPr>
        <w:pStyle w:val="05BODYTEXT"/>
      </w:pPr>
      <w:r>
        <w:t xml:space="preserve">Roads and Maritime Services registration data show that the proportion of diesel vehicles in the fleet constituted 20.22 per cent of the total NSW fleet </w:t>
      </w:r>
      <w:proofErr w:type="gramStart"/>
      <w:r>
        <w:t>at</w:t>
      </w:r>
      <w:proofErr w:type="gramEnd"/>
      <w:r>
        <w:t xml:space="preserve"> 30 June 2019 (see Table 1 below). This is compared to 19.50 per cent in 2018, 18.14 per cent in 2017. </w:t>
      </w:r>
    </w:p>
    <w:p w14:paraId="1A35478D" w14:textId="77777777" w:rsidR="00EB6564" w:rsidRDefault="00EB6564" w:rsidP="00EB6564">
      <w:pPr>
        <w:pStyle w:val="05BODYTEXT"/>
      </w:pPr>
      <w:r>
        <w:t xml:space="preserve">Roads and Maritime Services registration data indicate that, between June 2018 and June 2019, the number of diesel vehicles registered in NSW increased by 66,209 or 5.18 per cent. Light commercial vehicles increased by 8.34 per cent over the previous </w:t>
      </w:r>
      <w:proofErr w:type="gramStart"/>
      <w:r>
        <w:t>year, and</w:t>
      </w:r>
      <w:proofErr w:type="gramEnd"/>
      <w:r>
        <w:t xml:space="preserve"> constitute the largest sector of the diesel fleet at 39.08 per cent. Off-road passenger vehicles account for 34.7 per cent of the diesel fleet. Together, these categories account for 73.78 per cent of the total diesel fleet in NSW. Table 2 shows changes in diesel vehicles by category between June 2018 and June 2019.</w:t>
      </w:r>
    </w:p>
    <w:p w14:paraId="0906B668" w14:textId="77777777" w:rsidR="00EB6564" w:rsidRDefault="00EB6564" w:rsidP="00EB6564">
      <w:pPr>
        <w:pStyle w:val="06TABLEHEADING"/>
      </w:pPr>
      <w:r>
        <w:t>Table 1: Diesel vehicles by category as a proportion of the total fleet and diesel fleet</w:t>
      </w:r>
    </w:p>
    <w:tbl>
      <w:tblPr>
        <w:tblW w:w="0" w:type="auto"/>
        <w:tblInd w:w="-5" w:type="dxa"/>
        <w:tblLayout w:type="fixed"/>
        <w:tblCellMar>
          <w:left w:w="0" w:type="dxa"/>
          <w:right w:w="0" w:type="dxa"/>
        </w:tblCellMar>
        <w:tblLook w:val="0000" w:firstRow="0" w:lastRow="0" w:firstColumn="0" w:lastColumn="0" w:noHBand="0" w:noVBand="0"/>
      </w:tblPr>
      <w:tblGrid>
        <w:gridCol w:w="1447"/>
        <w:gridCol w:w="662"/>
        <w:gridCol w:w="662"/>
        <w:gridCol w:w="663"/>
        <w:gridCol w:w="662"/>
        <w:gridCol w:w="662"/>
        <w:gridCol w:w="662"/>
        <w:gridCol w:w="662"/>
        <w:gridCol w:w="663"/>
        <w:gridCol w:w="662"/>
      </w:tblGrid>
      <w:tr w:rsidR="00EB6564" w14:paraId="1BEE1F89" w14:textId="77777777">
        <w:trPr>
          <w:trHeight w:val="60"/>
          <w:tblHeader/>
        </w:trPr>
        <w:tc>
          <w:tcPr>
            <w:tcW w:w="1447"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1906083" w14:textId="77777777" w:rsidR="00EB6564" w:rsidRDefault="00EB6564">
            <w:pPr>
              <w:pStyle w:val="06bTABLEHEADERROW"/>
            </w:pPr>
            <w:r>
              <w:t>NSW June 2019</w:t>
            </w:r>
          </w:p>
        </w:tc>
        <w:tc>
          <w:tcPr>
            <w:tcW w:w="5960" w:type="dxa"/>
            <w:gridSpan w:val="9"/>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center"/>
          </w:tcPr>
          <w:p w14:paraId="7AD36C49" w14:textId="77777777" w:rsidR="00EB6564" w:rsidRDefault="00EB6564">
            <w:pPr>
              <w:pStyle w:val="06bTABLEHEADERROW"/>
              <w:jc w:val="center"/>
            </w:pPr>
            <w:r>
              <w:t>Diesel vehicle categories</w:t>
            </w:r>
          </w:p>
        </w:tc>
      </w:tr>
      <w:tr w:rsidR="00EB6564" w14:paraId="674684B4" w14:textId="77777777">
        <w:trPr>
          <w:trHeight w:val="1467"/>
          <w:tblHeader/>
        </w:trPr>
        <w:tc>
          <w:tcPr>
            <w:tcW w:w="1447" w:type="dxa"/>
            <w:vMerge/>
            <w:tcBorders>
              <w:top w:val="single" w:sz="8" w:space="0" w:color="FFFFFF"/>
              <w:left w:val="single" w:sz="4" w:space="0" w:color="FFFFFF"/>
              <w:bottom w:val="single" w:sz="8" w:space="0" w:color="FFFFFF"/>
              <w:right w:val="single" w:sz="4" w:space="0" w:color="FFFFFF"/>
            </w:tcBorders>
          </w:tcPr>
          <w:p w14:paraId="193C9DB8" w14:textId="77777777" w:rsidR="00EB6564" w:rsidRDefault="00EB6564">
            <w:pPr>
              <w:pStyle w:val="NoParagraphStyle"/>
              <w:spacing w:line="240" w:lineRule="auto"/>
              <w:textAlignment w:val="auto"/>
              <w:rPr>
                <w:rFonts w:ascii="Calibri" w:hAnsi="Calibri" w:cs="Calibri"/>
                <w:color w:val="auto"/>
              </w:rPr>
            </w:pPr>
          </w:p>
        </w:tc>
        <w:tc>
          <w:tcPr>
            <w:tcW w:w="66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457B523E" w14:textId="77777777" w:rsidR="00EB6564" w:rsidRDefault="00EB6564">
            <w:pPr>
              <w:pStyle w:val="06bTABLEHEADERROW"/>
              <w:jc w:val="center"/>
            </w:pPr>
            <w:r>
              <w:t xml:space="preserve">Passenger vehicles </w:t>
            </w:r>
          </w:p>
        </w:tc>
        <w:tc>
          <w:tcPr>
            <w:tcW w:w="66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270EE96B" w14:textId="77777777" w:rsidR="00EB6564" w:rsidRDefault="00EB6564">
            <w:pPr>
              <w:pStyle w:val="06bTABLEHEADERROW"/>
              <w:jc w:val="center"/>
            </w:pPr>
            <w:r>
              <w:t xml:space="preserve">Off-road passenger vehicles </w:t>
            </w:r>
          </w:p>
        </w:tc>
        <w:tc>
          <w:tcPr>
            <w:tcW w:w="66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021D7FFF" w14:textId="77777777" w:rsidR="00EB6564" w:rsidRDefault="00EB6564">
            <w:pPr>
              <w:pStyle w:val="06bTABLEHEADERROW"/>
              <w:jc w:val="center"/>
            </w:pPr>
            <w:r>
              <w:t>Light commercial vehicles</w:t>
            </w:r>
          </w:p>
        </w:tc>
        <w:tc>
          <w:tcPr>
            <w:tcW w:w="66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40C4101C" w14:textId="77777777" w:rsidR="00EB6564" w:rsidRDefault="00EB6564">
            <w:pPr>
              <w:pStyle w:val="06bTABLEHEADERROW"/>
              <w:jc w:val="center"/>
            </w:pPr>
            <w:r>
              <w:t xml:space="preserve">Heavy trucks </w:t>
            </w:r>
          </w:p>
        </w:tc>
        <w:tc>
          <w:tcPr>
            <w:tcW w:w="66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3CAADE09" w14:textId="77777777" w:rsidR="00EB6564" w:rsidRDefault="00EB6564">
            <w:pPr>
              <w:pStyle w:val="06bTABLEHEADERROW"/>
              <w:jc w:val="center"/>
            </w:pPr>
            <w:r>
              <w:t xml:space="preserve">Prime movers </w:t>
            </w:r>
          </w:p>
        </w:tc>
        <w:tc>
          <w:tcPr>
            <w:tcW w:w="66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0214E447" w14:textId="77777777" w:rsidR="00EB6564" w:rsidRDefault="00EB6564">
            <w:pPr>
              <w:pStyle w:val="06bTABLEHEADERROW"/>
              <w:jc w:val="center"/>
            </w:pPr>
            <w:r>
              <w:t xml:space="preserve">Small buses </w:t>
            </w:r>
          </w:p>
        </w:tc>
        <w:tc>
          <w:tcPr>
            <w:tcW w:w="66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76862592" w14:textId="77777777" w:rsidR="00EB6564" w:rsidRDefault="00EB6564">
            <w:pPr>
              <w:pStyle w:val="06bTABLEHEADERROW"/>
              <w:jc w:val="center"/>
            </w:pPr>
            <w:r>
              <w:t xml:space="preserve">Buses </w:t>
            </w:r>
          </w:p>
        </w:tc>
        <w:tc>
          <w:tcPr>
            <w:tcW w:w="66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135C5193" w14:textId="77777777" w:rsidR="00EB6564" w:rsidRDefault="00EB6564">
            <w:pPr>
              <w:pStyle w:val="06bTABLEHEADERROW"/>
              <w:jc w:val="center"/>
            </w:pPr>
            <w:r>
              <w:t xml:space="preserve">Other </w:t>
            </w:r>
          </w:p>
        </w:tc>
        <w:tc>
          <w:tcPr>
            <w:tcW w:w="66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57B21E70" w14:textId="77777777" w:rsidR="00EB6564" w:rsidRDefault="00EB6564">
            <w:pPr>
              <w:pStyle w:val="06bTABLEHEADERROW"/>
              <w:jc w:val="center"/>
            </w:pPr>
            <w:r>
              <w:t xml:space="preserve">Total </w:t>
            </w:r>
          </w:p>
        </w:tc>
      </w:tr>
      <w:tr w:rsidR="00EB6564" w14:paraId="47074AF5" w14:textId="77777777">
        <w:trPr>
          <w:trHeight w:val="60"/>
        </w:trPr>
        <w:tc>
          <w:tcPr>
            <w:tcW w:w="144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5DDB50" w14:textId="77777777" w:rsidR="00EB6564" w:rsidRDefault="00EB6564">
            <w:pPr>
              <w:pStyle w:val="06cTABLETEXT"/>
            </w:pPr>
            <w:r>
              <w:t xml:space="preserve">Diesels in total NSW fleet </w:t>
            </w:r>
          </w:p>
        </w:tc>
        <w:tc>
          <w:tcPr>
            <w:tcW w:w="6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6B35173" w14:textId="77777777" w:rsidR="00EB6564" w:rsidRDefault="00EB6564">
            <w:pPr>
              <w:pStyle w:val="06cTABLETEXT"/>
              <w:jc w:val="center"/>
            </w:pPr>
            <w:r>
              <w:t>2.73%</w:t>
            </w:r>
          </w:p>
        </w:tc>
        <w:tc>
          <w:tcPr>
            <w:tcW w:w="6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84863E6" w14:textId="77777777" w:rsidR="00EB6564" w:rsidRDefault="00EB6564">
            <w:pPr>
              <w:pStyle w:val="06cTABLETEXT"/>
              <w:jc w:val="center"/>
            </w:pPr>
            <w:r>
              <w:t>7.02%</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C2D2E17" w14:textId="77777777" w:rsidR="00EB6564" w:rsidRDefault="00EB6564">
            <w:pPr>
              <w:pStyle w:val="06cTABLETEXT"/>
              <w:jc w:val="center"/>
            </w:pPr>
            <w:r>
              <w:t>7.90%</w:t>
            </w:r>
          </w:p>
        </w:tc>
        <w:tc>
          <w:tcPr>
            <w:tcW w:w="6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C4E29C1" w14:textId="77777777" w:rsidR="00EB6564" w:rsidRDefault="00EB6564">
            <w:pPr>
              <w:pStyle w:val="06cTABLETEXT"/>
              <w:jc w:val="center"/>
            </w:pPr>
            <w:r>
              <w:t>1.55%</w:t>
            </w:r>
          </w:p>
        </w:tc>
        <w:tc>
          <w:tcPr>
            <w:tcW w:w="6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DA4C5A1" w14:textId="77777777" w:rsidR="00EB6564" w:rsidRDefault="00EB6564">
            <w:pPr>
              <w:pStyle w:val="06cTABLETEXT"/>
              <w:jc w:val="center"/>
            </w:pPr>
            <w:r>
              <w:t>0.34%</w:t>
            </w:r>
          </w:p>
        </w:tc>
        <w:tc>
          <w:tcPr>
            <w:tcW w:w="6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53E765A" w14:textId="77777777" w:rsidR="00EB6564" w:rsidRDefault="00EB6564">
            <w:pPr>
              <w:pStyle w:val="06cTABLETEXT"/>
              <w:jc w:val="center"/>
            </w:pPr>
            <w:r>
              <w:t>0.16%</w:t>
            </w:r>
          </w:p>
        </w:tc>
        <w:tc>
          <w:tcPr>
            <w:tcW w:w="6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84F0B66" w14:textId="77777777" w:rsidR="00EB6564" w:rsidRDefault="00EB6564">
            <w:pPr>
              <w:pStyle w:val="06cTABLETEXT"/>
              <w:jc w:val="center"/>
            </w:pPr>
            <w:r>
              <w:t>0.20%</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B752472" w14:textId="77777777" w:rsidR="00EB6564" w:rsidRDefault="00EB6564">
            <w:pPr>
              <w:pStyle w:val="06cTABLETEXT"/>
              <w:jc w:val="center"/>
            </w:pPr>
            <w:r>
              <w:t>0.17%</w:t>
            </w:r>
          </w:p>
        </w:tc>
        <w:tc>
          <w:tcPr>
            <w:tcW w:w="6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803DB77" w14:textId="77777777" w:rsidR="00EB6564" w:rsidRDefault="00EB6564">
            <w:pPr>
              <w:pStyle w:val="06cTABLETEXT"/>
              <w:jc w:val="center"/>
            </w:pPr>
            <w:r>
              <w:t>20.22%</w:t>
            </w:r>
          </w:p>
        </w:tc>
      </w:tr>
      <w:tr w:rsidR="00EB6564" w14:paraId="32F60C08" w14:textId="77777777">
        <w:trPr>
          <w:trHeight w:val="60"/>
        </w:trPr>
        <w:tc>
          <w:tcPr>
            <w:tcW w:w="144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D3740A" w14:textId="77777777" w:rsidR="00EB6564" w:rsidRDefault="00EB6564">
            <w:pPr>
              <w:pStyle w:val="06cTABLETEXT"/>
            </w:pPr>
            <w:r>
              <w:t xml:space="preserve">Vehicles by category in diesel fleet </w:t>
            </w:r>
          </w:p>
        </w:tc>
        <w:tc>
          <w:tcPr>
            <w:tcW w:w="6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4179813" w14:textId="77777777" w:rsidR="00EB6564" w:rsidRDefault="00EB6564">
            <w:pPr>
              <w:pStyle w:val="06cTABLETEXT"/>
              <w:jc w:val="center"/>
            </w:pPr>
            <w:r>
              <w:t>13.49%</w:t>
            </w:r>
          </w:p>
        </w:tc>
        <w:tc>
          <w:tcPr>
            <w:tcW w:w="6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831CEDF" w14:textId="77777777" w:rsidR="00EB6564" w:rsidRDefault="00EB6564">
            <w:pPr>
              <w:pStyle w:val="06cTABLETEXT"/>
              <w:jc w:val="center"/>
            </w:pPr>
            <w:r>
              <w:t>34.70%</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9D9FCCD" w14:textId="77777777" w:rsidR="00EB6564" w:rsidRDefault="00EB6564">
            <w:pPr>
              <w:pStyle w:val="06cTABLETEXT"/>
              <w:jc w:val="center"/>
            </w:pPr>
            <w:r>
              <w:t>39.08%</w:t>
            </w:r>
          </w:p>
        </w:tc>
        <w:tc>
          <w:tcPr>
            <w:tcW w:w="6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AC442BA" w14:textId="77777777" w:rsidR="00EB6564" w:rsidRDefault="00EB6564">
            <w:pPr>
              <w:pStyle w:val="06cTABLETEXT"/>
              <w:jc w:val="center"/>
            </w:pPr>
            <w:r>
              <w:t>7.66%</w:t>
            </w:r>
          </w:p>
        </w:tc>
        <w:tc>
          <w:tcPr>
            <w:tcW w:w="6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640B5F6" w14:textId="77777777" w:rsidR="00EB6564" w:rsidRDefault="00EB6564">
            <w:pPr>
              <w:pStyle w:val="06cTABLETEXT"/>
              <w:jc w:val="center"/>
            </w:pPr>
            <w:r>
              <w:t>1.66%</w:t>
            </w:r>
          </w:p>
        </w:tc>
        <w:tc>
          <w:tcPr>
            <w:tcW w:w="6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B91506B" w14:textId="77777777" w:rsidR="00EB6564" w:rsidRDefault="00EB6564">
            <w:pPr>
              <w:pStyle w:val="06cTABLETEXT"/>
              <w:jc w:val="center"/>
            </w:pPr>
            <w:r>
              <w:t>0.77%</w:t>
            </w:r>
          </w:p>
        </w:tc>
        <w:tc>
          <w:tcPr>
            <w:tcW w:w="6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0C6FF9A" w14:textId="77777777" w:rsidR="00EB6564" w:rsidRDefault="00EB6564">
            <w:pPr>
              <w:pStyle w:val="06cTABLETEXT"/>
              <w:jc w:val="center"/>
            </w:pPr>
            <w:r>
              <w:t>1.00%</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D486B8C" w14:textId="77777777" w:rsidR="00EB6564" w:rsidRDefault="00EB6564">
            <w:pPr>
              <w:pStyle w:val="06cTABLETEXT"/>
              <w:jc w:val="center"/>
            </w:pPr>
            <w:r>
              <w:t>0.83%</w:t>
            </w:r>
          </w:p>
        </w:tc>
        <w:tc>
          <w:tcPr>
            <w:tcW w:w="66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E52A0F8" w14:textId="77777777" w:rsidR="00EB6564" w:rsidRDefault="00EB6564">
            <w:pPr>
              <w:pStyle w:val="06cTABLETEXT"/>
              <w:jc w:val="center"/>
            </w:pPr>
            <w:r>
              <w:t>100%</w:t>
            </w:r>
          </w:p>
        </w:tc>
      </w:tr>
    </w:tbl>
    <w:p w14:paraId="22314368" w14:textId="77777777" w:rsidR="00EB6564" w:rsidRDefault="00EB6564" w:rsidP="00EB6564">
      <w:pPr>
        <w:pStyle w:val="07FOOTNOTES"/>
      </w:pPr>
      <w:r>
        <w:t>Source: Roads and Maritime Services registration data (June 2019).</w:t>
      </w:r>
    </w:p>
    <w:p w14:paraId="56F3B696" w14:textId="77777777" w:rsidR="00EB6564" w:rsidRDefault="00EB6564" w:rsidP="00D14E8A">
      <w:pPr>
        <w:pStyle w:val="06TABLEHEADING"/>
        <w:spacing w:line="240" w:lineRule="auto"/>
      </w:pPr>
      <w:r>
        <w:lastRenderedPageBreak/>
        <w:t xml:space="preserve">Table 2: Change in diesel vehicles by category </w:t>
      </w:r>
    </w:p>
    <w:tbl>
      <w:tblPr>
        <w:tblW w:w="0" w:type="auto"/>
        <w:tblInd w:w="-5" w:type="dxa"/>
        <w:tblLayout w:type="fixed"/>
        <w:tblCellMar>
          <w:left w:w="0" w:type="dxa"/>
          <w:right w:w="0" w:type="dxa"/>
        </w:tblCellMar>
        <w:tblLook w:val="0000" w:firstRow="0" w:lastRow="0" w:firstColumn="0" w:lastColumn="0" w:noHBand="0" w:noVBand="0"/>
      </w:tblPr>
      <w:tblGrid>
        <w:gridCol w:w="1060"/>
        <w:gridCol w:w="1059"/>
        <w:gridCol w:w="1060"/>
        <w:gridCol w:w="1059"/>
        <w:gridCol w:w="1060"/>
        <w:gridCol w:w="1059"/>
        <w:gridCol w:w="1060"/>
      </w:tblGrid>
      <w:tr w:rsidR="00EB6564" w14:paraId="3D9FFBE8" w14:textId="77777777">
        <w:trPr>
          <w:trHeight w:val="60"/>
          <w:tblHeader/>
        </w:trPr>
        <w:tc>
          <w:tcPr>
            <w:tcW w:w="1060"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EB06F1C" w14:textId="77777777" w:rsidR="00EB6564" w:rsidRDefault="00EB6564" w:rsidP="00D14E8A">
            <w:pPr>
              <w:pStyle w:val="06bTABLEHEADERROW"/>
              <w:spacing w:line="240" w:lineRule="auto"/>
            </w:pPr>
            <w:r>
              <w:t>Vehicle type</w:t>
            </w:r>
          </w:p>
        </w:tc>
        <w:tc>
          <w:tcPr>
            <w:tcW w:w="2119" w:type="dxa"/>
            <w:gridSpan w:val="2"/>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1A35E1D" w14:textId="77777777" w:rsidR="00EB6564" w:rsidRDefault="00EB6564" w:rsidP="00D14E8A">
            <w:pPr>
              <w:pStyle w:val="06bTABLEHEADERROW"/>
              <w:spacing w:line="240" w:lineRule="auto"/>
              <w:jc w:val="center"/>
            </w:pPr>
            <w:r>
              <w:t>Number of diesel vehicles</w:t>
            </w:r>
          </w:p>
        </w:tc>
        <w:tc>
          <w:tcPr>
            <w:tcW w:w="1059"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35E4950" w14:textId="77777777" w:rsidR="00EB6564" w:rsidRDefault="00EB6564" w:rsidP="00D14E8A">
            <w:pPr>
              <w:pStyle w:val="06bTABLEHEADERROW"/>
              <w:spacing w:line="240" w:lineRule="auto"/>
              <w:jc w:val="center"/>
            </w:pPr>
            <w:r>
              <w:t>Change (number)</w:t>
            </w:r>
          </w:p>
        </w:tc>
        <w:tc>
          <w:tcPr>
            <w:tcW w:w="1060"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32F668B" w14:textId="77777777" w:rsidR="00EB6564" w:rsidRDefault="00EB6564" w:rsidP="00D14E8A">
            <w:pPr>
              <w:pStyle w:val="06bTABLEHEADERROW"/>
              <w:spacing w:line="240" w:lineRule="auto"/>
              <w:jc w:val="center"/>
            </w:pPr>
            <w:r>
              <w:t>Percentage change</w:t>
            </w:r>
          </w:p>
        </w:tc>
        <w:tc>
          <w:tcPr>
            <w:tcW w:w="1059"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C7DAC3A" w14:textId="77777777" w:rsidR="00EB6564" w:rsidRDefault="00EB6564" w:rsidP="00D14E8A">
            <w:pPr>
              <w:pStyle w:val="06bTABLEHEADERROW"/>
              <w:spacing w:line="240" w:lineRule="auto"/>
              <w:jc w:val="center"/>
            </w:pPr>
            <w:r>
              <w:t>Proportion of total decrease</w:t>
            </w:r>
          </w:p>
        </w:tc>
        <w:tc>
          <w:tcPr>
            <w:tcW w:w="1060"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C44FCB8" w14:textId="77777777" w:rsidR="00EB6564" w:rsidRDefault="00EB6564" w:rsidP="00D14E8A">
            <w:pPr>
              <w:pStyle w:val="06bTABLEHEADERROW"/>
              <w:spacing w:line="240" w:lineRule="auto"/>
              <w:jc w:val="center"/>
            </w:pPr>
            <w:r>
              <w:t>Proportion of total increase</w:t>
            </w:r>
          </w:p>
        </w:tc>
      </w:tr>
      <w:tr w:rsidR="00EB6564" w14:paraId="66EB6BDD" w14:textId="77777777">
        <w:trPr>
          <w:trHeight w:val="60"/>
          <w:tblHeader/>
        </w:trPr>
        <w:tc>
          <w:tcPr>
            <w:tcW w:w="1060" w:type="dxa"/>
            <w:vMerge/>
            <w:tcBorders>
              <w:top w:val="single" w:sz="8" w:space="0" w:color="FFFFFF"/>
              <w:left w:val="single" w:sz="4" w:space="0" w:color="FFFFFF"/>
              <w:bottom w:val="single" w:sz="8" w:space="0" w:color="FFFFFF"/>
              <w:right w:val="single" w:sz="4" w:space="0" w:color="FFFFFF"/>
            </w:tcBorders>
          </w:tcPr>
          <w:p w14:paraId="3D8FBDAF" w14:textId="77777777" w:rsidR="00EB6564" w:rsidRDefault="00EB6564" w:rsidP="00D14E8A">
            <w:pPr>
              <w:pStyle w:val="NoParagraphStyle"/>
              <w:keepNext/>
              <w:spacing w:line="240" w:lineRule="auto"/>
              <w:textAlignment w:val="auto"/>
              <w:rPr>
                <w:rFonts w:ascii="Calibri" w:hAnsi="Calibri" w:cs="Calibri"/>
                <w:color w:val="auto"/>
              </w:rPr>
            </w:pPr>
          </w:p>
        </w:tc>
        <w:tc>
          <w:tcPr>
            <w:tcW w:w="1059"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E6CCA93" w14:textId="77777777" w:rsidR="00EB6564" w:rsidRDefault="00EB6564" w:rsidP="00D14E8A">
            <w:pPr>
              <w:pStyle w:val="06bTABLEHEADERROW"/>
              <w:spacing w:line="240" w:lineRule="auto"/>
              <w:jc w:val="center"/>
            </w:pPr>
            <w:r>
              <w:t>Jun-18</w:t>
            </w:r>
          </w:p>
        </w:tc>
        <w:tc>
          <w:tcPr>
            <w:tcW w:w="1060" w:type="dxa"/>
            <w:tcBorders>
              <w:top w:val="single" w:sz="8"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EA447BD" w14:textId="77777777" w:rsidR="00EB6564" w:rsidRDefault="00EB6564" w:rsidP="00D14E8A">
            <w:pPr>
              <w:pStyle w:val="06bTABLEHEADERROW"/>
              <w:spacing w:line="240" w:lineRule="auto"/>
              <w:jc w:val="center"/>
            </w:pPr>
            <w:r>
              <w:t>Jun-19</w:t>
            </w:r>
          </w:p>
        </w:tc>
        <w:tc>
          <w:tcPr>
            <w:tcW w:w="1059" w:type="dxa"/>
            <w:vMerge/>
            <w:tcBorders>
              <w:top w:val="single" w:sz="8" w:space="0" w:color="FFFFFF"/>
              <w:left w:val="single" w:sz="4" w:space="0" w:color="FFFFFF"/>
              <w:bottom w:val="single" w:sz="8" w:space="0" w:color="FFFFFF"/>
              <w:right w:val="single" w:sz="4" w:space="0" w:color="FFFFFF"/>
            </w:tcBorders>
          </w:tcPr>
          <w:p w14:paraId="3F60EB70" w14:textId="77777777" w:rsidR="00EB6564" w:rsidRDefault="00EB6564" w:rsidP="00D14E8A">
            <w:pPr>
              <w:pStyle w:val="NoParagraphStyle"/>
              <w:keepNext/>
              <w:spacing w:line="240" w:lineRule="auto"/>
              <w:textAlignment w:val="auto"/>
              <w:rPr>
                <w:rFonts w:ascii="Calibri" w:hAnsi="Calibri" w:cs="Calibri"/>
                <w:color w:val="auto"/>
              </w:rPr>
            </w:pPr>
          </w:p>
        </w:tc>
        <w:tc>
          <w:tcPr>
            <w:tcW w:w="1060" w:type="dxa"/>
            <w:vMerge/>
            <w:tcBorders>
              <w:top w:val="single" w:sz="8" w:space="0" w:color="FFFFFF"/>
              <w:left w:val="single" w:sz="4" w:space="0" w:color="FFFFFF"/>
              <w:bottom w:val="single" w:sz="8" w:space="0" w:color="FFFFFF"/>
              <w:right w:val="single" w:sz="4" w:space="0" w:color="FFFFFF"/>
            </w:tcBorders>
          </w:tcPr>
          <w:p w14:paraId="0434EFFF" w14:textId="77777777" w:rsidR="00EB6564" w:rsidRDefault="00EB6564" w:rsidP="00D14E8A">
            <w:pPr>
              <w:pStyle w:val="NoParagraphStyle"/>
              <w:keepNext/>
              <w:spacing w:line="240" w:lineRule="auto"/>
              <w:textAlignment w:val="auto"/>
              <w:rPr>
                <w:rFonts w:ascii="Calibri" w:hAnsi="Calibri" w:cs="Calibri"/>
                <w:color w:val="auto"/>
              </w:rPr>
            </w:pPr>
          </w:p>
        </w:tc>
        <w:tc>
          <w:tcPr>
            <w:tcW w:w="1059" w:type="dxa"/>
            <w:vMerge/>
            <w:tcBorders>
              <w:top w:val="single" w:sz="8" w:space="0" w:color="FFFFFF"/>
              <w:left w:val="single" w:sz="4" w:space="0" w:color="FFFFFF"/>
              <w:bottom w:val="single" w:sz="8" w:space="0" w:color="FFFFFF"/>
              <w:right w:val="single" w:sz="4" w:space="0" w:color="FFFFFF"/>
            </w:tcBorders>
          </w:tcPr>
          <w:p w14:paraId="7DE7C7F9" w14:textId="77777777" w:rsidR="00EB6564" w:rsidRDefault="00EB6564" w:rsidP="00D14E8A">
            <w:pPr>
              <w:pStyle w:val="NoParagraphStyle"/>
              <w:keepNext/>
              <w:spacing w:line="240" w:lineRule="auto"/>
              <w:textAlignment w:val="auto"/>
              <w:rPr>
                <w:rFonts w:ascii="Calibri" w:hAnsi="Calibri" w:cs="Calibri"/>
                <w:color w:val="auto"/>
              </w:rPr>
            </w:pPr>
          </w:p>
        </w:tc>
        <w:tc>
          <w:tcPr>
            <w:tcW w:w="1060" w:type="dxa"/>
            <w:vMerge/>
            <w:tcBorders>
              <w:top w:val="single" w:sz="8" w:space="0" w:color="FFFFFF"/>
              <w:left w:val="single" w:sz="4" w:space="0" w:color="FFFFFF"/>
              <w:bottom w:val="single" w:sz="8" w:space="0" w:color="FFFFFF"/>
              <w:right w:val="single" w:sz="4" w:space="0" w:color="FFFFFF"/>
            </w:tcBorders>
          </w:tcPr>
          <w:p w14:paraId="3FEFA075" w14:textId="77777777" w:rsidR="00EB6564" w:rsidRDefault="00EB6564" w:rsidP="00D14E8A">
            <w:pPr>
              <w:pStyle w:val="NoParagraphStyle"/>
              <w:keepNext/>
              <w:spacing w:line="240" w:lineRule="auto"/>
              <w:textAlignment w:val="auto"/>
              <w:rPr>
                <w:rFonts w:ascii="Calibri" w:hAnsi="Calibri" w:cs="Calibri"/>
                <w:color w:val="auto"/>
              </w:rPr>
            </w:pPr>
          </w:p>
        </w:tc>
      </w:tr>
      <w:tr w:rsidR="00EB6564" w14:paraId="1242F554"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95E270" w14:textId="77777777" w:rsidR="00EB6564" w:rsidRDefault="00EB6564" w:rsidP="00D14E8A">
            <w:pPr>
              <w:pStyle w:val="06cTABLETEXT"/>
              <w:keepNext/>
              <w:spacing w:line="240" w:lineRule="auto"/>
            </w:pPr>
            <w:r>
              <w:t>Passenger Vehicles</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1CC4C5" w14:textId="77777777" w:rsidR="00EB6564" w:rsidRDefault="00EB6564" w:rsidP="00D14E8A">
            <w:pPr>
              <w:pStyle w:val="06cTABLETEXT"/>
              <w:keepNext/>
              <w:spacing w:line="240" w:lineRule="auto"/>
              <w:jc w:val="center"/>
            </w:pPr>
            <w:r>
              <w:t>173,911</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7B58A91" w14:textId="77777777" w:rsidR="00EB6564" w:rsidRDefault="00EB6564" w:rsidP="00D14E8A">
            <w:pPr>
              <w:pStyle w:val="06cTABLETEXT"/>
              <w:keepNext/>
              <w:spacing w:line="240" w:lineRule="auto"/>
              <w:jc w:val="center"/>
            </w:pPr>
            <w:r>
              <w:t>181,273</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919DB6" w14:textId="77777777" w:rsidR="00EB6564" w:rsidRDefault="00EB6564" w:rsidP="00D14E8A">
            <w:pPr>
              <w:pStyle w:val="06cTABLETEXT"/>
              <w:keepNext/>
              <w:spacing w:line="240" w:lineRule="auto"/>
              <w:jc w:val="center"/>
            </w:pPr>
            <w:r>
              <w:t>7,362</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5C426F" w14:textId="77777777" w:rsidR="00EB6564" w:rsidRDefault="00EB6564" w:rsidP="00D14E8A">
            <w:pPr>
              <w:pStyle w:val="06cTABLETEXT"/>
              <w:keepNext/>
              <w:spacing w:line="240" w:lineRule="auto"/>
              <w:jc w:val="center"/>
            </w:pPr>
            <w:r>
              <w:t>4.23%</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6D64B5" w14:textId="77777777" w:rsidR="00EB6564" w:rsidRDefault="00EB6564" w:rsidP="00D14E8A">
            <w:pPr>
              <w:pStyle w:val="NoParagraphStyle"/>
              <w:keepNext/>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BD3910" w14:textId="77777777" w:rsidR="00EB6564" w:rsidRDefault="00EB6564" w:rsidP="00D14E8A">
            <w:pPr>
              <w:pStyle w:val="06cTABLETEXT"/>
              <w:keepNext/>
              <w:spacing w:line="240" w:lineRule="auto"/>
              <w:jc w:val="center"/>
            </w:pPr>
            <w:r>
              <w:t>11.12%</w:t>
            </w:r>
          </w:p>
        </w:tc>
      </w:tr>
      <w:tr w:rsidR="00EB6564" w14:paraId="0AE69DA3"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DCA5B2D" w14:textId="77777777" w:rsidR="00EB6564" w:rsidRDefault="00EB6564" w:rsidP="00D14E8A">
            <w:pPr>
              <w:pStyle w:val="06cTABLETEXT"/>
              <w:keepNext/>
              <w:spacing w:line="240" w:lineRule="auto"/>
            </w:pPr>
            <w:r>
              <w:t>Off-Road Passenger Vehicles</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18A803" w14:textId="77777777" w:rsidR="00EB6564" w:rsidRDefault="00EB6564" w:rsidP="00D14E8A">
            <w:pPr>
              <w:pStyle w:val="06cTABLETEXT"/>
              <w:keepNext/>
              <w:spacing w:line="240" w:lineRule="auto"/>
              <w:jc w:val="center"/>
            </w:pPr>
            <w:r>
              <w:t>449,281</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F24CB1" w14:textId="77777777" w:rsidR="00EB6564" w:rsidRDefault="00EB6564" w:rsidP="00D14E8A">
            <w:pPr>
              <w:pStyle w:val="06cTABLETEXT"/>
              <w:keepNext/>
              <w:spacing w:line="240" w:lineRule="auto"/>
              <w:jc w:val="center"/>
            </w:pPr>
            <w:r>
              <w:t>466,232</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574CE5C" w14:textId="77777777" w:rsidR="00EB6564" w:rsidRDefault="00EB6564" w:rsidP="00D14E8A">
            <w:pPr>
              <w:pStyle w:val="06cTABLETEXT"/>
              <w:keepNext/>
              <w:spacing w:line="240" w:lineRule="auto"/>
              <w:jc w:val="center"/>
            </w:pPr>
            <w:r>
              <w:t>16,951</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D1D71C5" w14:textId="77777777" w:rsidR="00EB6564" w:rsidRDefault="00EB6564" w:rsidP="00D14E8A">
            <w:pPr>
              <w:pStyle w:val="06cTABLETEXT"/>
              <w:keepNext/>
              <w:spacing w:line="240" w:lineRule="auto"/>
              <w:jc w:val="center"/>
            </w:pPr>
            <w:r>
              <w:t>3.77%</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A25DF1" w14:textId="77777777" w:rsidR="00EB6564" w:rsidRDefault="00EB6564" w:rsidP="00D14E8A">
            <w:pPr>
              <w:pStyle w:val="NoParagraphStyle"/>
              <w:keepNext/>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8FADC6A" w14:textId="77777777" w:rsidR="00EB6564" w:rsidRDefault="00EB6564" w:rsidP="00D14E8A">
            <w:pPr>
              <w:pStyle w:val="06cTABLETEXT"/>
              <w:keepNext/>
              <w:spacing w:line="240" w:lineRule="auto"/>
              <w:jc w:val="center"/>
            </w:pPr>
            <w:r>
              <w:t>25.60%</w:t>
            </w:r>
          </w:p>
        </w:tc>
      </w:tr>
      <w:tr w:rsidR="00EB6564" w14:paraId="1FD6168D"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3A227F" w14:textId="77777777" w:rsidR="00EB6564" w:rsidRDefault="00EB6564" w:rsidP="00D14E8A">
            <w:pPr>
              <w:pStyle w:val="06cTABLETEXT"/>
              <w:keepNext/>
              <w:spacing w:line="240" w:lineRule="auto"/>
            </w:pPr>
            <w:r>
              <w:t>People movers</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4A4963" w14:textId="77777777" w:rsidR="00EB6564" w:rsidRDefault="00EB6564" w:rsidP="00D14E8A">
            <w:pPr>
              <w:pStyle w:val="06cTABLETEXT"/>
              <w:keepNext/>
              <w:spacing w:line="240" w:lineRule="auto"/>
              <w:jc w:val="center"/>
            </w:pPr>
            <w:r>
              <w:t>10,379</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EE4058" w14:textId="77777777" w:rsidR="00EB6564" w:rsidRDefault="00EB6564" w:rsidP="00D14E8A">
            <w:pPr>
              <w:pStyle w:val="06cTABLETEXT"/>
              <w:keepNext/>
              <w:spacing w:line="240" w:lineRule="auto"/>
              <w:jc w:val="center"/>
            </w:pPr>
            <w:r>
              <w:t>10,834</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2740AB" w14:textId="77777777" w:rsidR="00EB6564" w:rsidRDefault="00EB6564" w:rsidP="00D14E8A">
            <w:pPr>
              <w:pStyle w:val="06cTABLETEXT"/>
              <w:keepNext/>
              <w:spacing w:line="240" w:lineRule="auto"/>
              <w:jc w:val="center"/>
            </w:pPr>
            <w:r>
              <w:t>455</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E8ABA5" w14:textId="77777777" w:rsidR="00EB6564" w:rsidRDefault="00EB6564" w:rsidP="00D14E8A">
            <w:pPr>
              <w:pStyle w:val="06cTABLETEXT"/>
              <w:keepNext/>
              <w:spacing w:line="240" w:lineRule="auto"/>
              <w:jc w:val="center"/>
            </w:pPr>
            <w:r>
              <w:t>4.38%</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0DDCBE" w14:textId="77777777" w:rsidR="00EB6564" w:rsidRDefault="00EB6564" w:rsidP="00D14E8A">
            <w:pPr>
              <w:pStyle w:val="NoParagraphStyle"/>
              <w:keepNext/>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DA2BFA" w14:textId="77777777" w:rsidR="00EB6564" w:rsidRDefault="00EB6564" w:rsidP="00D14E8A">
            <w:pPr>
              <w:pStyle w:val="06cTABLETEXT"/>
              <w:keepNext/>
              <w:spacing w:line="240" w:lineRule="auto"/>
              <w:jc w:val="center"/>
            </w:pPr>
            <w:r>
              <w:t>0.69%</w:t>
            </w:r>
          </w:p>
        </w:tc>
      </w:tr>
      <w:tr w:rsidR="00EB6564" w14:paraId="50738DAE"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32BD518" w14:textId="77777777" w:rsidR="00EB6564" w:rsidRDefault="00EB6564" w:rsidP="00D14E8A">
            <w:pPr>
              <w:pStyle w:val="06cTABLETEXT"/>
              <w:keepNext/>
              <w:spacing w:line="240" w:lineRule="auto"/>
            </w:pPr>
            <w:r>
              <w:t>Small Buses</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39AEA8F" w14:textId="77777777" w:rsidR="00EB6564" w:rsidRDefault="00EB6564" w:rsidP="00D14E8A">
            <w:pPr>
              <w:pStyle w:val="06cTABLETEXT"/>
              <w:keepNext/>
              <w:spacing w:line="240" w:lineRule="auto"/>
              <w:jc w:val="center"/>
            </w:pPr>
            <w:r>
              <w:t>10,241</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255F12" w14:textId="77777777" w:rsidR="00EB6564" w:rsidRDefault="00EB6564" w:rsidP="00D14E8A">
            <w:pPr>
              <w:pStyle w:val="06cTABLETEXT"/>
              <w:keepNext/>
              <w:spacing w:line="240" w:lineRule="auto"/>
              <w:jc w:val="center"/>
            </w:pPr>
            <w:r>
              <w:t>10,412</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BCF767" w14:textId="77777777" w:rsidR="00EB6564" w:rsidRDefault="00EB6564" w:rsidP="00D14E8A">
            <w:pPr>
              <w:pStyle w:val="06cTABLETEXT"/>
              <w:keepNext/>
              <w:spacing w:line="240" w:lineRule="auto"/>
              <w:jc w:val="center"/>
            </w:pPr>
            <w:r>
              <w:t>171</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16BF74B" w14:textId="77777777" w:rsidR="00EB6564" w:rsidRDefault="00EB6564" w:rsidP="00D14E8A">
            <w:pPr>
              <w:pStyle w:val="06cTABLETEXT"/>
              <w:keepNext/>
              <w:spacing w:line="240" w:lineRule="auto"/>
              <w:jc w:val="center"/>
            </w:pPr>
            <w:r>
              <w:t>1.67%</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FAE005" w14:textId="77777777" w:rsidR="00EB6564" w:rsidRDefault="00EB6564" w:rsidP="00D14E8A">
            <w:pPr>
              <w:pStyle w:val="NoParagraphStyle"/>
              <w:keepNext/>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710FB0" w14:textId="77777777" w:rsidR="00EB6564" w:rsidRDefault="00EB6564" w:rsidP="00D14E8A">
            <w:pPr>
              <w:pStyle w:val="06cTABLETEXT"/>
              <w:keepNext/>
              <w:spacing w:line="240" w:lineRule="auto"/>
              <w:jc w:val="center"/>
            </w:pPr>
            <w:r>
              <w:t>0.26%</w:t>
            </w:r>
          </w:p>
        </w:tc>
      </w:tr>
      <w:tr w:rsidR="00EB6564" w14:paraId="63962CA8"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0F35A2" w14:textId="77777777" w:rsidR="00EB6564" w:rsidRDefault="00EB6564" w:rsidP="00D14E8A">
            <w:pPr>
              <w:pStyle w:val="06cTABLETEXT"/>
              <w:keepNext/>
              <w:spacing w:line="240" w:lineRule="auto"/>
            </w:pPr>
            <w:r>
              <w:t>Light Trucks</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E89777E" w14:textId="77777777" w:rsidR="00EB6564" w:rsidRDefault="00EB6564" w:rsidP="00D14E8A">
            <w:pPr>
              <w:pStyle w:val="06cTABLETEXT"/>
              <w:keepNext/>
              <w:spacing w:line="240" w:lineRule="auto"/>
              <w:jc w:val="center"/>
            </w:pPr>
            <w:r>
              <w:t>484,669</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BA0F7E" w14:textId="77777777" w:rsidR="00EB6564" w:rsidRDefault="00EB6564" w:rsidP="00D14E8A">
            <w:pPr>
              <w:pStyle w:val="06cTABLETEXT"/>
              <w:keepNext/>
              <w:spacing w:line="240" w:lineRule="auto"/>
              <w:jc w:val="center"/>
            </w:pPr>
            <w:r>
              <w:t>525,083</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F10BD9" w14:textId="77777777" w:rsidR="00EB6564" w:rsidRDefault="00EB6564" w:rsidP="00D14E8A">
            <w:pPr>
              <w:pStyle w:val="06cTABLETEXT"/>
              <w:keepNext/>
              <w:spacing w:line="240" w:lineRule="auto"/>
              <w:jc w:val="center"/>
            </w:pPr>
            <w:r>
              <w:t>40,414</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604AB7" w14:textId="77777777" w:rsidR="00EB6564" w:rsidRDefault="00EB6564" w:rsidP="00D14E8A">
            <w:pPr>
              <w:pStyle w:val="06cTABLETEXT"/>
              <w:keepNext/>
              <w:spacing w:line="240" w:lineRule="auto"/>
              <w:jc w:val="center"/>
            </w:pPr>
            <w:r>
              <w:t>8.34%</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1F21E0" w14:textId="77777777" w:rsidR="00EB6564" w:rsidRDefault="00EB6564" w:rsidP="00D14E8A">
            <w:pPr>
              <w:pStyle w:val="NoParagraphStyle"/>
              <w:keepNext/>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A636E95" w14:textId="77777777" w:rsidR="00EB6564" w:rsidRDefault="00EB6564" w:rsidP="00D14E8A">
            <w:pPr>
              <w:pStyle w:val="06cTABLETEXT"/>
              <w:keepNext/>
              <w:spacing w:line="240" w:lineRule="auto"/>
              <w:jc w:val="center"/>
            </w:pPr>
            <w:r>
              <w:t>61.04%</w:t>
            </w:r>
          </w:p>
        </w:tc>
      </w:tr>
      <w:tr w:rsidR="00EB6564" w14:paraId="5120C3F1"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33C23C4" w14:textId="77777777" w:rsidR="00EB6564" w:rsidRDefault="00EB6564" w:rsidP="00D14E8A">
            <w:pPr>
              <w:pStyle w:val="06cTABLETEXT"/>
              <w:keepNext/>
              <w:spacing w:line="240" w:lineRule="auto"/>
            </w:pPr>
            <w:r>
              <w:t>Light Plants</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34DDEA" w14:textId="77777777" w:rsidR="00EB6564" w:rsidRDefault="00EB6564" w:rsidP="00D14E8A">
            <w:pPr>
              <w:pStyle w:val="06cTABLETEXT"/>
              <w:keepNext/>
              <w:spacing w:line="240" w:lineRule="auto"/>
              <w:jc w:val="center"/>
            </w:pPr>
            <w:r>
              <w:t>1,362</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3206F7" w14:textId="77777777" w:rsidR="00EB6564" w:rsidRDefault="00EB6564" w:rsidP="00D14E8A">
            <w:pPr>
              <w:pStyle w:val="06cTABLETEXT"/>
              <w:keepNext/>
              <w:spacing w:line="240" w:lineRule="auto"/>
              <w:jc w:val="center"/>
            </w:pPr>
            <w:r>
              <w:t>955</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420AF9" w14:textId="77777777" w:rsidR="00EB6564" w:rsidRDefault="00EB6564" w:rsidP="00D14E8A">
            <w:pPr>
              <w:pStyle w:val="06cTABLETEXT"/>
              <w:keepNext/>
              <w:spacing w:line="240" w:lineRule="auto"/>
              <w:jc w:val="center"/>
            </w:pPr>
            <w:r>
              <w:t>-407</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ABB2C0" w14:textId="77777777" w:rsidR="00EB6564" w:rsidRDefault="00EB6564" w:rsidP="00D14E8A">
            <w:pPr>
              <w:pStyle w:val="06cTABLETEXT"/>
              <w:keepNext/>
              <w:spacing w:line="240" w:lineRule="auto"/>
              <w:jc w:val="center"/>
            </w:pPr>
            <w:r>
              <w:t>-29.88%</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F51D61" w14:textId="77777777" w:rsidR="00EB6564" w:rsidRDefault="00EB6564" w:rsidP="00D14E8A">
            <w:pPr>
              <w:pStyle w:val="06cTABLETEXT"/>
              <w:keepNext/>
              <w:spacing w:line="240" w:lineRule="auto"/>
              <w:jc w:val="center"/>
            </w:pPr>
            <w:r>
              <w:t>-0.61%</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7503D5" w14:textId="77777777" w:rsidR="00EB6564" w:rsidRDefault="00EB6564" w:rsidP="00D14E8A">
            <w:pPr>
              <w:pStyle w:val="NoParagraphStyle"/>
              <w:keepNext/>
              <w:spacing w:line="240" w:lineRule="auto"/>
              <w:textAlignment w:val="auto"/>
              <w:rPr>
                <w:rFonts w:ascii="Calibri" w:hAnsi="Calibri" w:cs="Calibri"/>
                <w:color w:val="auto"/>
              </w:rPr>
            </w:pPr>
          </w:p>
        </w:tc>
      </w:tr>
      <w:tr w:rsidR="00EB6564" w14:paraId="77CFF00D"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109CBEA" w14:textId="77777777" w:rsidR="00EB6564" w:rsidRDefault="00EB6564" w:rsidP="00D14E8A">
            <w:pPr>
              <w:pStyle w:val="06cTABLETEXT"/>
              <w:keepNext/>
              <w:spacing w:line="240" w:lineRule="auto"/>
            </w:pPr>
            <w:r>
              <w:t>Buses</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E0C845" w14:textId="77777777" w:rsidR="00EB6564" w:rsidRDefault="00EB6564" w:rsidP="00D14E8A">
            <w:pPr>
              <w:pStyle w:val="06cTABLETEXT"/>
              <w:keepNext/>
              <w:spacing w:line="240" w:lineRule="auto"/>
              <w:jc w:val="center"/>
            </w:pPr>
            <w:r>
              <w:t>13,276</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6FC713" w14:textId="77777777" w:rsidR="00EB6564" w:rsidRDefault="00EB6564" w:rsidP="00D14E8A">
            <w:pPr>
              <w:pStyle w:val="06cTABLETEXT"/>
              <w:keepNext/>
              <w:spacing w:line="240" w:lineRule="auto"/>
              <w:jc w:val="center"/>
            </w:pPr>
            <w:r>
              <w:t>13,423</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34ECBC" w14:textId="77777777" w:rsidR="00EB6564" w:rsidRDefault="00EB6564" w:rsidP="00D14E8A">
            <w:pPr>
              <w:pStyle w:val="06cTABLETEXT"/>
              <w:keepNext/>
              <w:spacing w:line="240" w:lineRule="auto"/>
              <w:jc w:val="center"/>
            </w:pPr>
            <w:r>
              <w:t>147</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D6AB10D" w14:textId="77777777" w:rsidR="00EB6564" w:rsidRDefault="00EB6564" w:rsidP="00D14E8A">
            <w:pPr>
              <w:pStyle w:val="06cTABLETEXT"/>
              <w:keepNext/>
              <w:spacing w:line="240" w:lineRule="auto"/>
              <w:jc w:val="center"/>
            </w:pPr>
            <w:r>
              <w:t>1.11%</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1727E0" w14:textId="77777777" w:rsidR="00EB6564" w:rsidRDefault="00EB6564" w:rsidP="00D14E8A">
            <w:pPr>
              <w:pStyle w:val="NoParagraphStyle"/>
              <w:keepNext/>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618249" w14:textId="77777777" w:rsidR="00EB6564" w:rsidRDefault="00EB6564" w:rsidP="00D14E8A">
            <w:pPr>
              <w:pStyle w:val="06cTABLETEXT"/>
              <w:keepNext/>
              <w:spacing w:line="240" w:lineRule="auto"/>
              <w:jc w:val="center"/>
            </w:pPr>
            <w:r>
              <w:t>0.22%</w:t>
            </w:r>
          </w:p>
        </w:tc>
      </w:tr>
      <w:tr w:rsidR="00EB6564" w14:paraId="6CAAE221"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F391223" w14:textId="77777777" w:rsidR="00EB6564" w:rsidRDefault="00EB6564" w:rsidP="00D14E8A">
            <w:pPr>
              <w:pStyle w:val="06cTABLETEXT"/>
              <w:keepNext/>
              <w:spacing w:line="240" w:lineRule="auto"/>
            </w:pPr>
            <w:r>
              <w:t>Heavy Trucks</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79CCD0" w14:textId="77777777" w:rsidR="00EB6564" w:rsidRDefault="00EB6564" w:rsidP="00D14E8A">
            <w:pPr>
              <w:pStyle w:val="06cTABLETEXT"/>
              <w:keepNext/>
              <w:spacing w:line="240" w:lineRule="auto"/>
              <w:jc w:val="center"/>
            </w:pPr>
            <w:r>
              <w:t>101,182</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B32A65" w14:textId="77777777" w:rsidR="00EB6564" w:rsidRDefault="00EB6564" w:rsidP="00D14E8A">
            <w:pPr>
              <w:pStyle w:val="06cTABLETEXT"/>
              <w:keepNext/>
              <w:spacing w:line="240" w:lineRule="auto"/>
              <w:jc w:val="center"/>
            </w:pPr>
            <w:r>
              <w:t>102,919</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66E2E92" w14:textId="77777777" w:rsidR="00EB6564" w:rsidRDefault="00EB6564" w:rsidP="00D14E8A">
            <w:pPr>
              <w:pStyle w:val="06cTABLETEXT"/>
              <w:keepNext/>
              <w:spacing w:line="240" w:lineRule="auto"/>
              <w:jc w:val="center"/>
            </w:pPr>
            <w:r>
              <w:t>1,737</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BFD74A0" w14:textId="77777777" w:rsidR="00EB6564" w:rsidRDefault="00EB6564" w:rsidP="00D14E8A">
            <w:pPr>
              <w:pStyle w:val="06cTABLETEXT"/>
              <w:keepNext/>
              <w:spacing w:line="240" w:lineRule="auto"/>
              <w:jc w:val="center"/>
            </w:pPr>
            <w:r>
              <w:t>1.72%</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6FF2F2" w14:textId="77777777" w:rsidR="00EB6564" w:rsidRDefault="00EB6564" w:rsidP="00D14E8A">
            <w:pPr>
              <w:pStyle w:val="NoParagraphStyle"/>
              <w:keepNext/>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C7F912" w14:textId="77777777" w:rsidR="00EB6564" w:rsidRDefault="00EB6564" w:rsidP="00D14E8A">
            <w:pPr>
              <w:pStyle w:val="06cTABLETEXT"/>
              <w:keepNext/>
              <w:spacing w:line="240" w:lineRule="auto"/>
              <w:jc w:val="center"/>
            </w:pPr>
            <w:r>
              <w:t>2.62%</w:t>
            </w:r>
          </w:p>
        </w:tc>
      </w:tr>
      <w:tr w:rsidR="00EB6564" w14:paraId="5CA22BCB"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B20DD6" w14:textId="77777777" w:rsidR="00EB6564" w:rsidRDefault="00EB6564" w:rsidP="00D14E8A">
            <w:pPr>
              <w:pStyle w:val="06cTABLETEXT"/>
              <w:keepNext/>
              <w:spacing w:line="240" w:lineRule="auto"/>
            </w:pPr>
            <w:r>
              <w:t>Prime Movers</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C9C2B4" w14:textId="77777777" w:rsidR="00EB6564" w:rsidRDefault="00EB6564" w:rsidP="00D14E8A">
            <w:pPr>
              <w:pStyle w:val="06cTABLETEXT"/>
              <w:keepNext/>
              <w:spacing w:line="240" w:lineRule="auto"/>
              <w:jc w:val="center"/>
            </w:pPr>
            <w:r>
              <w:t>21,972</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3F45E3" w14:textId="77777777" w:rsidR="00EB6564" w:rsidRDefault="00EB6564" w:rsidP="00D14E8A">
            <w:pPr>
              <w:pStyle w:val="06cTABLETEXT"/>
              <w:keepNext/>
              <w:spacing w:line="240" w:lineRule="auto"/>
              <w:jc w:val="center"/>
            </w:pPr>
            <w:r>
              <w:t>22,277</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68EEC8" w14:textId="77777777" w:rsidR="00EB6564" w:rsidRDefault="00EB6564" w:rsidP="00D14E8A">
            <w:pPr>
              <w:pStyle w:val="06cTABLETEXT"/>
              <w:keepNext/>
              <w:spacing w:line="240" w:lineRule="auto"/>
              <w:jc w:val="center"/>
            </w:pPr>
            <w:r>
              <w:t>305</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9D35EA" w14:textId="77777777" w:rsidR="00EB6564" w:rsidRDefault="00EB6564" w:rsidP="00D14E8A">
            <w:pPr>
              <w:pStyle w:val="06cTABLETEXT"/>
              <w:keepNext/>
              <w:spacing w:line="240" w:lineRule="auto"/>
              <w:jc w:val="center"/>
            </w:pPr>
            <w:r>
              <w:t>1.39%</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A2A21E2" w14:textId="77777777" w:rsidR="00EB6564" w:rsidRDefault="00EB6564" w:rsidP="00D14E8A">
            <w:pPr>
              <w:pStyle w:val="NoParagraphStyle"/>
              <w:keepNext/>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D62A6B4" w14:textId="77777777" w:rsidR="00EB6564" w:rsidRDefault="00EB6564" w:rsidP="00D14E8A">
            <w:pPr>
              <w:pStyle w:val="06cTABLETEXT"/>
              <w:keepNext/>
              <w:spacing w:line="240" w:lineRule="auto"/>
              <w:jc w:val="center"/>
            </w:pPr>
            <w:r>
              <w:t>0.46%</w:t>
            </w:r>
          </w:p>
        </w:tc>
      </w:tr>
      <w:tr w:rsidR="00EB6564" w14:paraId="2059DB8B"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76F3DF" w14:textId="77777777" w:rsidR="00EB6564" w:rsidRDefault="00EB6564" w:rsidP="00D14E8A">
            <w:pPr>
              <w:pStyle w:val="06cTABLETEXT"/>
              <w:keepNext/>
              <w:spacing w:line="240" w:lineRule="auto"/>
            </w:pPr>
            <w:r>
              <w:t>Heavy Plants</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7685C7" w14:textId="77777777" w:rsidR="00EB6564" w:rsidRDefault="00EB6564" w:rsidP="00D14E8A">
            <w:pPr>
              <w:pStyle w:val="06cTABLETEXT"/>
              <w:keepNext/>
              <w:spacing w:line="240" w:lineRule="auto"/>
              <w:jc w:val="center"/>
            </w:pPr>
            <w:r>
              <w:t>3,632</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F72658" w14:textId="77777777" w:rsidR="00EB6564" w:rsidRDefault="00EB6564" w:rsidP="00D14E8A">
            <w:pPr>
              <w:pStyle w:val="06cTABLETEXT"/>
              <w:keepNext/>
              <w:spacing w:line="240" w:lineRule="auto"/>
              <w:jc w:val="center"/>
            </w:pPr>
            <w:r>
              <w:t>3,114</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86CBF7" w14:textId="77777777" w:rsidR="00EB6564" w:rsidRDefault="00EB6564" w:rsidP="00D14E8A">
            <w:pPr>
              <w:pStyle w:val="06cTABLETEXT"/>
              <w:keepNext/>
              <w:spacing w:line="240" w:lineRule="auto"/>
              <w:jc w:val="center"/>
            </w:pPr>
            <w:r>
              <w:t>-518</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4BC64F" w14:textId="77777777" w:rsidR="00EB6564" w:rsidRDefault="00EB6564" w:rsidP="00D14E8A">
            <w:pPr>
              <w:pStyle w:val="06cTABLETEXT"/>
              <w:keepNext/>
              <w:spacing w:line="240" w:lineRule="auto"/>
              <w:jc w:val="center"/>
            </w:pPr>
            <w:r>
              <w:t>-14.26%</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30376AC" w14:textId="77777777" w:rsidR="00EB6564" w:rsidRDefault="00EB6564" w:rsidP="00D14E8A">
            <w:pPr>
              <w:pStyle w:val="06cTABLETEXT"/>
              <w:keepNext/>
              <w:spacing w:line="240" w:lineRule="auto"/>
              <w:jc w:val="center"/>
            </w:pPr>
            <w:r>
              <w:t>-0.78%</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6ECAA9B" w14:textId="77777777" w:rsidR="00EB6564" w:rsidRDefault="00EB6564" w:rsidP="00D14E8A">
            <w:pPr>
              <w:pStyle w:val="NoParagraphStyle"/>
              <w:keepNext/>
              <w:spacing w:line="240" w:lineRule="auto"/>
              <w:textAlignment w:val="auto"/>
              <w:rPr>
                <w:rFonts w:ascii="Calibri" w:hAnsi="Calibri" w:cs="Calibri"/>
                <w:color w:val="auto"/>
              </w:rPr>
            </w:pPr>
          </w:p>
        </w:tc>
      </w:tr>
      <w:tr w:rsidR="00EB6564" w14:paraId="571DF7B2"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48382B" w14:textId="77777777" w:rsidR="00EB6564" w:rsidRDefault="00EB6564" w:rsidP="00D14E8A">
            <w:pPr>
              <w:pStyle w:val="06cTABLETEXT"/>
              <w:keepNext/>
              <w:spacing w:line="240" w:lineRule="auto"/>
            </w:pPr>
            <w:r>
              <w:t>Other</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9F86D7" w14:textId="77777777" w:rsidR="00EB6564" w:rsidRDefault="00EB6564" w:rsidP="00D14E8A">
            <w:pPr>
              <w:pStyle w:val="06cTABLETEXT"/>
              <w:keepNext/>
              <w:spacing w:line="240" w:lineRule="auto"/>
              <w:jc w:val="center"/>
            </w:pPr>
            <w:r>
              <w:t>7,545</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04A8F1" w14:textId="77777777" w:rsidR="00EB6564" w:rsidRDefault="00EB6564" w:rsidP="00D14E8A">
            <w:pPr>
              <w:pStyle w:val="06cTABLETEXT"/>
              <w:keepNext/>
              <w:spacing w:line="240" w:lineRule="auto"/>
              <w:jc w:val="center"/>
            </w:pPr>
            <w:r>
              <w:t>7,137</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3D20049" w14:textId="77777777" w:rsidR="00EB6564" w:rsidRDefault="00EB6564" w:rsidP="00D14E8A">
            <w:pPr>
              <w:pStyle w:val="06cTABLETEXT"/>
              <w:keepNext/>
              <w:spacing w:line="240" w:lineRule="auto"/>
              <w:jc w:val="center"/>
            </w:pPr>
            <w:r>
              <w:t>-408</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61EF72" w14:textId="77777777" w:rsidR="00EB6564" w:rsidRDefault="00EB6564" w:rsidP="00D14E8A">
            <w:pPr>
              <w:pStyle w:val="06cTABLETEXT"/>
              <w:keepNext/>
              <w:spacing w:line="240" w:lineRule="auto"/>
              <w:jc w:val="center"/>
            </w:pPr>
            <w:r>
              <w:t>-5.41%</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2BDD39" w14:textId="77777777" w:rsidR="00EB6564" w:rsidRDefault="00EB6564" w:rsidP="00D14E8A">
            <w:pPr>
              <w:pStyle w:val="06cTABLETEXT"/>
              <w:keepNext/>
              <w:spacing w:line="240" w:lineRule="auto"/>
              <w:jc w:val="center"/>
            </w:pPr>
            <w:r>
              <w:t>-0.62%</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FD2DAB9" w14:textId="77777777" w:rsidR="00EB6564" w:rsidRDefault="00EB6564" w:rsidP="00D14E8A">
            <w:pPr>
              <w:pStyle w:val="NoParagraphStyle"/>
              <w:keepNext/>
              <w:spacing w:line="240" w:lineRule="auto"/>
              <w:textAlignment w:val="auto"/>
              <w:rPr>
                <w:rFonts w:ascii="Calibri" w:hAnsi="Calibri" w:cs="Calibri"/>
                <w:color w:val="auto"/>
              </w:rPr>
            </w:pPr>
          </w:p>
        </w:tc>
      </w:tr>
      <w:tr w:rsidR="00EB6564" w14:paraId="6B904D39"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B457AF" w14:textId="77777777" w:rsidR="00EB6564" w:rsidRDefault="00EB6564" w:rsidP="00D14E8A">
            <w:pPr>
              <w:pStyle w:val="06cTABLETEXT"/>
              <w:keepNext/>
              <w:spacing w:line="240" w:lineRule="auto"/>
            </w:pPr>
            <w:r>
              <w:rPr>
                <w:rStyle w:val="BOLD"/>
              </w:rPr>
              <w:t>Total</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8949D42" w14:textId="77777777" w:rsidR="00EB6564" w:rsidRDefault="00EB6564" w:rsidP="00D14E8A">
            <w:pPr>
              <w:pStyle w:val="06cTABLETEXT"/>
              <w:keepNext/>
              <w:spacing w:line="240" w:lineRule="auto"/>
              <w:jc w:val="center"/>
            </w:pPr>
            <w:r>
              <w:rPr>
                <w:rStyle w:val="BOLD"/>
              </w:rPr>
              <w:t>1,277,450</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61A7CB" w14:textId="77777777" w:rsidR="00EB6564" w:rsidRDefault="00EB6564" w:rsidP="00D14E8A">
            <w:pPr>
              <w:pStyle w:val="06cTABLETEXT"/>
              <w:keepNext/>
              <w:spacing w:line="240" w:lineRule="auto"/>
              <w:jc w:val="center"/>
            </w:pPr>
            <w:r>
              <w:rPr>
                <w:rStyle w:val="BOLD"/>
              </w:rPr>
              <w:t>1,343,659</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6F0724" w14:textId="77777777" w:rsidR="00EB6564" w:rsidRDefault="00EB6564" w:rsidP="00D14E8A">
            <w:pPr>
              <w:pStyle w:val="06cTABLETEXT"/>
              <w:keepNext/>
              <w:spacing w:line="240" w:lineRule="auto"/>
              <w:jc w:val="center"/>
            </w:pPr>
            <w:r>
              <w:rPr>
                <w:rStyle w:val="BOLD"/>
              </w:rPr>
              <w:t>66,209</w:t>
            </w: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F71B53D" w14:textId="77777777" w:rsidR="00EB6564" w:rsidRDefault="00EB6564" w:rsidP="00D14E8A">
            <w:pPr>
              <w:pStyle w:val="06cTABLETEXT"/>
              <w:keepNext/>
              <w:spacing w:line="240" w:lineRule="auto"/>
              <w:jc w:val="center"/>
            </w:pPr>
            <w:r>
              <w:rPr>
                <w:rStyle w:val="BOLD"/>
              </w:rPr>
              <w:t>5.18%</w:t>
            </w:r>
          </w:p>
        </w:tc>
        <w:tc>
          <w:tcPr>
            <w:tcW w:w="105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42B1BD" w14:textId="77777777" w:rsidR="00EB6564" w:rsidRDefault="00EB6564" w:rsidP="00D14E8A">
            <w:pPr>
              <w:pStyle w:val="NoParagraphStyle"/>
              <w:keepNext/>
              <w:spacing w:line="240" w:lineRule="auto"/>
              <w:textAlignment w:val="auto"/>
              <w:rPr>
                <w:rFonts w:ascii="Calibri" w:hAnsi="Calibri" w:cs="Calibri"/>
                <w:color w:val="auto"/>
              </w:rPr>
            </w:pPr>
          </w:p>
        </w:tc>
        <w:tc>
          <w:tcPr>
            <w:tcW w:w="106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A96B90" w14:textId="77777777" w:rsidR="00EB6564" w:rsidRDefault="00EB6564" w:rsidP="00D14E8A">
            <w:pPr>
              <w:pStyle w:val="NoParagraphStyle"/>
              <w:keepNext/>
              <w:spacing w:line="240" w:lineRule="auto"/>
              <w:textAlignment w:val="auto"/>
              <w:rPr>
                <w:rFonts w:ascii="Calibri" w:hAnsi="Calibri" w:cs="Calibri"/>
                <w:color w:val="auto"/>
              </w:rPr>
            </w:pPr>
          </w:p>
        </w:tc>
      </w:tr>
    </w:tbl>
    <w:p w14:paraId="14765577" w14:textId="77777777" w:rsidR="00EB6564" w:rsidRDefault="00EB6564" w:rsidP="00EB6564">
      <w:pPr>
        <w:pStyle w:val="07FOOTNOTES"/>
      </w:pPr>
      <w:r>
        <w:t>Source: Roads and Maritime Services registration data (June 2019).</w:t>
      </w:r>
    </w:p>
    <w:p w14:paraId="0DD09939" w14:textId="77777777" w:rsidR="00EB6564" w:rsidRDefault="00EB6564" w:rsidP="00EB6564">
      <w:pPr>
        <w:pStyle w:val="05BODYTEXT"/>
        <w:rPr>
          <w:rStyle w:val="BOLD"/>
        </w:rPr>
      </w:pPr>
      <w:r>
        <w:rPr>
          <w:rStyle w:val="BOLD"/>
        </w:rPr>
        <w:t>Diesel vehicle emissions estimates</w:t>
      </w:r>
    </w:p>
    <w:p w14:paraId="1692D895" w14:textId="77777777" w:rsidR="00EB6564" w:rsidRDefault="00EB6564" w:rsidP="00EB6564">
      <w:pPr>
        <w:pStyle w:val="05BODYTEXT"/>
      </w:pPr>
      <w:r>
        <w:t xml:space="preserve">Diesel vehicles made up 20.22 per cent of the total NSW fleet as </w:t>
      </w:r>
      <w:proofErr w:type="gramStart"/>
      <w:r>
        <w:t>at</w:t>
      </w:r>
      <w:proofErr w:type="gramEnd"/>
      <w:r>
        <w:t xml:space="preserve"> 30 June 2019, however, they contribute disproportionately to the amount of air pollution produced by on-road mobile sources. </w:t>
      </w:r>
    </w:p>
    <w:p w14:paraId="1A8B7A70" w14:textId="77777777" w:rsidR="00EB6564" w:rsidRDefault="00EB6564" w:rsidP="00EB6564">
      <w:pPr>
        <w:pStyle w:val="05BODYTEXT"/>
      </w:pPr>
      <w:r>
        <w:t>On-road mobile sources contribute approximately 62 per cent NO</w:t>
      </w:r>
      <w:r>
        <w:rPr>
          <w:vertAlign w:val="subscript"/>
        </w:rPr>
        <w:t>x</w:t>
      </w:r>
      <w:r>
        <w:t xml:space="preserve"> and 13 per cent of particle emissions of PM</w:t>
      </w:r>
      <w:r>
        <w:rPr>
          <w:vertAlign w:val="subscript"/>
        </w:rPr>
        <w:t>10</w:t>
      </w:r>
      <w:r>
        <w:t xml:space="preserve"> from all anthropogenic sources in the Sydney</w:t>
      </w:r>
      <w:r>
        <w:rPr>
          <w:vertAlign w:val="superscript"/>
        </w:rPr>
        <w:footnoteReference w:id="2"/>
      </w:r>
      <w:r>
        <w:t xml:space="preserve"> region. </w:t>
      </w:r>
    </w:p>
    <w:p w14:paraId="73E4D7E7" w14:textId="77777777" w:rsidR="00EB6564" w:rsidRDefault="00EB6564" w:rsidP="00EB6564">
      <w:pPr>
        <w:pStyle w:val="05BODYTEXT"/>
      </w:pPr>
      <w:r>
        <w:t>Based on projections from the 2008 Air Emissions Inventory for the NSW Greater Metropolitan Region, diesel vehicles currently contribute approximately 58 per cent of NO</w:t>
      </w:r>
      <w:r>
        <w:rPr>
          <w:vertAlign w:val="subscript"/>
        </w:rPr>
        <w:t>x</w:t>
      </w:r>
      <w:r>
        <w:t xml:space="preserve"> and 87 per cent of exhaust particle emissions (as PM</w:t>
      </w:r>
      <w:r>
        <w:rPr>
          <w:vertAlign w:val="subscript"/>
        </w:rPr>
        <w:t>10</w:t>
      </w:r>
      <w:r>
        <w:t xml:space="preserve">) from all on-road mobile sources in the Sydney region. </w:t>
      </w:r>
    </w:p>
    <w:p w14:paraId="2D3BA21E" w14:textId="77777777" w:rsidR="00EB6564" w:rsidRDefault="00EB6564" w:rsidP="00EB6564">
      <w:pPr>
        <w:pStyle w:val="05BODYTEXT"/>
      </w:pPr>
      <w:r>
        <w:t xml:space="preserve">The NSW total diesel vehicle kilometres travelled are increasing due to both the underlying total fleet vehicle kilometres travelled growth, and a trending increase in the proportion of diesel vehicles in the fleet. </w:t>
      </w:r>
    </w:p>
    <w:p w14:paraId="63C733A2" w14:textId="77777777" w:rsidR="00EB6564" w:rsidRDefault="00EB6564" w:rsidP="00EB6564">
      <w:pPr>
        <w:pStyle w:val="05BODYTEXT"/>
      </w:pPr>
      <w:r>
        <w:t>Except for NO</w:t>
      </w:r>
      <w:r>
        <w:rPr>
          <w:vertAlign w:val="subscript"/>
        </w:rPr>
        <w:t>x</w:t>
      </w:r>
      <w:r>
        <w:t xml:space="preserve"> emissions for the light vehicle fleet, the total per kilometre PM</w:t>
      </w:r>
      <w:r>
        <w:rPr>
          <w:vertAlign w:val="subscript"/>
        </w:rPr>
        <w:t>10</w:t>
      </w:r>
      <w:r>
        <w:t xml:space="preserve"> and NO</w:t>
      </w:r>
      <w:r>
        <w:rPr>
          <w:vertAlign w:val="subscript"/>
        </w:rPr>
        <w:t>x</w:t>
      </w:r>
      <w:r>
        <w:t xml:space="preserve"> exhaust emissions from diesel vehicles are predicted to fall significantly from 2011 to 2021, following the introduction of more stringent vehicle emissions regulations combined with fleet turnover.</w:t>
      </w:r>
    </w:p>
    <w:p w14:paraId="6C14CCC7" w14:textId="77777777" w:rsidR="00EB6564" w:rsidRDefault="00EB6564" w:rsidP="00EB6564">
      <w:pPr>
        <w:pStyle w:val="05bDOTPOINTS"/>
      </w:pPr>
      <w:r>
        <w:t>•</w:t>
      </w:r>
      <w:r>
        <w:tab/>
        <w:t>For both light and heavy-duty diesels, the rate of reduction in PM</w:t>
      </w:r>
      <w:r>
        <w:rPr>
          <w:vertAlign w:val="subscript"/>
        </w:rPr>
        <w:t xml:space="preserve">10 </w:t>
      </w:r>
      <w:r>
        <w:t>emissions is larger than the rate of increase in vehicle kilometres travelled, resulting in decreasing total PM</w:t>
      </w:r>
      <w:r>
        <w:rPr>
          <w:vertAlign w:val="subscript"/>
        </w:rPr>
        <w:t>10</w:t>
      </w:r>
      <w:r>
        <w:t xml:space="preserve"> emissions from the diesel fleet.</w:t>
      </w:r>
    </w:p>
    <w:p w14:paraId="7500E2F4" w14:textId="77777777" w:rsidR="00EB6564" w:rsidRDefault="00EB6564" w:rsidP="00EB6564">
      <w:pPr>
        <w:pStyle w:val="05bDOTPOINTS"/>
      </w:pPr>
      <w:r>
        <w:t>•</w:t>
      </w:r>
      <w:r>
        <w:tab/>
        <w:t>For heavy-duty diesel vehicles, NO</w:t>
      </w:r>
      <w:r>
        <w:rPr>
          <w:vertAlign w:val="subscript"/>
        </w:rPr>
        <w:t>x</w:t>
      </w:r>
      <w:r>
        <w:t xml:space="preserve"> emissions are predicted to decrease from 2011 to 2021, in spite of projected increases in vehicle kilometres travelled. </w:t>
      </w:r>
    </w:p>
    <w:p w14:paraId="3E0FA3CD" w14:textId="77777777" w:rsidR="00EB6564" w:rsidRDefault="00EB6564" w:rsidP="00EB6564">
      <w:pPr>
        <w:pStyle w:val="05bDOTPOINTS"/>
      </w:pPr>
      <w:r>
        <w:lastRenderedPageBreak/>
        <w:t>•</w:t>
      </w:r>
      <w:r>
        <w:tab/>
        <w:t>For light diesel vehicles, a strong increase in the proportion of diesel vehicles is projected, resulting in large increases in both absolute NO</w:t>
      </w:r>
      <w:r>
        <w:rPr>
          <w:vertAlign w:val="subscript"/>
        </w:rPr>
        <w:t>x</w:t>
      </w:r>
      <w:r>
        <w:t xml:space="preserve"> emissions, and the percentage contribution to total vehicle fleet emissions. </w:t>
      </w:r>
    </w:p>
    <w:p w14:paraId="790BBE5E" w14:textId="77777777" w:rsidR="00EB6564" w:rsidRDefault="00EB6564" w:rsidP="00EB6564">
      <w:pPr>
        <w:pStyle w:val="05BODYTEXT"/>
      </w:pPr>
      <w:r>
        <w:t xml:space="preserve">In March 2017, the NSW Government made formal submissions responding to Commonwealth consultations on Australian vehicle emission and fuels quality standards. The NSW submissions supported adopting the latest and most health protective (Euro6/VI) emission standards for light and heavy-duty vehicles, and low </w:t>
      </w:r>
      <w:proofErr w:type="spellStart"/>
      <w:r>
        <w:t>sulfur</w:t>
      </w:r>
      <w:proofErr w:type="spellEnd"/>
      <w:r>
        <w:t xml:space="preserve"> (10ppm) petrol to maximise environmental health benefits. Should this proposal be adopted, significant emission reductions will result for diesel vehicles into the future.</w:t>
      </w:r>
    </w:p>
    <w:p w14:paraId="5293269D" w14:textId="77777777" w:rsidR="00EB6564" w:rsidRDefault="00EB6564" w:rsidP="00EB6564">
      <w:pPr>
        <w:pStyle w:val="03HEADING3"/>
      </w:pPr>
      <w:r>
        <w:t>Smoky vehicles program</w:t>
      </w:r>
    </w:p>
    <w:p w14:paraId="723D48A6" w14:textId="77777777" w:rsidR="00EB6564" w:rsidRDefault="00EB6564" w:rsidP="00EB6564">
      <w:pPr>
        <w:pStyle w:val="05BODYTEXT"/>
      </w:pPr>
      <w:r>
        <w:t xml:space="preserve">In NSW, it is an offence for a vehicle to emit excessive air impurities for a continuous period of more than ten seconds. Penalty notices may be issued to the registered owners of vehicles emitting excessive air impurities. The public can also report smoky vehicles via the EPA’s Environment Line website or mobile phone application. An average of 117 smoky vehicle reports are received each month from the public (over 1,400 public reports over the year), indicating a high level of awareness in the community of the unacceptability of excessive visible emissions. </w:t>
      </w:r>
    </w:p>
    <w:p w14:paraId="3418EC8F" w14:textId="77777777" w:rsidR="00EB6564" w:rsidRDefault="00EB6564" w:rsidP="00EB6564">
      <w:pPr>
        <w:pStyle w:val="05BODYTEXT"/>
      </w:pPr>
      <w:r>
        <w:t>In 2018-19, the EPA issued 835 advisory letters based on public reports, of which 623 advisory letters were to diesel vehicle owners.</w:t>
      </w:r>
    </w:p>
    <w:p w14:paraId="3B38054A" w14:textId="77777777" w:rsidR="00EB6564" w:rsidRDefault="00EB6564" w:rsidP="00EB6564">
      <w:pPr>
        <w:pStyle w:val="05BODYTEXT"/>
      </w:pPr>
      <w:r>
        <w:t>Additionally, 35 defective vehicle notices were issued in 2018-19 of which 30 were diesel vehicles. A Defective Vehicle Notice requires the vehicle owner to carry out any necessary repairs so that the vehicle no longer emits excessive smoke and to provide evidence to the EPA that those repairs were carried out. Failure to provide evidence that the vehicle is no longer emitting excessive smoke may result in the vehicle registration being suspended.</w:t>
      </w:r>
    </w:p>
    <w:p w14:paraId="12D1EE4B" w14:textId="77777777" w:rsidR="00EB6564" w:rsidRDefault="00EB6564" w:rsidP="00EB6564">
      <w:pPr>
        <w:pStyle w:val="03HEADING3"/>
      </w:pPr>
      <w:r>
        <w:t>Annual statistics for smoky diesel vehicles</w:t>
      </w:r>
    </w:p>
    <w:p w14:paraId="1AAF62AE" w14:textId="77777777" w:rsidR="00EB6564" w:rsidRDefault="00EB6564" w:rsidP="00EB6564">
      <w:pPr>
        <w:pStyle w:val="05BODYTEXT"/>
      </w:pPr>
      <w:r>
        <w:t>Table 3 shows a breakdown of the percentage of diesel vehicle owners that received fines, advisory or warning letters as a proportion of all vehicles fined.</w:t>
      </w:r>
    </w:p>
    <w:p w14:paraId="55695FDD" w14:textId="77777777" w:rsidR="00EB6564" w:rsidRDefault="00EB6564" w:rsidP="00EB6564">
      <w:pPr>
        <w:pStyle w:val="05BODYTEXT"/>
      </w:pPr>
      <w:r>
        <w:t>There has been a trending reduction in the number of diesel vehicles that received fines over recent years, as the EPA has received significantly fewer reports from Roads and Maritime Services (RMS) of vehicles emitting excessive smoke in Sydney’s M5 East Tunnel. The RMS Smoky Vehicle Enforcement Project, which previously operated in the M5 East Tunnel, concluded in 2017-18.</w:t>
      </w:r>
    </w:p>
    <w:p w14:paraId="468F7308" w14:textId="77777777" w:rsidR="00EB6564" w:rsidRDefault="00EB6564" w:rsidP="00EB6564">
      <w:pPr>
        <w:pStyle w:val="06TABLEHEADING"/>
      </w:pPr>
      <w:r>
        <w:t>Table 3: Smoky vehicles - actions taken</w:t>
      </w:r>
    </w:p>
    <w:tbl>
      <w:tblPr>
        <w:tblW w:w="0" w:type="auto"/>
        <w:tblInd w:w="-5" w:type="dxa"/>
        <w:tblLayout w:type="fixed"/>
        <w:tblCellMar>
          <w:left w:w="0" w:type="dxa"/>
          <w:right w:w="0" w:type="dxa"/>
        </w:tblCellMar>
        <w:tblLook w:val="0000" w:firstRow="0" w:lastRow="0" w:firstColumn="0" w:lastColumn="0" w:noHBand="0" w:noVBand="0"/>
      </w:tblPr>
      <w:tblGrid>
        <w:gridCol w:w="1797"/>
        <w:gridCol w:w="511"/>
        <w:gridCol w:w="511"/>
        <w:gridCol w:w="511"/>
        <w:gridCol w:w="511"/>
        <w:gridCol w:w="511"/>
        <w:gridCol w:w="510"/>
        <w:gridCol w:w="511"/>
        <w:gridCol w:w="511"/>
        <w:gridCol w:w="511"/>
        <w:gridCol w:w="511"/>
        <w:gridCol w:w="511"/>
      </w:tblGrid>
      <w:tr w:rsidR="00EB6564" w14:paraId="33D48AE9" w14:textId="77777777">
        <w:trPr>
          <w:trHeight w:val="1392"/>
          <w:tblHeader/>
        </w:trPr>
        <w:tc>
          <w:tcPr>
            <w:tcW w:w="179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bottom"/>
          </w:tcPr>
          <w:p w14:paraId="083CDA45" w14:textId="77777777" w:rsidR="00EB6564" w:rsidRDefault="00EB6564">
            <w:pPr>
              <w:pStyle w:val="NoParagraphStyle"/>
              <w:spacing w:line="240" w:lineRule="auto"/>
              <w:textAlignment w:val="auto"/>
              <w:rPr>
                <w:rFonts w:ascii="Calibri" w:hAnsi="Calibri" w:cs="Calibri"/>
                <w:color w:val="auto"/>
              </w:rPr>
            </w:pPr>
          </w:p>
        </w:tc>
        <w:tc>
          <w:tcPr>
            <w:tcW w:w="51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218E2CCF" w14:textId="77777777" w:rsidR="00EB6564" w:rsidRDefault="00EB6564">
            <w:pPr>
              <w:pStyle w:val="06bTABLEHEADERROW"/>
            </w:pPr>
            <w:r>
              <w:t>July 08 – June 09</w:t>
            </w:r>
          </w:p>
        </w:tc>
        <w:tc>
          <w:tcPr>
            <w:tcW w:w="51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6659CD53" w14:textId="77777777" w:rsidR="00EB6564" w:rsidRDefault="00EB6564">
            <w:pPr>
              <w:pStyle w:val="06bTABLEHEADERROW"/>
            </w:pPr>
            <w:r>
              <w:t>July 09 – June 10</w:t>
            </w:r>
          </w:p>
        </w:tc>
        <w:tc>
          <w:tcPr>
            <w:tcW w:w="51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1E26D7F9" w14:textId="77777777" w:rsidR="00EB6564" w:rsidRDefault="00EB6564">
            <w:pPr>
              <w:pStyle w:val="06bTABLEHEADERROW"/>
            </w:pPr>
            <w:r>
              <w:t>July 10 – June 11</w:t>
            </w:r>
          </w:p>
        </w:tc>
        <w:tc>
          <w:tcPr>
            <w:tcW w:w="51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533837BC" w14:textId="77777777" w:rsidR="00EB6564" w:rsidRDefault="00EB6564">
            <w:pPr>
              <w:pStyle w:val="06bTABLEHEADERROW"/>
            </w:pPr>
            <w:r>
              <w:t>July 11 – June 12</w:t>
            </w:r>
          </w:p>
        </w:tc>
        <w:tc>
          <w:tcPr>
            <w:tcW w:w="51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2EBEFDB1" w14:textId="77777777" w:rsidR="00EB6564" w:rsidRDefault="00EB6564">
            <w:pPr>
              <w:pStyle w:val="06bTABLEHEADERROW"/>
            </w:pPr>
            <w:r>
              <w:t>July 12 – June 13</w:t>
            </w:r>
          </w:p>
        </w:tc>
        <w:tc>
          <w:tcPr>
            <w:tcW w:w="51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70173355" w14:textId="77777777" w:rsidR="00EB6564" w:rsidRDefault="00EB6564">
            <w:pPr>
              <w:pStyle w:val="06bTABLEHEADERROW"/>
            </w:pPr>
            <w:r>
              <w:t>July 13 – June 14</w:t>
            </w:r>
          </w:p>
        </w:tc>
        <w:tc>
          <w:tcPr>
            <w:tcW w:w="51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45194162" w14:textId="77777777" w:rsidR="00EB6564" w:rsidRDefault="00EB6564">
            <w:pPr>
              <w:pStyle w:val="06bTABLEHEADERROW"/>
            </w:pPr>
            <w:r>
              <w:t>July 14 – June 15</w:t>
            </w:r>
          </w:p>
        </w:tc>
        <w:tc>
          <w:tcPr>
            <w:tcW w:w="51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74EE3007" w14:textId="77777777" w:rsidR="00EB6564" w:rsidRDefault="00EB6564">
            <w:pPr>
              <w:pStyle w:val="06bTABLEHEADERROW"/>
            </w:pPr>
            <w:r>
              <w:t>July 15 – June 16</w:t>
            </w:r>
          </w:p>
        </w:tc>
        <w:tc>
          <w:tcPr>
            <w:tcW w:w="51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70B57E2B" w14:textId="77777777" w:rsidR="00EB6564" w:rsidRDefault="00EB6564">
            <w:pPr>
              <w:pStyle w:val="06bTABLEHEADERROW"/>
            </w:pPr>
            <w:r>
              <w:t>July 16 – June 17</w:t>
            </w:r>
          </w:p>
        </w:tc>
        <w:tc>
          <w:tcPr>
            <w:tcW w:w="51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7DB61ABF" w14:textId="77777777" w:rsidR="00EB6564" w:rsidRDefault="00EB6564">
            <w:pPr>
              <w:pStyle w:val="06bTABLEHEADERROW"/>
            </w:pPr>
            <w:r>
              <w:t>July 17 – June 18</w:t>
            </w:r>
          </w:p>
        </w:tc>
        <w:tc>
          <w:tcPr>
            <w:tcW w:w="51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4E2D1D94" w14:textId="77777777" w:rsidR="00EB6564" w:rsidRDefault="00EB6564">
            <w:pPr>
              <w:pStyle w:val="06bTABLEHEADERROW"/>
            </w:pPr>
            <w:r>
              <w:t>Jul 18 – June 19</w:t>
            </w:r>
          </w:p>
        </w:tc>
      </w:tr>
      <w:tr w:rsidR="00EB6564" w14:paraId="030532C2" w14:textId="77777777">
        <w:trPr>
          <w:trHeight w:hRule="exact" w:val="650"/>
        </w:trPr>
        <w:tc>
          <w:tcPr>
            <w:tcW w:w="179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BE1E5CE" w14:textId="77777777" w:rsidR="00EB6564" w:rsidRDefault="00EB6564">
            <w:pPr>
              <w:pStyle w:val="06cTABLETEXT"/>
            </w:pPr>
            <w:r>
              <w:t>Total number of vehicles that received fines</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43A15E2" w14:textId="77777777" w:rsidR="00EB6564" w:rsidRDefault="00EB6564">
            <w:pPr>
              <w:pStyle w:val="06cTABLETEXT"/>
              <w:jc w:val="center"/>
            </w:pPr>
            <w:r>
              <w:t>373</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366574A" w14:textId="77777777" w:rsidR="00EB6564" w:rsidRDefault="00EB6564">
            <w:pPr>
              <w:pStyle w:val="06cTABLETEXT"/>
              <w:jc w:val="center"/>
            </w:pPr>
            <w:r>
              <w:t>303</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82FAA11" w14:textId="77777777" w:rsidR="00EB6564" w:rsidRDefault="00EB6564">
            <w:pPr>
              <w:pStyle w:val="06cTABLETEXT"/>
              <w:jc w:val="center"/>
            </w:pPr>
            <w:r>
              <w:t>301</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79C3581" w14:textId="77777777" w:rsidR="00EB6564" w:rsidRDefault="00EB6564">
            <w:pPr>
              <w:pStyle w:val="06cTABLETEXT"/>
              <w:jc w:val="center"/>
            </w:pPr>
            <w:r>
              <w:t>186</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EBD5BDA" w14:textId="77777777" w:rsidR="00EB6564" w:rsidRDefault="00EB6564">
            <w:pPr>
              <w:pStyle w:val="06cTABLETEXT"/>
              <w:jc w:val="center"/>
            </w:pPr>
            <w:r>
              <w:t>114</w:t>
            </w:r>
          </w:p>
        </w:tc>
        <w:tc>
          <w:tcPr>
            <w:tcW w:w="51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1796056" w14:textId="77777777" w:rsidR="00EB6564" w:rsidRDefault="00EB6564">
            <w:pPr>
              <w:pStyle w:val="06cTABLETEXT"/>
              <w:jc w:val="center"/>
            </w:pPr>
            <w:r>
              <w:t>289</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871882C" w14:textId="77777777" w:rsidR="00EB6564" w:rsidRDefault="00EB6564">
            <w:pPr>
              <w:pStyle w:val="06cTABLETEXT"/>
              <w:jc w:val="center"/>
            </w:pPr>
            <w:r>
              <w:t>78</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6820462" w14:textId="77777777" w:rsidR="00EB6564" w:rsidRDefault="00EB6564">
            <w:pPr>
              <w:pStyle w:val="06cTABLETEXT"/>
              <w:jc w:val="center"/>
            </w:pPr>
            <w:r>
              <w:t>89</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4EEFBF1" w14:textId="77777777" w:rsidR="00EB6564" w:rsidRDefault="00EB6564">
            <w:pPr>
              <w:pStyle w:val="06cTABLETEXT"/>
              <w:jc w:val="center"/>
            </w:pPr>
            <w:r>
              <w:t>75</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F442C4F" w14:textId="77777777" w:rsidR="00EB6564" w:rsidRDefault="00EB6564">
            <w:pPr>
              <w:pStyle w:val="06cTABLETEXT"/>
              <w:jc w:val="center"/>
            </w:pPr>
            <w:r>
              <w:t>6</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564B1CA" w14:textId="77777777" w:rsidR="00EB6564" w:rsidRDefault="00EB6564">
            <w:pPr>
              <w:pStyle w:val="06cTABLETEXT"/>
              <w:jc w:val="center"/>
            </w:pPr>
            <w:r>
              <w:t>0</w:t>
            </w:r>
          </w:p>
        </w:tc>
      </w:tr>
      <w:tr w:rsidR="00EB6564" w14:paraId="75C76AEF" w14:textId="77777777">
        <w:trPr>
          <w:trHeight w:hRule="exact" w:val="470"/>
        </w:trPr>
        <w:tc>
          <w:tcPr>
            <w:tcW w:w="179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78DB92" w14:textId="77777777" w:rsidR="00EB6564" w:rsidRDefault="00EB6564">
            <w:pPr>
              <w:pStyle w:val="06cTABLETEXT"/>
            </w:pPr>
            <w:r>
              <w:t>Diesel vehicles that received fines</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C8C587E" w14:textId="77777777" w:rsidR="00EB6564" w:rsidRDefault="00EB6564">
            <w:pPr>
              <w:pStyle w:val="06cTABLETEXT"/>
              <w:jc w:val="center"/>
            </w:pPr>
            <w:r>
              <w:t>351</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F2BAC46" w14:textId="77777777" w:rsidR="00EB6564" w:rsidRDefault="00EB6564">
            <w:pPr>
              <w:pStyle w:val="06cTABLETEXT"/>
              <w:jc w:val="center"/>
            </w:pPr>
            <w:r>
              <w:t>278</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97CAC61" w14:textId="77777777" w:rsidR="00EB6564" w:rsidRDefault="00EB6564">
            <w:pPr>
              <w:pStyle w:val="06cTABLETEXT"/>
              <w:jc w:val="center"/>
            </w:pPr>
            <w:r>
              <w:t>286</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EEDF2DB" w14:textId="77777777" w:rsidR="00EB6564" w:rsidRDefault="00EB6564">
            <w:pPr>
              <w:pStyle w:val="06cTABLETEXT"/>
              <w:jc w:val="center"/>
            </w:pPr>
            <w:r>
              <w:t>173</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98AB1CC" w14:textId="77777777" w:rsidR="00EB6564" w:rsidRDefault="00EB6564">
            <w:pPr>
              <w:pStyle w:val="06cTABLETEXT"/>
              <w:jc w:val="center"/>
            </w:pPr>
            <w:r>
              <w:t>109</w:t>
            </w:r>
          </w:p>
        </w:tc>
        <w:tc>
          <w:tcPr>
            <w:tcW w:w="51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8D3AADD" w14:textId="77777777" w:rsidR="00EB6564" w:rsidRDefault="00EB6564">
            <w:pPr>
              <w:pStyle w:val="06cTABLETEXT"/>
              <w:jc w:val="center"/>
            </w:pPr>
            <w:r>
              <w:t>283</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B4EAC44" w14:textId="77777777" w:rsidR="00EB6564" w:rsidRDefault="00EB6564">
            <w:pPr>
              <w:pStyle w:val="06cTABLETEXT"/>
              <w:jc w:val="center"/>
            </w:pPr>
            <w:r>
              <w:t>76</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4336738" w14:textId="77777777" w:rsidR="00EB6564" w:rsidRDefault="00EB6564">
            <w:pPr>
              <w:pStyle w:val="06cTABLETEXT"/>
              <w:jc w:val="center"/>
            </w:pPr>
            <w:r>
              <w:t>89</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30BCA3A" w14:textId="77777777" w:rsidR="00EB6564" w:rsidRDefault="00EB6564">
            <w:pPr>
              <w:pStyle w:val="06cTABLETEXT"/>
              <w:jc w:val="center"/>
            </w:pPr>
            <w:r>
              <w:t>74</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659E8B7" w14:textId="77777777" w:rsidR="00EB6564" w:rsidRDefault="00EB6564">
            <w:pPr>
              <w:pStyle w:val="06cTABLETEXT"/>
              <w:jc w:val="center"/>
            </w:pPr>
            <w:r>
              <w:t>6</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2417F90" w14:textId="77777777" w:rsidR="00EB6564" w:rsidRDefault="00EB6564">
            <w:pPr>
              <w:pStyle w:val="06cTABLETEXT"/>
              <w:jc w:val="center"/>
            </w:pPr>
            <w:r>
              <w:t>0</w:t>
            </w:r>
          </w:p>
        </w:tc>
      </w:tr>
      <w:tr w:rsidR="00EB6564" w14:paraId="3EDA4A24" w14:textId="77777777">
        <w:trPr>
          <w:trHeight w:val="60"/>
        </w:trPr>
        <w:tc>
          <w:tcPr>
            <w:tcW w:w="179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5E58CB" w14:textId="77777777" w:rsidR="00EB6564" w:rsidRDefault="00EB6564">
            <w:pPr>
              <w:pStyle w:val="06cTABLETEXT"/>
            </w:pPr>
            <w:r>
              <w:t xml:space="preserve">Percentage of all vehicles fined that were diesel vehicles </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4815B43" w14:textId="77777777" w:rsidR="00EB6564" w:rsidRDefault="00EB6564">
            <w:pPr>
              <w:pStyle w:val="06cTABLETEXT"/>
              <w:jc w:val="center"/>
            </w:pPr>
            <w:r>
              <w:t>94.1%</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196C206" w14:textId="77777777" w:rsidR="00EB6564" w:rsidRDefault="00EB6564">
            <w:pPr>
              <w:pStyle w:val="06cTABLETEXT"/>
              <w:jc w:val="center"/>
            </w:pPr>
            <w:r>
              <w:t>91.7%</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F9E5239" w14:textId="77777777" w:rsidR="00EB6564" w:rsidRDefault="00EB6564">
            <w:pPr>
              <w:pStyle w:val="06cTABLETEXT"/>
              <w:jc w:val="center"/>
            </w:pPr>
            <w:r>
              <w:t>95%</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7C519DE" w14:textId="77777777" w:rsidR="00EB6564" w:rsidRDefault="00EB6564">
            <w:pPr>
              <w:pStyle w:val="06cTABLETEXT"/>
              <w:jc w:val="center"/>
            </w:pPr>
            <w:r>
              <w:t>95%</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F7E263A" w14:textId="77777777" w:rsidR="00EB6564" w:rsidRDefault="00EB6564">
            <w:pPr>
              <w:pStyle w:val="06cTABLETEXT"/>
              <w:jc w:val="center"/>
            </w:pPr>
            <w:r>
              <w:t>96%</w:t>
            </w:r>
          </w:p>
        </w:tc>
        <w:tc>
          <w:tcPr>
            <w:tcW w:w="51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58D4AF9" w14:textId="77777777" w:rsidR="00EB6564" w:rsidRDefault="00EB6564">
            <w:pPr>
              <w:pStyle w:val="06cTABLETEXT"/>
              <w:jc w:val="center"/>
            </w:pPr>
            <w:r>
              <w:t>98%</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8820C5F" w14:textId="77777777" w:rsidR="00EB6564" w:rsidRDefault="00EB6564">
            <w:pPr>
              <w:pStyle w:val="06cTABLETEXT"/>
              <w:jc w:val="center"/>
            </w:pPr>
            <w:r>
              <w:t>97%</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0217128" w14:textId="77777777" w:rsidR="00EB6564" w:rsidRDefault="00EB6564">
            <w:pPr>
              <w:pStyle w:val="06cTABLETEXT"/>
              <w:jc w:val="center"/>
            </w:pPr>
            <w:r>
              <w:t>100%</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DFEBA6F" w14:textId="77777777" w:rsidR="00EB6564" w:rsidRDefault="00EB6564">
            <w:pPr>
              <w:pStyle w:val="06cTABLETEXT"/>
              <w:jc w:val="center"/>
            </w:pPr>
            <w:r>
              <w:t>99%</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0432949" w14:textId="77777777" w:rsidR="00EB6564" w:rsidRDefault="00EB6564">
            <w:pPr>
              <w:pStyle w:val="06cTABLETEXT"/>
              <w:jc w:val="center"/>
            </w:pPr>
            <w:r>
              <w:t>100%</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B93C431" w14:textId="77777777" w:rsidR="00EB6564" w:rsidRDefault="00EB6564">
            <w:pPr>
              <w:pStyle w:val="06cTABLETEXT"/>
              <w:jc w:val="center"/>
            </w:pPr>
            <w:r>
              <w:t>0</w:t>
            </w:r>
          </w:p>
        </w:tc>
      </w:tr>
      <w:tr w:rsidR="00EB6564" w14:paraId="6F91BBE8" w14:textId="77777777">
        <w:trPr>
          <w:trHeight w:val="60"/>
        </w:trPr>
        <w:tc>
          <w:tcPr>
            <w:tcW w:w="179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75B25B6" w14:textId="77777777" w:rsidR="00EB6564" w:rsidRDefault="00EB6564">
            <w:pPr>
              <w:pStyle w:val="06cTABLETEXT"/>
            </w:pPr>
            <w:r>
              <w:t>Total vehicles that received advisory and warning letters</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EC2A0C4" w14:textId="77777777" w:rsidR="00EB6564" w:rsidRDefault="00EB6564">
            <w:pPr>
              <w:pStyle w:val="06cTABLETEXT"/>
              <w:jc w:val="center"/>
            </w:pPr>
            <w:r>
              <w:t>530</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B9E5D63" w14:textId="77777777" w:rsidR="00EB6564" w:rsidRDefault="00EB6564">
            <w:pPr>
              <w:pStyle w:val="06cTABLETEXT"/>
              <w:jc w:val="center"/>
            </w:pPr>
            <w:r>
              <w:t>740</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571852B" w14:textId="77777777" w:rsidR="00EB6564" w:rsidRDefault="00EB6564">
            <w:pPr>
              <w:pStyle w:val="06cTABLETEXT"/>
              <w:jc w:val="center"/>
            </w:pPr>
            <w:r>
              <w:t>750</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F0E932B" w14:textId="77777777" w:rsidR="00EB6564" w:rsidRDefault="00EB6564">
            <w:pPr>
              <w:pStyle w:val="06cTABLETEXT"/>
              <w:jc w:val="center"/>
            </w:pPr>
            <w:r>
              <w:t>556</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D30BC93" w14:textId="77777777" w:rsidR="00EB6564" w:rsidRDefault="00EB6564">
            <w:pPr>
              <w:pStyle w:val="06cTABLETEXT"/>
              <w:jc w:val="center"/>
            </w:pPr>
            <w:r>
              <w:t>552</w:t>
            </w:r>
          </w:p>
        </w:tc>
        <w:tc>
          <w:tcPr>
            <w:tcW w:w="51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1BF3914" w14:textId="77777777" w:rsidR="00EB6564" w:rsidRDefault="00EB6564">
            <w:pPr>
              <w:pStyle w:val="06cTABLETEXT"/>
              <w:jc w:val="center"/>
            </w:pPr>
            <w:r>
              <w:t>891</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FFDA0C2" w14:textId="77777777" w:rsidR="00EB6564" w:rsidRDefault="00EB6564">
            <w:pPr>
              <w:pStyle w:val="06cTABLETEXT"/>
              <w:jc w:val="center"/>
            </w:pPr>
            <w:r>
              <w:t>812</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00D3347" w14:textId="77777777" w:rsidR="00EB6564" w:rsidRDefault="00EB6564">
            <w:pPr>
              <w:pStyle w:val="06cTABLETEXT"/>
              <w:jc w:val="center"/>
            </w:pPr>
            <w:r>
              <w:t>782</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5750DEC" w14:textId="77777777" w:rsidR="00EB6564" w:rsidRDefault="00EB6564">
            <w:pPr>
              <w:pStyle w:val="06cTABLETEXT"/>
              <w:jc w:val="center"/>
            </w:pPr>
            <w:r>
              <w:t>957</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6A3FC7E" w14:textId="77777777" w:rsidR="00EB6564" w:rsidRDefault="00EB6564">
            <w:pPr>
              <w:pStyle w:val="06cTABLETEXT"/>
              <w:jc w:val="center"/>
            </w:pPr>
            <w:r>
              <w:t>681</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C1A1483" w14:textId="77777777" w:rsidR="00EB6564" w:rsidRDefault="00EB6564">
            <w:pPr>
              <w:pStyle w:val="06cTABLETEXT"/>
              <w:jc w:val="center"/>
            </w:pPr>
            <w:r>
              <w:t>835</w:t>
            </w:r>
          </w:p>
        </w:tc>
      </w:tr>
      <w:tr w:rsidR="00EB6564" w14:paraId="31A1F177" w14:textId="77777777">
        <w:trPr>
          <w:trHeight w:val="60"/>
        </w:trPr>
        <w:tc>
          <w:tcPr>
            <w:tcW w:w="179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4E296B6" w14:textId="77777777" w:rsidR="00EB6564" w:rsidRDefault="00EB6564">
            <w:pPr>
              <w:pStyle w:val="06cTABLETEXT"/>
            </w:pPr>
            <w:r>
              <w:t>Diesel vehicles that received advisory and warning letters</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3BC9F74" w14:textId="77777777" w:rsidR="00EB6564" w:rsidRDefault="00EB6564">
            <w:pPr>
              <w:pStyle w:val="06cTABLETEXT"/>
              <w:jc w:val="center"/>
            </w:pPr>
            <w:r>
              <w:t>123</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63E0F17" w14:textId="77777777" w:rsidR="00EB6564" w:rsidRDefault="00EB6564">
            <w:pPr>
              <w:pStyle w:val="06cTABLETEXT"/>
              <w:jc w:val="center"/>
            </w:pPr>
            <w:r>
              <w:t>133</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5D5B90E" w14:textId="77777777" w:rsidR="00EB6564" w:rsidRDefault="00EB6564">
            <w:pPr>
              <w:pStyle w:val="06cTABLETEXT"/>
              <w:jc w:val="center"/>
            </w:pPr>
            <w:r>
              <w:t>135</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328FD70" w14:textId="77777777" w:rsidR="00EB6564" w:rsidRDefault="00EB6564">
            <w:pPr>
              <w:pStyle w:val="06cTABLETEXT"/>
              <w:jc w:val="center"/>
            </w:pPr>
            <w:r>
              <w:t>96</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68FAA1A" w14:textId="77777777" w:rsidR="00EB6564" w:rsidRDefault="00EB6564">
            <w:pPr>
              <w:pStyle w:val="06cTABLETEXT"/>
              <w:jc w:val="center"/>
            </w:pPr>
            <w:r>
              <w:t>74</w:t>
            </w:r>
          </w:p>
        </w:tc>
        <w:tc>
          <w:tcPr>
            <w:tcW w:w="51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07D5706" w14:textId="77777777" w:rsidR="00EB6564" w:rsidRDefault="00EB6564">
            <w:pPr>
              <w:pStyle w:val="06cTABLETEXT"/>
              <w:jc w:val="center"/>
            </w:pPr>
            <w:r>
              <w:t>462</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3806821" w14:textId="77777777" w:rsidR="00EB6564" w:rsidRDefault="00EB6564">
            <w:pPr>
              <w:pStyle w:val="06cTABLETEXT"/>
              <w:jc w:val="center"/>
            </w:pPr>
            <w:r>
              <w:t>423</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027A9DC" w14:textId="77777777" w:rsidR="00EB6564" w:rsidRDefault="00EB6564">
            <w:pPr>
              <w:pStyle w:val="06cTABLETEXT"/>
              <w:jc w:val="center"/>
            </w:pPr>
            <w:r>
              <w:t>433</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CAC17BE" w14:textId="77777777" w:rsidR="00EB6564" w:rsidRDefault="00EB6564">
            <w:pPr>
              <w:pStyle w:val="06cTABLETEXT"/>
              <w:jc w:val="center"/>
            </w:pPr>
            <w:r>
              <w:t>475</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1179E0D" w14:textId="77777777" w:rsidR="00EB6564" w:rsidRDefault="00EB6564">
            <w:pPr>
              <w:pStyle w:val="06cTABLETEXT"/>
              <w:jc w:val="center"/>
            </w:pPr>
            <w:r>
              <w:t>438</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217443E" w14:textId="77777777" w:rsidR="00EB6564" w:rsidRDefault="00EB6564">
            <w:pPr>
              <w:pStyle w:val="06cTABLETEXT"/>
              <w:jc w:val="center"/>
            </w:pPr>
            <w:r>
              <w:t>623</w:t>
            </w:r>
          </w:p>
        </w:tc>
      </w:tr>
      <w:tr w:rsidR="00EB6564" w14:paraId="70B246BF" w14:textId="77777777">
        <w:trPr>
          <w:trHeight w:val="60"/>
        </w:trPr>
        <w:tc>
          <w:tcPr>
            <w:tcW w:w="179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CB92E22" w14:textId="77777777" w:rsidR="00EB6564" w:rsidRDefault="00EB6564">
            <w:pPr>
              <w:pStyle w:val="06cTABLETEXT"/>
            </w:pPr>
            <w:r>
              <w:t>Percentage of all vehicles that received advisory and warning letters that were diesel vehicles</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72BA844" w14:textId="77777777" w:rsidR="00EB6564" w:rsidRDefault="00EB6564">
            <w:pPr>
              <w:pStyle w:val="06cTABLETEXT"/>
              <w:jc w:val="center"/>
            </w:pPr>
            <w:r>
              <w:t>23.2%</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0E31158" w14:textId="77777777" w:rsidR="00EB6564" w:rsidRDefault="00EB6564">
            <w:pPr>
              <w:pStyle w:val="06cTABLETEXT"/>
              <w:jc w:val="center"/>
            </w:pPr>
            <w:r>
              <w:t>17%</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21D323C" w14:textId="77777777" w:rsidR="00EB6564" w:rsidRDefault="00EB6564">
            <w:pPr>
              <w:pStyle w:val="06cTABLETEXT"/>
              <w:jc w:val="center"/>
            </w:pPr>
            <w:r>
              <w:t>18%</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51D1CC3" w14:textId="77777777" w:rsidR="00EB6564" w:rsidRDefault="00EB6564">
            <w:pPr>
              <w:pStyle w:val="06cTABLETEXT"/>
              <w:jc w:val="center"/>
            </w:pPr>
            <w:r>
              <w:t>17%</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8E52D13" w14:textId="77777777" w:rsidR="00EB6564" w:rsidRDefault="00EB6564">
            <w:pPr>
              <w:pStyle w:val="06cTABLETEXT"/>
              <w:jc w:val="center"/>
            </w:pPr>
            <w:r>
              <w:t>11%</w:t>
            </w:r>
          </w:p>
        </w:tc>
        <w:tc>
          <w:tcPr>
            <w:tcW w:w="51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AFEE947" w14:textId="77777777" w:rsidR="00EB6564" w:rsidRDefault="00EB6564">
            <w:pPr>
              <w:pStyle w:val="06cTABLETEXT"/>
              <w:jc w:val="center"/>
            </w:pPr>
            <w:r>
              <w:t>52%</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0480530" w14:textId="77777777" w:rsidR="00EB6564" w:rsidRDefault="00EB6564">
            <w:pPr>
              <w:pStyle w:val="06cTABLETEXT"/>
              <w:jc w:val="center"/>
            </w:pPr>
            <w:r>
              <w:t>52%</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5FBC559" w14:textId="77777777" w:rsidR="00EB6564" w:rsidRDefault="00EB6564">
            <w:pPr>
              <w:pStyle w:val="06cTABLETEXT"/>
              <w:jc w:val="center"/>
            </w:pPr>
            <w:r>
              <w:t>55%</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6CEC90B" w14:textId="77777777" w:rsidR="00EB6564" w:rsidRDefault="00EB6564">
            <w:pPr>
              <w:pStyle w:val="06cTABLETEXT"/>
              <w:jc w:val="center"/>
            </w:pPr>
            <w:r>
              <w:t>59%</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6035914" w14:textId="77777777" w:rsidR="00EB6564" w:rsidRDefault="00EB6564">
            <w:pPr>
              <w:pStyle w:val="06cTABLETEXT"/>
              <w:jc w:val="center"/>
            </w:pPr>
            <w:r>
              <w:t>64%</w:t>
            </w:r>
          </w:p>
        </w:tc>
        <w:tc>
          <w:tcPr>
            <w:tcW w:w="51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97D22F1" w14:textId="77777777" w:rsidR="00EB6564" w:rsidRDefault="00EB6564">
            <w:pPr>
              <w:pStyle w:val="06cTABLETEXT"/>
              <w:jc w:val="center"/>
            </w:pPr>
            <w:r>
              <w:t>75%</w:t>
            </w:r>
          </w:p>
        </w:tc>
      </w:tr>
    </w:tbl>
    <w:p w14:paraId="02510D5E" w14:textId="77777777" w:rsidR="00EB6564" w:rsidRDefault="00EB6564" w:rsidP="00EB6564">
      <w:pPr>
        <w:pStyle w:val="05BODYTEXT"/>
        <w:rPr>
          <w:sz w:val="18"/>
          <w:szCs w:val="18"/>
        </w:rPr>
      </w:pPr>
    </w:p>
    <w:p w14:paraId="7A7A8BE9" w14:textId="77777777" w:rsidR="00EB6564" w:rsidRDefault="00EB6564" w:rsidP="00EB6564">
      <w:pPr>
        <w:pStyle w:val="03HEADING3"/>
        <w:spacing w:before="283"/>
      </w:pPr>
      <w:r>
        <w:lastRenderedPageBreak/>
        <w:t>Audited maintenance programs for diesel vehicles</w:t>
      </w:r>
    </w:p>
    <w:p w14:paraId="4A5675C3" w14:textId="77777777" w:rsidR="00EB6564" w:rsidRDefault="00EB6564" w:rsidP="00EB6564">
      <w:pPr>
        <w:pStyle w:val="05BODYTEXT"/>
      </w:pPr>
      <w:r>
        <w:t>NSW Roads and Maritime Services operates an audited maintenance program known as “Clean Fleet”. This was launched in 2006 and has approximately 6,725 vehicles in the program. In the absence of ongoing Commonwealth funding for Diesel NEPM programs, there were no promotional activities or training courses held under the program in 2018-19, and a small reduction in participation was evident.</w:t>
      </w:r>
    </w:p>
    <w:p w14:paraId="71F09E04" w14:textId="77777777" w:rsidR="00EB6564" w:rsidRDefault="00EB6564" w:rsidP="00EB6564">
      <w:pPr>
        <w:pStyle w:val="03HEADING3"/>
      </w:pPr>
      <w:r>
        <w:t>Other programs</w:t>
      </w:r>
    </w:p>
    <w:p w14:paraId="36EAFA09" w14:textId="77777777" w:rsidR="00EB6564" w:rsidRDefault="00EB6564" w:rsidP="00EB6564">
      <w:pPr>
        <w:pStyle w:val="04HEADING4"/>
      </w:pPr>
      <w:r>
        <w:t>State Transit diesel bus upgrade program</w:t>
      </w:r>
    </w:p>
    <w:p w14:paraId="6F870B66" w14:textId="77777777" w:rsidR="00EB6564" w:rsidRDefault="00EB6564" w:rsidP="00EB6564">
      <w:pPr>
        <w:pStyle w:val="05BODYTEXT"/>
      </w:pPr>
      <w:r>
        <w:t>Since 2006 the NSW State Transit has been replacing older diesel buses in the Sydney Region with Euro 5 and EEV (enhanced environmentally friendly vehicle) buses that use AdBlue as a catalyst to reduce emissions of oxides of nitrogen (NO</w:t>
      </w:r>
      <w:r>
        <w:rPr>
          <w:vertAlign w:val="subscript"/>
        </w:rPr>
        <w:t>x</w:t>
      </w:r>
      <w:r>
        <w:t>). EEV vehicles have the same NO</w:t>
      </w:r>
      <w:r>
        <w:rPr>
          <w:vertAlign w:val="subscript"/>
        </w:rPr>
        <w:t>x</w:t>
      </w:r>
      <w:r>
        <w:t xml:space="preserve"> limits as Euro 5, and tighter particle limits (one third lower particle levels under the European transient test cycle). NO</w:t>
      </w:r>
      <w:r>
        <w:rPr>
          <w:vertAlign w:val="subscript"/>
        </w:rPr>
        <w:t>x</w:t>
      </w:r>
      <w:r>
        <w:t xml:space="preserve"> has known human health impacts, including impacts on the respiratory system, and contributes to the formation of ground level ozone and fine particles. AdBlue is a diesel engine exhaust treatment that is injected into the exhaust stream to convert NO</w:t>
      </w:r>
      <w:r>
        <w:rPr>
          <w:vertAlign w:val="subscript"/>
        </w:rPr>
        <w:t>x</w:t>
      </w:r>
      <w:r>
        <w:t xml:space="preserve"> into nitrogen gas and water vapour by means of a chemical reaction.</w:t>
      </w:r>
    </w:p>
    <w:p w14:paraId="2ACD49FB" w14:textId="77777777" w:rsidR="00EB6564" w:rsidRDefault="00EB6564" w:rsidP="00EB6564">
      <w:pPr>
        <w:pStyle w:val="05BODYTEXT"/>
      </w:pPr>
      <w:r>
        <w:t xml:space="preserve">In 2018-19, State Transit received 65 new Euro 5 or EEV diesel buses into its bus fleet, with 87% of the fleet now Euro 3 or higher emissions standard (up from 82% in 2017-18), and 53% of the fleet Euro 5 or EEV emissions standard (up from 47% Euro 5 or equivalent in 2017-18). State Transit overall fleet numbers and emissions are reduced compared with the 2017-18 financial year, as State Transit no longer operates bus services in the South West Region (Region 6). These services are now operated by Transit Systems. Subsequently, State Transit’s fleet size has decreased from 2,046 buses as </w:t>
      </w:r>
      <w:proofErr w:type="gramStart"/>
      <w:r>
        <w:t>at</w:t>
      </w:r>
      <w:proofErr w:type="gramEnd"/>
      <w:r>
        <w:t xml:space="preserve"> June 2018, to 1,449 at June 2019.</w:t>
      </w:r>
    </w:p>
    <w:p w14:paraId="209BFAD3" w14:textId="77777777" w:rsidR="00EB6564" w:rsidRDefault="00EB6564" w:rsidP="00EB6564">
      <w:pPr>
        <w:pStyle w:val="03HEADING3"/>
      </w:pPr>
      <w:r>
        <w:t>Non-road diesel vehicle programs</w:t>
      </w:r>
    </w:p>
    <w:p w14:paraId="1AF245EC" w14:textId="77777777" w:rsidR="00EB6564" w:rsidRDefault="00EB6564" w:rsidP="00EB6564">
      <w:pPr>
        <w:pStyle w:val="04HEADING4"/>
      </w:pPr>
      <w:r>
        <w:t>Construction Industry</w:t>
      </w:r>
    </w:p>
    <w:p w14:paraId="5B713D55" w14:textId="77777777" w:rsidR="00EB6564" w:rsidRDefault="00EB6564" w:rsidP="00EB6564">
      <w:pPr>
        <w:pStyle w:val="05BODYTEXT"/>
      </w:pPr>
      <w:r>
        <w:t xml:space="preserve">In 2018-19 DPIE continued to administer </w:t>
      </w:r>
      <w:r w:rsidRPr="00D14E8A">
        <w:t xml:space="preserve">the NSW </w:t>
      </w:r>
      <w:r w:rsidRPr="00D14E8A">
        <w:rPr>
          <w:rStyle w:val="Hyperlink"/>
          <w:u w:val="none"/>
        </w:rPr>
        <w:t>Government Resource Efficiency Policy</w:t>
      </w:r>
      <w:r w:rsidRPr="00D14E8A">
        <w:t xml:space="preserve"> (GREP). The GREP</w:t>
      </w:r>
      <w:r>
        <w:t xml:space="preserve"> includes requirements to address non-road diesel engine emissions through government procurement and contracts. DPIE undertook a review of the GREP in 2017-18 to analyse whole-of-government progress towards implementation, identify challenges faced by agencies, and determine if reforms are required. The updated GREP was published in February 2019.</w:t>
      </w:r>
    </w:p>
    <w:p w14:paraId="224AD47A" w14:textId="77777777" w:rsidR="00EB6564" w:rsidRDefault="00EB6564" w:rsidP="00EB6564">
      <w:pPr>
        <w:pStyle w:val="05BODYTEXT"/>
      </w:pPr>
      <w:r>
        <w:t>For non-road diesel engines, government agencies must continue to comply with EU or US EPA standards when purchasing or leasing such equipment. Agencies must consider air emissions from contractor-supplied equipment in tender processes for construction projects over $10 million. The tender selection process either incorporates a weighting for air emission standards in conjunction with other environmental considerations, or a statement by contractors on how they will reduce emissions from their equipment. Air emission standards of engines are aligned with the current EU and US EPA levels which are accepted internationally, with a lead time of two years compared to the introduction dates overseas.</w:t>
      </w:r>
    </w:p>
    <w:p w14:paraId="2BC603B2" w14:textId="77777777" w:rsidR="00EB6564" w:rsidRDefault="00EB6564" w:rsidP="00EB6564">
      <w:pPr>
        <w:pStyle w:val="04HEADING4"/>
      </w:pPr>
      <w:r>
        <w:t>Coal Mines</w:t>
      </w:r>
    </w:p>
    <w:p w14:paraId="6688800E" w14:textId="77777777" w:rsidR="00EB6564" w:rsidRDefault="00EB6564" w:rsidP="00EB6564">
      <w:pPr>
        <w:pStyle w:val="05BODYTEXT"/>
      </w:pPr>
      <w:r>
        <w:t>Following consultation on best practice measures to reduce non-road diesel exhaust emissions at NSW coal mines, in 2017 the EPA released a draft Pollution Reduction Study (PRS) and draft Special Licence Condition (SLC) for consultation with the coal mining industry. The draft PRS requires operating open-cut coal mines to provide information on the emission performance of the existing non-road diesel fleet, measures already adopted, and investigation of any further reasonable and feasible emission reduction measures that could be implemented. The draft SLC requires new non-road diesel equipment commissioned at NSW coal mines to meet the US EPA Tier 4 final emission standard. Over 2018 the EPA continued to review the issues raised by industry in submissions and is considering the appropriate response.</w:t>
      </w:r>
    </w:p>
    <w:p w14:paraId="1DA5825D" w14:textId="77777777" w:rsidR="00EB6564" w:rsidRDefault="00EB6564" w:rsidP="00EB6564">
      <w:pPr>
        <w:pStyle w:val="04HEADING4"/>
      </w:pPr>
      <w:r>
        <w:t>Locomotives</w:t>
      </w:r>
    </w:p>
    <w:p w14:paraId="7186E520" w14:textId="77777777" w:rsidR="00EB6564" w:rsidRDefault="00EB6564" w:rsidP="00EB6564">
      <w:pPr>
        <w:pStyle w:val="05BODYTEXT"/>
      </w:pPr>
      <w:r w:rsidRPr="00D14E8A">
        <w:t xml:space="preserve">In February 2017 the EPA published the </w:t>
      </w:r>
      <w:r w:rsidRPr="00D14E8A">
        <w:rPr>
          <w:rStyle w:val="Hyperlink"/>
          <w:u w:val="none"/>
        </w:rPr>
        <w:t>Diesel Locomotive - Fuel Efficiency and Emissions Testing</w:t>
      </w:r>
      <w:r w:rsidRPr="00D14E8A">
        <w:t xml:space="preserve"> report. Together with the </w:t>
      </w:r>
      <w:r w:rsidRPr="00D14E8A">
        <w:rPr>
          <w:rStyle w:val="Hyperlink"/>
          <w:u w:val="none"/>
        </w:rPr>
        <w:t>2015 Diesel locomotive emissions reduction technology study</w:t>
      </w:r>
      <w:r w:rsidRPr="00D14E8A">
        <w:t>,</w:t>
      </w:r>
      <w:r>
        <w:t xml:space="preserve"> this demonstrated that particle emission reductions conforming to US Tier 0+ emission standards can be achieved through emission upgrade kits or other locomotive upgrade programs. Amendments to the </w:t>
      </w:r>
      <w:r>
        <w:rPr>
          <w:rStyle w:val="ITALIC"/>
        </w:rPr>
        <w:t>Protection of the Environment Operations Act 1997</w:t>
      </w:r>
      <w:r>
        <w:t xml:space="preserve"> to regulate railway rolling stock operations were prepared in 2018 and came into effect in July 2019. The regulatory amendments mean that operators of rolling stock are required to hold an environment protection licence and are directly accountable for their environmental performance, including management of air emissions.</w:t>
      </w:r>
    </w:p>
    <w:p w14:paraId="5F10F76E" w14:textId="77777777" w:rsidR="00EB6564" w:rsidRPr="009408AB" w:rsidRDefault="00EB6564" w:rsidP="00CB0DA6">
      <w:pPr>
        <w:pStyle w:val="Heading2"/>
      </w:pPr>
      <w:bookmarkStart w:id="47" w:name="_Toc58254401"/>
      <w:r w:rsidRPr="009408AB">
        <w:lastRenderedPageBreak/>
        <w:t>Victoria</w:t>
      </w:r>
      <w:bookmarkEnd w:id="47"/>
    </w:p>
    <w:p w14:paraId="28F12C13" w14:textId="77777777" w:rsidR="00EB6564" w:rsidRDefault="00EB6564" w:rsidP="00D14E8A">
      <w:pPr>
        <w:pStyle w:val="05BODYTEXT"/>
        <w:keepNext/>
        <w:spacing w:line="240" w:lineRule="auto"/>
        <w:rPr>
          <w:rStyle w:val="ITALIC"/>
        </w:rPr>
      </w:pPr>
      <w:r>
        <w:rPr>
          <w:rStyle w:val="ITALIC"/>
        </w:rPr>
        <w:t xml:space="preserve">Report to the NEPC on the implementation of the National Environment Protection (Diesel Vehicle Emissions) Measure for Victoria by the Hon Lily </w:t>
      </w:r>
      <w:proofErr w:type="spellStart"/>
      <w:r>
        <w:rPr>
          <w:rStyle w:val="ITALIC"/>
        </w:rPr>
        <w:t>D’Ambrosio</w:t>
      </w:r>
      <w:proofErr w:type="spellEnd"/>
      <w:r>
        <w:rPr>
          <w:rStyle w:val="ITALIC"/>
        </w:rPr>
        <w:t>, Minister for Energy, Environment and Climate Change, for the reporting year ended 30 June 2019.</w:t>
      </w:r>
    </w:p>
    <w:p w14:paraId="4734AB12" w14:textId="77777777" w:rsidR="00EB6564" w:rsidRDefault="00EB6564" w:rsidP="00D14E8A">
      <w:pPr>
        <w:pStyle w:val="02HEADING2"/>
        <w:spacing w:line="240" w:lineRule="auto"/>
      </w:pPr>
      <w:r>
        <w:t>Part 1—Implementation of the NEPM and any significant issues</w:t>
      </w:r>
    </w:p>
    <w:p w14:paraId="4A93A708" w14:textId="77777777" w:rsidR="00EB6564" w:rsidRDefault="00EB6564" w:rsidP="00D14E8A">
      <w:pPr>
        <w:pStyle w:val="05BODYTEXT"/>
        <w:keepNext/>
        <w:spacing w:line="240" w:lineRule="auto"/>
      </w:pPr>
      <w:r>
        <w:t xml:space="preserve">The diesel NEPM in Victoria is administered and implemented by the </w:t>
      </w:r>
      <w:r>
        <w:rPr>
          <w:rStyle w:val="ITALIC"/>
        </w:rPr>
        <w:t>Environment Protection (Vehicle Emissions) Regulations 2013</w:t>
      </w:r>
      <w:r>
        <w:t xml:space="preserve">. </w:t>
      </w:r>
    </w:p>
    <w:p w14:paraId="1D7BC16A" w14:textId="77777777" w:rsidR="00EB6564" w:rsidRDefault="00EB6564" w:rsidP="00D14E8A">
      <w:pPr>
        <w:pStyle w:val="05BODYTEXT"/>
        <w:keepNext/>
        <w:spacing w:line="240" w:lineRule="auto"/>
      </w:pPr>
      <w:r>
        <w:t xml:space="preserve">These regulations have been reviewed and incorporated into the </w:t>
      </w:r>
      <w:r>
        <w:rPr>
          <w:rStyle w:val="ITALIC"/>
        </w:rPr>
        <w:t>Environment Protection Regulations</w:t>
      </w:r>
      <w:r>
        <w:t xml:space="preserve"> (Exposure Draft stage). These will go to public comment in 2019/20 to be ready for the commencement of the </w:t>
      </w:r>
      <w:r>
        <w:rPr>
          <w:rStyle w:val="ITALIC"/>
        </w:rPr>
        <w:t>Environment Protection Act 2017</w:t>
      </w:r>
      <w:r>
        <w:t xml:space="preserve"> in 2020.</w:t>
      </w:r>
    </w:p>
    <w:p w14:paraId="2FB7BB60" w14:textId="77777777" w:rsidR="00EB6564" w:rsidRDefault="00EB6564" w:rsidP="00D14E8A">
      <w:pPr>
        <w:pStyle w:val="02HEADING2"/>
        <w:spacing w:line="240" w:lineRule="auto"/>
      </w:pPr>
      <w:r>
        <w:t>Part 2—Assessment of NEPM effectiveness</w:t>
      </w:r>
    </w:p>
    <w:p w14:paraId="369C30BC" w14:textId="77777777" w:rsidR="00EB6564" w:rsidRDefault="00EB6564" w:rsidP="00D14E8A">
      <w:pPr>
        <w:pStyle w:val="05BODYTEXT"/>
        <w:keepNext/>
        <w:spacing w:line="240" w:lineRule="auto"/>
      </w:pPr>
      <w:r>
        <w:t>The Environment Protection Authority Victoria (EPA) has run a public smoky vehicle reporting program for many years. The numbers of vehicles reported provide some insight into the level of community awareness and concern into diesel vehicle exhaust emissions.</w:t>
      </w:r>
    </w:p>
    <w:p w14:paraId="2106747D" w14:textId="77777777" w:rsidR="00EB6564" w:rsidRDefault="00EB6564" w:rsidP="00EB6564">
      <w:pPr>
        <w:pStyle w:val="05BODYTEXT"/>
      </w:pPr>
      <w:r>
        <w:t xml:space="preserve">The number of smoky vehicles reported since the program began in 2005/06 is declining, which may indicate that there are fewer smoky vehicles being encountered on Victorian roads. </w:t>
      </w:r>
    </w:p>
    <w:p w14:paraId="0FAFB13C" w14:textId="77777777" w:rsidR="00EB6564" w:rsidRDefault="00EB6564" w:rsidP="00EB6564">
      <w:pPr>
        <w:pStyle w:val="05BODYTEXT"/>
      </w:pPr>
      <w:r>
        <w:t xml:space="preserve">Over the past five years, the number of diesel vehicles reported as smoky has steadily declined. This may indicate that there are fewer diesel vehicles out of compliance with in–service emissions standards. </w:t>
      </w:r>
    </w:p>
    <w:p w14:paraId="622F0BC2" w14:textId="0578E3C9" w:rsidR="00EB6564" w:rsidRDefault="00EB6564" w:rsidP="00EB6564">
      <w:pPr>
        <w:pStyle w:val="05BODYTEXT"/>
      </w:pPr>
      <w:r>
        <w:t>There is no current information available on the level of diesel vehicle emissions to ambient air. Retail diesel fuel sales in Victoria have risen by 4.4% (</w:t>
      </w:r>
      <w:hyperlink r:id="rId59" w:history="1">
        <w:r w:rsidRPr="00276A45">
          <w:rPr>
            <w:rStyle w:val="Hyperlink"/>
            <w:color w:val="4472C4" w:themeColor="accent1"/>
            <w:u w:val="single"/>
          </w:rPr>
          <w:t>energy.gov.au</w:t>
        </w:r>
      </w:hyperlink>
      <w:r>
        <w:t>) and the number of diesel vehicles registered in Victoria has risen by 8% (</w:t>
      </w:r>
      <w:hyperlink r:id="rId60" w:history="1">
        <w:r w:rsidRPr="00276A45">
          <w:rPr>
            <w:rStyle w:val="Hyperlink"/>
            <w:color w:val="4472C4" w:themeColor="accent1"/>
            <w:u w:val="single"/>
          </w:rPr>
          <w:t>abs.gov.au</w:t>
        </w:r>
      </w:hyperlink>
      <w:r>
        <w:t>). Emissions from diesel engines are likely to have gone up due to the increased fuel consumption, outweighing any gains from engine efficiency from one year to the next.</w:t>
      </w:r>
    </w:p>
    <w:p w14:paraId="41E2FDD3" w14:textId="77777777" w:rsidR="00EB6564" w:rsidRDefault="00EB6564" w:rsidP="00EB6564">
      <w:pPr>
        <w:pStyle w:val="03HEADING3"/>
      </w:pPr>
      <w:r>
        <w:t>Smoky vehicles program</w:t>
      </w:r>
    </w:p>
    <w:p w14:paraId="3C305428" w14:textId="77777777" w:rsidR="00EB6564" w:rsidRDefault="00EB6564" w:rsidP="00EB6564">
      <w:pPr>
        <w:pStyle w:val="05BODYTEXT"/>
      </w:pPr>
      <w:r>
        <w:t xml:space="preserve">In accordance with Schedule </w:t>
      </w:r>
      <w:proofErr w:type="gramStart"/>
      <w:r>
        <w:t>A(</w:t>
      </w:r>
      <w:proofErr w:type="gramEnd"/>
      <w:r>
        <w:t>1) of the NEPM, (Guidelines on Smoky Vehicles Program), collection of annual statistics would assist the ongoing review of programs. Information to be collected could include:</w:t>
      </w:r>
    </w:p>
    <w:p w14:paraId="25194778" w14:textId="77777777" w:rsidR="00EB6564" w:rsidRDefault="00EB6564" w:rsidP="00EB6564">
      <w:pPr>
        <w:pStyle w:val="05BODYTEXT"/>
      </w:pPr>
      <w:r>
        <w:t>Victoria’s public smoky vehicle reporting program allows members of the public to report vehicles (diesel, petrol or LPG) identified as continuously emitting smoke for more than 10 seconds to the EPA. EPA also operates an official smoky vehicle enforcement program where EPA or Victoria Police officers can report vehicles using the “10-second” smoke rule.</w:t>
      </w:r>
    </w:p>
    <w:p w14:paraId="55D77E44" w14:textId="77777777" w:rsidR="00EB6564" w:rsidRDefault="00EB6564" w:rsidP="00EB6564">
      <w:pPr>
        <w:pStyle w:val="05BODYTEXT"/>
      </w:pPr>
      <w:r>
        <w:t xml:space="preserve">As a result of these reports, the owners of the offending vehicles are informed in writing of the report and are requested to have the problem fixed. They are also informed about the penalties that may apply if they are identified by officers from EPA, VicRoads or the Police. In 2018/2019, the program resulted in 842 smoky vehicle letters being issued for public reports and 198 for official reports. </w:t>
      </w:r>
    </w:p>
    <w:p w14:paraId="4713CEF8" w14:textId="77777777" w:rsidR="00EB6564" w:rsidRDefault="00EB6564" w:rsidP="00EB6564">
      <w:pPr>
        <w:pStyle w:val="05BODYTEXT"/>
      </w:pPr>
      <w:r>
        <w:t>The following table indicates the number of smoky vehicle letters being sent from the public and official reporting programs over the past ten years. Generally, there is a slow downward trend in the number of letters issued over recent years in both streams of the program. The temporary drop in public reports in 2018-2019 was affected by reporting issues.</w:t>
      </w:r>
    </w:p>
    <w:p w14:paraId="5DF7D8E2" w14:textId="77777777" w:rsidR="00EB6564" w:rsidRDefault="00EB6564" w:rsidP="00EB6564">
      <w:pPr>
        <w:pStyle w:val="06TABLEHEADING"/>
      </w:pPr>
      <w:r>
        <w:t>Table 1: Number of cautionary letters issued under the smoky vehicles reporting program from public and official reports over the last 10 years.</w:t>
      </w:r>
    </w:p>
    <w:tbl>
      <w:tblPr>
        <w:tblW w:w="0" w:type="auto"/>
        <w:tblInd w:w="-5" w:type="dxa"/>
        <w:tblLayout w:type="fixed"/>
        <w:tblCellMar>
          <w:left w:w="0" w:type="dxa"/>
          <w:right w:w="0" w:type="dxa"/>
        </w:tblCellMar>
        <w:tblLook w:val="0000" w:firstRow="0" w:lastRow="0" w:firstColumn="0" w:lastColumn="0" w:noHBand="0" w:noVBand="0"/>
      </w:tblPr>
      <w:tblGrid>
        <w:gridCol w:w="1418"/>
        <w:gridCol w:w="600"/>
        <w:gridCol w:w="600"/>
        <w:gridCol w:w="600"/>
        <w:gridCol w:w="600"/>
        <w:gridCol w:w="599"/>
        <w:gridCol w:w="600"/>
        <w:gridCol w:w="600"/>
        <w:gridCol w:w="600"/>
        <w:gridCol w:w="600"/>
        <w:gridCol w:w="600"/>
      </w:tblGrid>
      <w:tr w:rsidR="00EB6564" w14:paraId="094B35C5" w14:textId="77777777">
        <w:trPr>
          <w:trHeight w:val="827"/>
          <w:tblHeader/>
        </w:trPr>
        <w:tc>
          <w:tcPr>
            <w:tcW w:w="141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848394F" w14:textId="77777777" w:rsidR="00EB6564" w:rsidRDefault="00EB6564">
            <w:pPr>
              <w:pStyle w:val="06bTABLEHEADERROW"/>
            </w:pPr>
            <w:r>
              <w:t>Year</w:t>
            </w:r>
          </w:p>
        </w:tc>
        <w:tc>
          <w:tcPr>
            <w:tcW w:w="60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55CB520E" w14:textId="77777777" w:rsidR="00EB6564" w:rsidRDefault="00EB6564">
            <w:pPr>
              <w:pStyle w:val="06bTABLEHEADERROW"/>
              <w:jc w:val="center"/>
            </w:pPr>
            <w:r>
              <w:t>2009/10</w:t>
            </w:r>
          </w:p>
        </w:tc>
        <w:tc>
          <w:tcPr>
            <w:tcW w:w="60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7417D26D" w14:textId="77777777" w:rsidR="00EB6564" w:rsidRDefault="00EB6564">
            <w:pPr>
              <w:pStyle w:val="06bTABLEHEADERROW"/>
              <w:jc w:val="center"/>
            </w:pPr>
            <w:r>
              <w:t>2010/11</w:t>
            </w:r>
          </w:p>
        </w:tc>
        <w:tc>
          <w:tcPr>
            <w:tcW w:w="60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50F09CA7" w14:textId="77777777" w:rsidR="00EB6564" w:rsidRDefault="00EB6564">
            <w:pPr>
              <w:pStyle w:val="06bTABLEHEADERROW"/>
              <w:jc w:val="center"/>
            </w:pPr>
            <w:r>
              <w:t>2011/12</w:t>
            </w:r>
          </w:p>
        </w:tc>
        <w:tc>
          <w:tcPr>
            <w:tcW w:w="60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39B692A7" w14:textId="77777777" w:rsidR="00EB6564" w:rsidRDefault="00EB6564">
            <w:pPr>
              <w:pStyle w:val="06bTABLEHEADERROW"/>
              <w:jc w:val="center"/>
            </w:pPr>
            <w:r>
              <w:t>2012/13</w:t>
            </w:r>
          </w:p>
        </w:tc>
        <w:tc>
          <w:tcPr>
            <w:tcW w:w="59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2C24DE4C" w14:textId="77777777" w:rsidR="00EB6564" w:rsidRDefault="00EB6564">
            <w:pPr>
              <w:pStyle w:val="06bTABLEHEADERROW"/>
              <w:jc w:val="center"/>
            </w:pPr>
            <w:r>
              <w:t>2013/14*</w:t>
            </w:r>
          </w:p>
        </w:tc>
        <w:tc>
          <w:tcPr>
            <w:tcW w:w="60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1D70C3FB" w14:textId="77777777" w:rsidR="00EB6564" w:rsidRDefault="00EB6564">
            <w:pPr>
              <w:pStyle w:val="06bTABLEHEADERROW"/>
              <w:jc w:val="center"/>
            </w:pPr>
            <w:r>
              <w:t>2014/15*</w:t>
            </w:r>
          </w:p>
        </w:tc>
        <w:tc>
          <w:tcPr>
            <w:tcW w:w="60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0A1B3AC5" w14:textId="77777777" w:rsidR="00EB6564" w:rsidRDefault="00EB6564">
            <w:pPr>
              <w:pStyle w:val="06bTABLEHEADERROW"/>
              <w:jc w:val="center"/>
            </w:pPr>
            <w:r>
              <w:t>2015/16*</w:t>
            </w:r>
          </w:p>
        </w:tc>
        <w:tc>
          <w:tcPr>
            <w:tcW w:w="60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51AA4F16" w14:textId="77777777" w:rsidR="00EB6564" w:rsidRDefault="00EB6564">
            <w:pPr>
              <w:pStyle w:val="06bTABLEHEADERROW"/>
              <w:jc w:val="center"/>
            </w:pPr>
            <w:r>
              <w:t>2016/17</w:t>
            </w:r>
          </w:p>
        </w:tc>
        <w:tc>
          <w:tcPr>
            <w:tcW w:w="60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0DA8EFB0" w14:textId="77777777" w:rsidR="00EB6564" w:rsidRDefault="00EB6564">
            <w:pPr>
              <w:pStyle w:val="06bTABLEHEADERROW"/>
              <w:jc w:val="center"/>
            </w:pPr>
            <w:r>
              <w:t>2017/18</w:t>
            </w:r>
          </w:p>
        </w:tc>
        <w:tc>
          <w:tcPr>
            <w:tcW w:w="60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textDirection w:val="btLr"/>
            <w:vAlign w:val="center"/>
          </w:tcPr>
          <w:p w14:paraId="24FFED9C" w14:textId="77777777" w:rsidR="00EB6564" w:rsidRDefault="00EB6564">
            <w:pPr>
              <w:pStyle w:val="06bTABLEHEADERROW"/>
              <w:jc w:val="center"/>
            </w:pPr>
            <w:r>
              <w:t>2018/19</w:t>
            </w:r>
          </w:p>
        </w:tc>
      </w:tr>
      <w:tr w:rsidR="00EB6564" w14:paraId="693CC72A" w14:textId="77777777">
        <w:trPr>
          <w:trHeight w:val="60"/>
        </w:trPr>
        <w:tc>
          <w:tcPr>
            <w:tcW w:w="14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5A6D9B" w14:textId="77777777" w:rsidR="00EB6564" w:rsidRDefault="00EB6564">
            <w:pPr>
              <w:pStyle w:val="06cTABLETEXT"/>
            </w:pPr>
            <w:r>
              <w:t>Number of letters from public reports</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2B9F24" w14:textId="77777777" w:rsidR="00EB6564" w:rsidRDefault="00EB6564">
            <w:pPr>
              <w:pStyle w:val="06cTABLETEXT"/>
              <w:jc w:val="center"/>
            </w:pPr>
            <w:r>
              <w:t>6177</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84D4A9" w14:textId="77777777" w:rsidR="00EB6564" w:rsidRDefault="00EB6564">
            <w:pPr>
              <w:pStyle w:val="06cTABLETEXT"/>
              <w:jc w:val="center"/>
            </w:pPr>
            <w:r>
              <w:t>5766</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7DF3428" w14:textId="77777777" w:rsidR="00EB6564" w:rsidRDefault="00EB6564">
            <w:pPr>
              <w:pStyle w:val="06cTABLETEXT"/>
              <w:jc w:val="center"/>
            </w:pPr>
            <w:r>
              <w:t>4895</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E0B76E" w14:textId="77777777" w:rsidR="00EB6564" w:rsidRDefault="00EB6564">
            <w:pPr>
              <w:pStyle w:val="06cTABLETEXT"/>
              <w:jc w:val="center"/>
            </w:pPr>
            <w:r>
              <w:t>3910</w:t>
            </w:r>
          </w:p>
        </w:tc>
        <w:tc>
          <w:tcPr>
            <w:tcW w:w="5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FE9A2B8" w14:textId="77777777" w:rsidR="00EB6564" w:rsidRDefault="00EB6564">
            <w:pPr>
              <w:pStyle w:val="06cTABLETEXT"/>
              <w:jc w:val="center"/>
            </w:pPr>
            <w:r>
              <w:t>2012</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1449AE" w14:textId="77777777" w:rsidR="00EB6564" w:rsidRDefault="00EB6564">
            <w:pPr>
              <w:pStyle w:val="06cTABLETEXT"/>
              <w:jc w:val="center"/>
            </w:pPr>
            <w:r>
              <w:t>2124</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5B7412" w14:textId="77777777" w:rsidR="00EB6564" w:rsidRDefault="00EB6564">
            <w:pPr>
              <w:pStyle w:val="06cTABLETEXT"/>
              <w:jc w:val="center"/>
            </w:pPr>
            <w:r>
              <w:t>1901</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80CAE7" w14:textId="77777777" w:rsidR="00EB6564" w:rsidRDefault="00EB6564">
            <w:pPr>
              <w:pStyle w:val="06cTABLETEXT"/>
              <w:jc w:val="center"/>
            </w:pPr>
            <w:r>
              <w:t>1815</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F4DD35" w14:textId="77777777" w:rsidR="00EB6564" w:rsidRDefault="00EB6564">
            <w:pPr>
              <w:pStyle w:val="06cTABLETEXT"/>
              <w:jc w:val="center"/>
            </w:pPr>
            <w:r>
              <w:t>1777</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8D6F332" w14:textId="77777777" w:rsidR="00EB6564" w:rsidRDefault="00EB6564">
            <w:pPr>
              <w:pStyle w:val="06cTABLETEXT"/>
              <w:jc w:val="center"/>
            </w:pPr>
            <w:r>
              <w:t>842</w:t>
            </w:r>
          </w:p>
        </w:tc>
      </w:tr>
      <w:tr w:rsidR="00EB6564" w14:paraId="3BDFDFF8" w14:textId="77777777">
        <w:trPr>
          <w:trHeight w:val="60"/>
        </w:trPr>
        <w:tc>
          <w:tcPr>
            <w:tcW w:w="14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BB175CA" w14:textId="77777777" w:rsidR="00EB6564" w:rsidRDefault="00EB6564">
            <w:pPr>
              <w:pStyle w:val="06cTABLETEXT"/>
            </w:pPr>
            <w:r>
              <w:t>Number of letters from official reports</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00B6ED" w14:textId="77777777" w:rsidR="00EB6564" w:rsidRDefault="00EB6564">
            <w:pPr>
              <w:pStyle w:val="06cTABLETEXT"/>
              <w:jc w:val="center"/>
            </w:pPr>
            <w:r>
              <w:t>445</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767532" w14:textId="77777777" w:rsidR="00EB6564" w:rsidRDefault="00EB6564">
            <w:pPr>
              <w:pStyle w:val="06cTABLETEXT"/>
              <w:jc w:val="center"/>
            </w:pPr>
            <w:r>
              <w:t>630</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7AC380" w14:textId="77777777" w:rsidR="00EB6564" w:rsidRDefault="00EB6564">
            <w:pPr>
              <w:pStyle w:val="06cTABLETEXT"/>
              <w:jc w:val="center"/>
            </w:pPr>
            <w:r>
              <w:t>495</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AAD227" w14:textId="77777777" w:rsidR="00EB6564" w:rsidRDefault="00EB6564">
            <w:pPr>
              <w:pStyle w:val="06cTABLETEXT"/>
              <w:jc w:val="center"/>
            </w:pPr>
            <w:r>
              <w:t>554</w:t>
            </w:r>
          </w:p>
        </w:tc>
        <w:tc>
          <w:tcPr>
            <w:tcW w:w="59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4CF50B" w14:textId="77777777" w:rsidR="00EB6564" w:rsidRDefault="00EB6564">
            <w:pPr>
              <w:pStyle w:val="06cTABLETEXT"/>
              <w:jc w:val="center"/>
            </w:pPr>
            <w:r>
              <w:t>145</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61566C" w14:textId="77777777" w:rsidR="00EB6564" w:rsidRDefault="00EB6564">
            <w:pPr>
              <w:pStyle w:val="06cTABLETEXT"/>
              <w:jc w:val="center"/>
            </w:pPr>
            <w:r>
              <w:t>193</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3D6C9C" w14:textId="77777777" w:rsidR="00EB6564" w:rsidRDefault="00EB6564">
            <w:pPr>
              <w:pStyle w:val="06cTABLETEXT"/>
              <w:jc w:val="center"/>
            </w:pPr>
            <w:r>
              <w:t>95</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7C94C9" w14:textId="77777777" w:rsidR="00EB6564" w:rsidRDefault="00EB6564">
            <w:pPr>
              <w:pStyle w:val="06cTABLETEXT"/>
              <w:jc w:val="center"/>
            </w:pPr>
            <w:r>
              <w:t>196</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649D16" w14:textId="77777777" w:rsidR="00EB6564" w:rsidRDefault="00EB6564">
            <w:pPr>
              <w:pStyle w:val="06cTABLETEXT"/>
              <w:jc w:val="center"/>
            </w:pPr>
            <w:r>
              <w:t>459</w:t>
            </w:r>
          </w:p>
        </w:tc>
        <w:tc>
          <w:tcPr>
            <w:tcW w:w="60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6EB4C6D" w14:textId="77777777" w:rsidR="00EB6564" w:rsidRDefault="00EB6564">
            <w:pPr>
              <w:pStyle w:val="06cTABLETEXT"/>
              <w:jc w:val="center"/>
            </w:pPr>
            <w:r>
              <w:t>198</w:t>
            </w:r>
          </w:p>
        </w:tc>
      </w:tr>
    </w:tbl>
    <w:p w14:paraId="11AD2DBA" w14:textId="77777777" w:rsidR="00EB6564" w:rsidRDefault="00EB6564" w:rsidP="00EB6564">
      <w:pPr>
        <w:pStyle w:val="07FOOTNOTES"/>
      </w:pPr>
      <w:r>
        <w:t>*</w:t>
      </w:r>
      <w:r>
        <w:tab/>
        <w:t>Note: These numbers include all vehicles in the official program, not just diesel-engine vehicles. Diesel vehicle reports were not included in past reports between 2013/14 – 2015/16, the above table has been updated to reflect the addition of these</w:t>
      </w:r>
    </w:p>
    <w:p w14:paraId="3BBFF63D" w14:textId="77777777" w:rsidR="00EB6564" w:rsidRDefault="00EB6564" w:rsidP="00EB6564">
      <w:pPr>
        <w:pStyle w:val="03HEADING3"/>
      </w:pPr>
      <w:r>
        <w:t>Diesel vehicle emission testing and repair programs</w:t>
      </w:r>
    </w:p>
    <w:p w14:paraId="4E564871" w14:textId="77777777" w:rsidR="00EB6564" w:rsidRDefault="00EB6564" w:rsidP="00EB6564">
      <w:pPr>
        <w:pStyle w:val="05BODYTEXT"/>
      </w:pPr>
      <w:r>
        <w:t xml:space="preserve">In accordance with Schedule </w:t>
      </w:r>
      <w:proofErr w:type="gramStart"/>
      <w:r>
        <w:t>A(</w:t>
      </w:r>
      <w:proofErr w:type="gramEnd"/>
      <w:r>
        <w:t>2) of the NEPM: In order to assess the emissions benefit from programs, it is critical that data is collected and reported at the beginning, during and end of the program. The data will enable participants to assess and report the emissions reductions from their operations and will also assist regulatory authorities in assessing the impacts on emissions and air quality overall. The data collected should include:</w:t>
      </w:r>
    </w:p>
    <w:p w14:paraId="5F25FF6D" w14:textId="77777777" w:rsidR="00EB6564" w:rsidRDefault="00EB6564" w:rsidP="00EB6564">
      <w:pPr>
        <w:pStyle w:val="05BODYTEXT"/>
      </w:pPr>
      <w:r>
        <w:lastRenderedPageBreak/>
        <w:t>Victoria has not had an emission testing and repair program since 2016.</w:t>
      </w:r>
    </w:p>
    <w:p w14:paraId="4FC4D369" w14:textId="77777777" w:rsidR="00EB6564" w:rsidRDefault="00EB6564" w:rsidP="00EB6564">
      <w:pPr>
        <w:pStyle w:val="03HEADING3"/>
      </w:pPr>
      <w:r>
        <w:t>Audited maintenance programs for diesel vehicles</w:t>
      </w:r>
    </w:p>
    <w:p w14:paraId="4CEF42AD" w14:textId="77777777" w:rsidR="00EB6564" w:rsidRDefault="00EB6564" w:rsidP="00EB6564">
      <w:pPr>
        <w:pStyle w:val="05BODYTEXT"/>
      </w:pPr>
      <w:r>
        <w:t>Victoria does not have an audited maintenance program for diesel vehicles.</w:t>
      </w:r>
    </w:p>
    <w:p w14:paraId="11DDD765" w14:textId="77777777" w:rsidR="00EB6564" w:rsidRDefault="00EB6564" w:rsidP="00EB6564">
      <w:pPr>
        <w:pStyle w:val="04HEADING4"/>
      </w:pPr>
      <w:r>
        <w:t>Diesel vehicle retrofit programs</w:t>
      </w:r>
    </w:p>
    <w:p w14:paraId="069CEA6D" w14:textId="77777777" w:rsidR="00EB6564" w:rsidRDefault="00EB6564" w:rsidP="00EB6564">
      <w:pPr>
        <w:pStyle w:val="05BODYTEXT"/>
      </w:pPr>
      <w:r>
        <w:t xml:space="preserve">Victoria does not have a diesel vehicle retrofit program. </w:t>
      </w:r>
    </w:p>
    <w:p w14:paraId="4CDA1BEF" w14:textId="77777777" w:rsidR="00EB6564" w:rsidRDefault="00EB6564" w:rsidP="00EB6564">
      <w:pPr>
        <w:pStyle w:val="03HEADING3"/>
      </w:pPr>
      <w:r>
        <w:t>Other programs</w:t>
      </w:r>
    </w:p>
    <w:p w14:paraId="666E6C79" w14:textId="77777777" w:rsidR="00EB6564" w:rsidRDefault="00EB6564" w:rsidP="00EB6564">
      <w:pPr>
        <w:pStyle w:val="05BODYTEXT"/>
      </w:pPr>
      <w:r>
        <w:t>Not Applicable</w:t>
      </w:r>
    </w:p>
    <w:p w14:paraId="2009483C" w14:textId="77777777" w:rsidR="00EB6564" w:rsidRPr="009408AB" w:rsidRDefault="00EB6564" w:rsidP="00CB0DA6">
      <w:pPr>
        <w:pStyle w:val="Heading2"/>
      </w:pPr>
      <w:bookmarkStart w:id="48" w:name="_Toc58254402"/>
      <w:r w:rsidRPr="009408AB">
        <w:t>Queensland</w:t>
      </w:r>
      <w:bookmarkEnd w:id="48"/>
    </w:p>
    <w:p w14:paraId="1F24F78C" w14:textId="77777777" w:rsidR="00EB6564" w:rsidRDefault="00EB6564" w:rsidP="00EB6564">
      <w:pPr>
        <w:pStyle w:val="05BODYTEXT"/>
        <w:rPr>
          <w:rStyle w:val="ITALIC"/>
        </w:rPr>
      </w:pPr>
      <w:r>
        <w:rPr>
          <w:rStyle w:val="ITALIC"/>
        </w:rPr>
        <w:t>Report to the National Environment Protection Council (NEPC) on the implementation of the National Environment Protection (Diesel Vehicle Emissions) Measure in Queensland by the Honourable Mark Bailey - Minister for Transport and Main Roads, for the reporting year ended 30 June 2019.</w:t>
      </w:r>
    </w:p>
    <w:p w14:paraId="68396FDA" w14:textId="77777777" w:rsidR="00EB6564" w:rsidRDefault="00EB6564" w:rsidP="00EB6564">
      <w:pPr>
        <w:pStyle w:val="02HEADING2"/>
      </w:pPr>
      <w:r>
        <w:t>Part 1—Implementation of the NEPM and any significant issues</w:t>
      </w:r>
    </w:p>
    <w:p w14:paraId="7E84EEA9" w14:textId="77777777" w:rsidR="00EB6564" w:rsidRDefault="00EB6564" w:rsidP="00EB6564">
      <w:pPr>
        <w:pStyle w:val="05BODYTEXT"/>
      </w:pPr>
      <w:r>
        <w:t xml:space="preserve">The </w:t>
      </w:r>
      <w:r>
        <w:rPr>
          <w:rStyle w:val="ITALIC"/>
        </w:rPr>
        <w:t>National Environmental Protection Council (Queensland) Act 1994</w:t>
      </w:r>
      <w:r>
        <w:t xml:space="preserve"> provides the framework for implementing the National Environmental Protection Diesel Vehicle Emissions (DVE) Measure in Queensland. The Department of Transport and Main Roads (TMR) is responsible for implementing and reporting on the DVE NEPM. Queensland has programs in place to ensure air quality is maintained and diesel vehicle emissions are managed appropriately, as specified in the Diesel NEPM. There are no significant issues to report.</w:t>
      </w:r>
    </w:p>
    <w:p w14:paraId="4CC4BBE2" w14:textId="77777777" w:rsidR="00EB6564" w:rsidRDefault="00EB6564" w:rsidP="00EB6564">
      <w:pPr>
        <w:pStyle w:val="02HEADING2"/>
      </w:pPr>
      <w:r>
        <w:t>Part 2—Assessment of NEPM effectiveness</w:t>
      </w:r>
    </w:p>
    <w:p w14:paraId="3268BBEC" w14:textId="77777777" w:rsidR="00EB6564" w:rsidRDefault="00EB6564" w:rsidP="00EB6564">
      <w:pPr>
        <w:pStyle w:val="05BODYTEXT"/>
      </w:pPr>
      <w:r>
        <w:t>Motor vehicles are the main contributor to ambient carbon monoxide, oxides of nitrogen (NO</w:t>
      </w:r>
      <w:r>
        <w:rPr>
          <w:vertAlign w:val="subscript"/>
        </w:rPr>
        <w:t>x</w:t>
      </w:r>
      <w:r>
        <w:t>) and particulate matter (PM) concentrations in urban areas. The Environmental Monitoring and Assessment Sciences Division, Department of Environment and Science (DES) is responsible for monitoring air quality in Queensland.</w:t>
      </w:r>
    </w:p>
    <w:p w14:paraId="76FE1902" w14:textId="77777777" w:rsidR="00EB6564" w:rsidRDefault="00EB6564" w:rsidP="00EB6564">
      <w:pPr>
        <w:pStyle w:val="05BODYTEXT"/>
      </w:pPr>
      <w:r>
        <w:t xml:space="preserve">Air quality in Queensland for the 2018 Ambient Air Quality NEPM reporting period has been generally good. Monitored pollutants have exceeded national standards or guidelines very few times, complying with national air quality standards for five of the six major air pollutants. This has been achieved despite the pressures from a growing population, an increase in motor vehicle </w:t>
      </w:r>
      <w:proofErr w:type="gramStart"/>
      <w:r>
        <w:t>use</w:t>
      </w:r>
      <w:proofErr w:type="gramEnd"/>
      <w:r>
        <w:t xml:space="preserve"> and industrial growth. Air quality improvements are a result of Queensland’s regulation of industry, stricter emission standards for motor vehicles and new emission reduction technology.</w:t>
      </w:r>
    </w:p>
    <w:p w14:paraId="0D125E7C" w14:textId="77777777" w:rsidR="00EB6564" w:rsidRDefault="00EB6564" w:rsidP="00EB6564">
      <w:pPr>
        <w:pStyle w:val="05BODYTEXT"/>
      </w:pPr>
      <w:r>
        <w:t>There were only two days in South East Queensland (SEQ) where air quality for visual amenity standards was classed as poor, indicating that at least one air quality monitoring station did not meet NEPM goals. Gladstone recorded three poor days, while Townsville and Mackay recorded no poor days in the reporting period. The air quality trend for human health found zero poor days registered in SEQ, Mackay and Gladstone with only one day classed as poor in Townsville. There have been periods of elevated particle levels in all areas of Queensland where monitoring takes place, however, these are associated with dust storms and bushfires rather than transport related emissions. Recent studies have indicated that bush fires and prescribed burning may have more impact on air quality than originally thought.</w:t>
      </w:r>
    </w:p>
    <w:p w14:paraId="14BF7F29" w14:textId="77777777" w:rsidR="00EB6564" w:rsidRDefault="00EB6564" w:rsidP="00EB6564">
      <w:pPr>
        <w:pStyle w:val="05BODYTEXT"/>
      </w:pPr>
      <w:r>
        <w:t>The Australian Government plays a key role in achieving air quality goals, chiefly through its powers to set emission standards for new vehicles through the Australian Design Rules (ADRs) and fuel quality standards. ADRs are established under the </w:t>
      </w:r>
      <w:r>
        <w:rPr>
          <w:rStyle w:val="ITALIC"/>
        </w:rPr>
        <w:t>Motor Vehicle Standards Act 1989</w:t>
      </w:r>
      <w:r>
        <w:t xml:space="preserve"> (</w:t>
      </w:r>
      <w:proofErr w:type="spellStart"/>
      <w:r>
        <w:t>Cwth</w:t>
      </w:r>
      <w:proofErr w:type="spellEnd"/>
      <w:r>
        <w:t>), while vehicle fuel quality standards are set through the </w:t>
      </w:r>
      <w:r>
        <w:rPr>
          <w:rStyle w:val="ITALIC"/>
        </w:rPr>
        <w:t>Fuel Quality Standards Act 2000</w:t>
      </w:r>
      <w:r>
        <w:t xml:space="preserve"> (</w:t>
      </w:r>
      <w:proofErr w:type="spellStart"/>
      <w:r>
        <w:t>Cwth</w:t>
      </w:r>
      <w:proofErr w:type="spellEnd"/>
      <w:r>
        <w:t>).</w:t>
      </w:r>
    </w:p>
    <w:p w14:paraId="117DFFA5" w14:textId="77777777" w:rsidR="00EB6564" w:rsidRDefault="00EB6564" w:rsidP="00EB6564">
      <w:pPr>
        <w:pStyle w:val="05BODYTEXT"/>
      </w:pPr>
      <w:r>
        <w:t>Responding to growing concern over particle and NO</w:t>
      </w:r>
      <w:r>
        <w:rPr>
          <w:vertAlign w:val="subscript"/>
        </w:rPr>
        <w:t>x</w:t>
      </w:r>
      <w:r>
        <w:t> pollution from diesel vehicles, the National Environment Protection (Diesel Vehicle Emissions) Measure was established in 2001. Unlike the ADRs that set standards for new petrol and diesel vehicles, the diesel emissions NEPM targets in-service vehicles. It is then states’ responsibility, establishing a range of strategies for governments to employ to reduce emissions. The Commonwealth Department of Infrastructure and Regional Development released a discussion paper in February 2016. This was followed by the release of three further consultation papers:</w:t>
      </w:r>
    </w:p>
    <w:p w14:paraId="29C515D0" w14:textId="77777777" w:rsidR="00EB6564" w:rsidRDefault="00EB6564" w:rsidP="00EB6564">
      <w:pPr>
        <w:pStyle w:val="05bDOTPOINTS"/>
      </w:pPr>
      <w:r>
        <w:t>•</w:t>
      </w:r>
      <w:r>
        <w:tab/>
        <w:t>a draft Regulation Impact Statement (RIS) on improving the efficiency of new light vehicles</w:t>
      </w:r>
    </w:p>
    <w:p w14:paraId="08E2A13C" w14:textId="77777777" w:rsidR="00EB6564" w:rsidRDefault="00EB6564" w:rsidP="00EB6564">
      <w:pPr>
        <w:pStyle w:val="05bDOTPOINTS"/>
      </w:pPr>
      <w:r>
        <w:t>•</w:t>
      </w:r>
      <w:r>
        <w:tab/>
        <w:t>a draft RIS on strengthening noxious emissions standards for light and heavy vehicles</w:t>
      </w:r>
    </w:p>
    <w:p w14:paraId="79503803" w14:textId="77777777" w:rsidR="00EB6564" w:rsidRDefault="00EB6564" w:rsidP="00EB6564">
      <w:pPr>
        <w:pStyle w:val="05bDOTPOINTS"/>
      </w:pPr>
      <w:r>
        <w:t>•</w:t>
      </w:r>
      <w:r>
        <w:tab/>
        <w:t>a discussion paper on improving fuel quality standards.</w:t>
      </w:r>
    </w:p>
    <w:p w14:paraId="1581B44B" w14:textId="77777777" w:rsidR="00EB6564" w:rsidRDefault="00EB6564" w:rsidP="00EB6564">
      <w:pPr>
        <w:pStyle w:val="05BODYTEXT"/>
      </w:pPr>
      <w:r>
        <w:t xml:space="preserve">No further work has been done to introduce any new standards or legislation to control vehicle emissions in 2018. The current standard for heavy vehicle emissions remains ADR80/03, and is based on the Euro V standards, although equivalent US or Japanese standards are accepted as alternatives. Euro VI standards have been adopted in Europe since 2013, and although they are yet to be implemented in Australia, there are Euro VI compliant heavy vehicles in use in Queensland. The new ADR, once implemented, will require all new heavy vehicles to comply with more stringent emission standards and will assist in further reducing the diesel emissions related to road transport in Queensland. There are no timeframes in place around the introduction of Euro VI requirements. </w:t>
      </w:r>
    </w:p>
    <w:p w14:paraId="2BEE559F" w14:textId="77777777" w:rsidR="00EB6564" w:rsidRDefault="00EB6564" w:rsidP="00EB6564">
      <w:pPr>
        <w:pStyle w:val="05BODYTEXT"/>
      </w:pPr>
      <w:r>
        <w:lastRenderedPageBreak/>
        <w:t>Other programs currently in place to complement the ADRs and mitigate diesel vehicle emissions in Queensland are described below.</w:t>
      </w:r>
    </w:p>
    <w:p w14:paraId="71578D53" w14:textId="77777777" w:rsidR="00EB6564" w:rsidRDefault="00EB6564" w:rsidP="00EB6564">
      <w:pPr>
        <w:pStyle w:val="03HEADING3"/>
      </w:pPr>
      <w:r>
        <w:t>Smoky vehicles program</w:t>
      </w:r>
    </w:p>
    <w:p w14:paraId="46D59DD1" w14:textId="77777777" w:rsidR="00EB6564" w:rsidRDefault="00EB6564" w:rsidP="00EB6564">
      <w:pPr>
        <w:pStyle w:val="05BODYTEXT"/>
      </w:pPr>
      <w:r>
        <w:t>The Smoky Vehicle Online Reporting Program currently provides the community with an avenue for reporting vehicles exceeding the ten-second smoke rule, which requires all vehicles to meet smoke opacity standards. Vehicles that emit smoke continuously for a period of ten seconds or more are in breach of the ten second rule.</w:t>
      </w:r>
    </w:p>
    <w:p w14:paraId="0C142DBA" w14:textId="77777777" w:rsidR="00EB6564" w:rsidRDefault="00EB6564" w:rsidP="00EB6564">
      <w:pPr>
        <w:pStyle w:val="05BODYTEXT"/>
      </w:pPr>
      <w:r>
        <w:t xml:space="preserve">Once reported data is matched with the information provided, a letter may be sent to the registered owner advising them of the report and suggesting ways to identify and remedy the problem. If the vehicle is reported three times within a four-month period, the owner is issued with a Present Vehicle Order (PVO) which requires their vehicle to be checked for defects by a Transport Inspector. However, the correlation between smoke and other pollutants is uncertain and pollutants may not be visible. </w:t>
      </w:r>
    </w:p>
    <w:p w14:paraId="7D2AE107" w14:textId="77777777" w:rsidR="00EB6564" w:rsidRDefault="00EB6564" w:rsidP="00EB6564">
      <w:pPr>
        <w:pStyle w:val="05BODYTEXT"/>
      </w:pPr>
      <w:r>
        <w:t xml:space="preserve">For the period 1 July 2018 to 30 June 2019 there were a total of 2,331 vehicles reported through the smoky vehicle online reporting form in Queensland. Of the reported vehicles 804 were diesel powered. </w:t>
      </w:r>
    </w:p>
    <w:p w14:paraId="7107CD0A" w14:textId="77777777" w:rsidR="00EB6564" w:rsidRDefault="00EB6564" w:rsidP="00EB6564">
      <w:pPr>
        <w:pStyle w:val="03HEADING3"/>
      </w:pPr>
      <w:r>
        <w:t>Diesel vehicle emission testing and repair programs</w:t>
      </w:r>
    </w:p>
    <w:p w14:paraId="5351F071" w14:textId="77777777" w:rsidR="00EB6564" w:rsidRDefault="00EB6564" w:rsidP="00EB6564">
      <w:pPr>
        <w:pStyle w:val="05BODYTEXT"/>
      </w:pPr>
      <w:r>
        <w:t>TMR operates a compulsory programmed inspection regime for all heavy vehicles registered in Queensland. Heavy vehicles are inspected every twelve months, prior to renewal of registration. Public passenger vehicles, such as buses, are inspected every six months.</w:t>
      </w:r>
    </w:p>
    <w:p w14:paraId="098209FA" w14:textId="77777777" w:rsidR="00EB6564" w:rsidRDefault="00EB6564" w:rsidP="00EB6564">
      <w:pPr>
        <w:pStyle w:val="05BODYTEXT"/>
      </w:pPr>
      <w:r>
        <w:t xml:space="preserve">TMR inspected 27,503 heavy vehicles while private approved inspection stations inspected a further 57,699. All the vehicles were operating on diesel fuel and included rigid heavy vehicles prime movers and buses. These inspections ensure that defective engine performance, defective exhaust and muffler problems which contribute to emissions are addressed and rectified. </w:t>
      </w:r>
    </w:p>
    <w:p w14:paraId="5CC57703" w14:textId="77777777" w:rsidR="00EB6564" w:rsidRDefault="00EB6564" w:rsidP="00EB6564">
      <w:pPr>
        <w:pStyle w:val="05BODYTEXT"/>
      </w:pPr>
      <w:r>
        <w:t xml:space="preserve">In Queensland, the Brisbane City Council (BCC) owns and operates the only facility for testing diesel powered heavy vehicles under the DT80 emission testing regime. During the 2018-19 financial year BCC tested a total of 17 diesel powered vehicles, none of the vehicles tested were manufactured prior to 1996 and tested to meet fuel tax credit environmental criterion 3. Meeting the fuel tax credit through this criterion is no longer effective as an incentive to encourage maintenance of emission systems as the target vehicles are now a minimum of 25 years old and are likely to be close to retirement or already disposed of. </w:t>
      </w:r>
    </w:p>
    <w:p w14:paraId="1E739AF7" w14:textId="77777777" w:rsidR="00EB6564" w:rsidRDefault="00EB6564" w:rsidP="00EB6564">
      <w:pPr>
        <w:pStyle w:val="05BODYTEXT"/>
      </w:pPr>
      <w:r>
        <w:t>The remainder of vehicles were manufactured after December 1995 and complied with ADR/70 emission standards or later. All the diesel-powered vehicles tested passed. Of the 17 heavy vehicles tested, two were from BCC’s own fleet and 15 were from external operators. This represents a 23% decrease on the previous year’s testing numbers, again indicating that there is limited uptake of DT80 emission testing in Queensland. DT80 testing is voluntary and costs are relatively high at $679 plus GST which may deter operators. Most of the testing this year was for kerbside garbage collection vehicles as a contractual requirement.</w:t>
      </w:r>
    </w:p>
    <w:p w14:paraId="540CA648" w14:textId="77777777" w:rsidR="00EB6564" w:rsidRDefault="00EB6564" w:rsidP="00EB6564">
      <w:pPr>
        <w:pStyle w:val="05BODYTEXT"/>
      </w:pPr>
      <w:r>
        <w:t>The National Heavy Vehicle Regulator (NHVR) is now overseeing heavy vehicle standards and has adopted a new simplified Portable Emissions Measuring system (PEMS) for testing modified heavy vehicle engines to ensure that they remain compliant with the appropriate ADR. It may be possible that this testing system could be expanded to include smoky vehicles in the future. The Queensland Police Service, Heavy Vehicle Enforcement Team has approached the BCC to investigate how to identify disabling of emissions control components. This program is in preliminary planning stages.</w:t>
      </w:r>
    </w:p>
    <w:p w14:paraId="278266C1" w14:textId="77777777" w:rsidR="00EB6564" w:rsidRDefault="00EB6564" w:rsidP="00EB6564">
      <w:pPr>
        <w:pStyle w:val="03HEADING3"/>
      </w:pPr>
      <w:r>
        <w:t>Audited maintenance programs for diesel vehicles</w:t>
      </w:r>
    </w:p>
    <w:p w14:paraId="50ACB9BA" w14:textId="77777777" w:rsidR="00EB6564" w:rsidRDefault="00EB6564" w:rsidP="00EB6564">
      <w:pPr>
        <w:pStyle w:val="05BODYTEXT"/>
      </w:pPr>
      <w:r>
        <w:t xml:space="preserve">The Queensland Government encourages owners and operators of heavy vehicles to participate in the National Heavy Vehicle Accreditation Scheme (NHVAS), administered by the NHVR. The scheme gives heavy vehicle owners more responsibility for servicing their vehicles and ensuring they are compliant with maintenance accreditation requirements. Compliance with an accredited maintenance management scheme provides a concession to the requirement for an annual inspection in Queensland and the need to provide a Certificate of Inspection prior to registering vehicles. </w:t>
      </w:r>
    </w:p>
    <w:p w14:paraId="0D5DF694" w14:textId="77777777" w:rsidR="00EB6564" w:rsidRDefault="00EB6564" w:rsidP="00EB6564">
      <w:pPr>
        <w:pStyle w:val="05BODYTEXT"/>
      </w:pPr>
      <w:r>
        <w:t xml:space="preserve">There are 39,611 Queensland registered heavy vehicles currently participating in the NHVAS maintenance scheme, representing a slight decrease on last years accredited vehicles. The vehicles are operating under 900 operators. The majority of vehicles participating in the NHVAS maintenance scheme use diesel fuel and it is anticipated that if they are well maintained they are less likely to have problematic emissions. </w:t>
      </w:r>
    </w:p>
    <w:p w14:paraId="68C955B8" w14:textId="77777777" w:rsidR="00EB6564" w:rsidRDefault="00EB6564" w:rsidP="00EB6564">
      <w:pPr>
        <w:pStyle w:val="05BODYTEXT"/>
      </w:pPr>
      <w:r>
        <w:t>There are 1,086 Operators and 10,030 heavy vehicles operating under the NHVAS mass scheme which allows the vehicles to carry higher loads in exchange for being tracked to ensure drivers remain on specified routes. These vehicles are larger but make fewer trips and improve productivity, congestion and fuel efficiency.</w:t>
      </w:r>
    </w:p>
    <w:p w14:paraId="0EEA5867" w14:textId="77777777" w:rsidR="00EB6564" w:rsidRDefault="00EB6564" w:rsidP="00EB6564">
      <w:pPr>
        <w:pStyle w:val="03HEADING3"/>
      </w:pPr>
      <w:r>
        <w:t>Diesel vehicle retrofit programs</w:t>
      </w:r>
    </w:p>
    <w:p w14:paraId="4F4E11C0" w14:textId="77777777" w:rsidR="00EB6564" w:rsidRDefault="00EB6564" w:rsidP="00EB6564">
      <w:pPr>
        <w:pStyle w:val="05BODYTEXT"/>
      </w:pPr>
      <w:r>
        <w:t>Queensland has no diesel retrofit programs at this time.</w:t>
      </w:r>
    </w:p>
    <w:p w14:paraId="010BE4A5" w14:textId="77777777" w:rsidR="00EB6564" w:rsidRDefault="00EB6564" w:rsidP="00EB6564">
      <w:pPr>
        <w:pStyle w:val="03HEADING3"/>
      </w:pPr>
      <w:r>
        <w:t>Other programs</w:t>
      </w:r>
    </w:p>
    <w:p w14:paraId="404F4504" w14:textId="77777777" w:rsidR="00EB6564" w:rsidRDefault="00EB6564" w:rsidP="00EB6564">
      <w:pPr>
        <w:pStyle w:val="05BODYTEXT"/>
      </w:pPr>
      <w:r>
        <w:t>There are no other programs currently in place in Queensland.</w:t>
      </w:r>
    </w:p>
    <w:p w14:paraId="6A63CF19" w14:textId="77777777" w:rsidR="00EB6564" w:rsidRPr="009408AB" w:rsidRDefault="00EB6564" w:rsidP="00CB0DA6">
      <w:pPr>
        <w:pStyle w:val="Heading2"/>
      </w:pPr>
      <w:bookmarkStart w:id="49" w:name="_Toc58254403"/>
      <w:r w:rsidRPr="009408AB">
        <w:lastRenderedPageBreak/>
        <w:t>Western Australia</w:t>
      </w:r>
      <w:bookmarkEnd w:id="49"/>
      <w:r w:rsidRPr="009408AB">
        <w:t xml:space="preserve"> </w:t>
      </w:r>
    </w:p>
    <w:p w14:paraId="120CF0A4" w14:textId="77777777" w:rsidR="00EB6564" w:rsidRDefault="00EB6564" w:rsidP="00D14E8A">
      <w:pPr>
        <w:pStyle w:val="05BODYTEXT"/>
        <w:keepNext/>
        <w:spacing w:line="240" w:lineRule="auto"/>
        <w:rPr>
          <w:rStyle w:val="ITALIC"/>
        </w:rPr>
      </w:pPr>
      <w:r>
        <w:rPr>
          <w:rStyle w:val="ITALIC"/>
        </w:rPr>
        <w:t>Report to the NEPC on the implementation of the National Environment Protection (Diesel Vehicle Emissions) Measure for Western Australia by the Hon Stephen Dawson MLC, Minister for Environment; Disability Services; Electoral Affairs for the reporting year ended 30 June 2019.</w:t>
      </w:r>
    </w:p>
    <w:p w14:paraId="15786F0A" w14:textId="77777777" w:rsidR="00EB6564" w:rsidRDefault="00EB6564" w:rsidP="00D14E8A">
      <w:pPr>
        <w:pStyle w:val="02HEADING2"/>
        <w:spacing w:line="240" w:lineRule="auto"/>
      </w:pPr>
      <w:r>
        <w:t>Part 1—Implementation of the NEPM and any significant issues</w:t>
      </w:r>
    </w:p>
    <w:p w14:paraId="48489398" w14:textId="77777777" w:rsidR="00EB6564" w:rsidRDefault="00EB6564" w:rsidP="00D14E8A">
      <w:pPr>
        <w:pStyle w:val="05BODYTEXT"/>
        <w:keepNext/>
        <w:spacing w:line="240" w:lineRule="auto"/>
        <w:rPr>
          <w:rStyle w:val="ITALIC"/>
        </w:rPr>
      </w:pPr>
      <w:r>
        <w:t>In Western Australia, the National Environment Protection (Diesel Vehicle Emissions) Measure (Diesel NEPM) is implemented by the Department of Water and Environmental Regulation (DWER) under the</w:t>
      </w:r>
      <w:r>
        <w:rPr>
          <w:rStyle w:val="ITALIC"/>
        </w:rPr>
        <w:t xml:space="preserve"> National Environment Protection Council (WA) Act 1996</w:t>
      </w:r>
      <w:r>
        <w:t xml:space="preserve"> and the Western Australian </w:t>
      </w:r>
      <w:r>
        <w:rPr>
          <w:rStyle w:val="ITALIC"/>
        </w:rPr>
        <w:t xml:space="preserve">Environmental Protection Act 1986. </w:t>
      </w:r>
    </w:p>
    <w:p w14:paraId="23531A91" w14:textId="77777777" w:rsidR="00EB6564" w:rsidRDefault="00EB6564" w:rsidP="00EB6564">
      <w:pPr>
        <w:pStyle w:val="05BODYTEXT"/>
      </w:pPr>
      <w:r>
        <w:t xml:space="preserve">Vehicle emissions in Western Australia are regulated under the </w:t>
      </w:r>
      <w:r>
        <w:rPr>
          <w:rStyle w:val="ITALIC"/>
        </w:rPr>
        <w:t xml:space="preserve">Road Traffic (Vehicles) Act 2012 </w:t>
      </w:r>
      <w:r>
        <w:t xml:space="preserve">and </w:t>
      </w:r>
      <w:r>
        <w:rPr>
          <w:rStyle w:val="ITALIC"/>
        </w:rPr>
        <w:t>Road Traffic (Vehicles) Regulations 2014</w:t>
      </w:r>
      <w:r>
        <w:t>, which are administered by the Department of Transport (DoT). The ‘ten-second rule’ in the regulations is the primary mechanism used to target visually polluting diesel and petrol vehicles.</w:t>
      </w:r>
    </w:p>
    <w:p w14:paraId="462EF92D" w14:textId="77777777" w:rsidR="00EB6564" w:rsidRDefault="00EB6564" w:rsidP="00EB6564">
      <w:pPr>
        <w:pStyle w:val="05BODYTEXT"/>
      </w:pPr>
      <w:r>
        <w:t>In addition to smoky vehicle regulation, DWER operates a remote sensing device (RSD) that measures on-road vehicle emissions and provides immediate feedback to drivers on their vehicle emissions relative to the wider vehicle fleet. The data collected by the RSD is used to track emission trends from vehicle groups of concern and inform vehicle policy development.</w:t>
      </w:r>
    </w:p>
    <w:p w14:paraId="131A1EA6" w14:textId="77777777" w:rsidR="00EB6564" w:rsidRDefault="00EB6564" w:rsidP="00EB6564">
      <w:pPr>
        <w:pStyle w:val="05BODYTEXT"/>
      </w:pPr>
      <w:r>
        <w:t xml:space="preserve">The Western Australian Government’s Perth Air Quality Management Plan (AQMP) aims to ensure that clean air is achieved and maintained throughout the Perth metropolitan region. The AQMP identifies that the management of emissions from in-service petrol and diesel vehicles is critical to achieving clean </w:t>
      </w:r>
      <w:proofErr w:type="gramStart"/>
      <w:r>
        <w:t>air, and</w:t>
      </w:r>
      <w:proofErr w:type="gramEnd"/>
      <w:r>
        <w:t xml:space="preserve"> contains a range of initiatives that target on-road vehicles. The implementation of vehicle emissions reduction initiatives in the AQMP is largely complementary to the outcomes of the Diesel NEPM.</w:t>
      </w:r>
    </w:p>
    <w:p w14:paraId="6C167DF9" w14:textId="77777777" w:rsidR="00EB6564" w:rsidRDefault="00EB6564" w:rsidP="00EB6564">
      <w:pPr>
        <w:pStyle w:val="02HEADING2"/>
      </w:pPr>
      <w:r>
        <w:t>Part 2—Assessment of NEPM effectiveness</w:t>
      </w:r>
    </w:p>
    <w:p w14:paraId="35EBB816" w14:textId="77777777" w:rsidR="00EB6564" w:rsidRDefault="00EB6564" w:rsidP="00EB6564">
      <w:pPr>
        <w:pStyle w:val="05BODYTEXT"/>
      </w:pPr>
      <w:r>
        <w:t xml:space="preserve">The implementation of vehicle emissions reduction initiatives of the AQMP and the </w:t>
      </w:r>
      <w:proofErr w:type="spellStart"/>
      <w:r>
        <w:t>CleanRun</w:t>
      </w:r>
      <w:proofErr w:type="spellEnd"/>
      <w:r>
        <w:t xml:space="preserve"> Program is the foundation of vehicle emissions reduction strategies undertaken by the Department. DWER will continue to work with Department of Transport, government agencies and industry associations to investigate and implement motor vehicle related policies and management actions to reduce the impact of diesel vehicle emission in Western Australia.</w:t>
      </w:r>
    </w:p>
    <w:p w14:paraId="2F01FCEF" w14:textId="77777777" w:rsidR="00EB6564" w:rsidRDefault="00EB6564" w:rsidP="00EB6564">
      <w:pPr>
        <w:pStyle w:val="03HEADING3"/>
      </w:pPr>
      <w:r>
        <w:t>Smoky vehicles program</w:t>
      </w:r>
    </w:p>
    <w:p w14:paraId="7A512799" w14:textId="77777777" w:rsidR="00EB6564" w:rsidRDefault="00EB6564" w:rsidP="00EB6564">
      <w:pPr>
        <w:pStyle w:val="05BODYTEXT"/>
      </w:pPr>
      <w:r>
        <w:t xml:space="preserve">In 2018-2019 the Smoky Vehicle Reporting Program (SVRP) received 482 reports, which is an average of 40 reports per month, representing a 16 per cent increase in reports from 2017-2018. The number of reports received is comparable with previous years. </w:t>
      </w:r>
    </w:p>
    <w:p w14:paraId="1669236D" w14:textId="77777777" w:rsidR="00EB6564" w:rsidRDefault="00EB6564" w:rsidP="00EB6564">
      <w:pPr>
        <w:pStyle w:val="05BODYTEXT"/>
      </w:pPr>
      <w:r>
        <w:t>There were no significant changes in the operation of the smoky vehicle reporting program for 2018-2019.</w:t>
      </w:r>
    </w:p>
    <w:p w14:paraId="5A80D667" w14:textId="77777777" w:rsidR="00EB6564" w:rsidRDefault="00EB6564" w:rsidP="00EB6564">
      <w:pPr>
        <w:pStyle w:val="05BODYTEXT"/>
      </w:pPr>
      <w:r>
        <w:t>Prior to contacting the owners of reported vehicles, DWER and Department of Transport verify reports by comparing reported vehicle details against the DoT vehicle registration database, discarding reports if details "do not sufficiently match. 417 advisory letters were sent to reported vehicle owners in 2018-2019 (86 per cent valid report rate).</w:t>
      </w:r>
    </w:p>
    <w:p w14:paraId="1BAE040A" w14:textId="77777777" w:rsidR="00EB6564" w:rsidRDefault="00EB6564" w:rsidP="00EB6564">
      <w:pPr>
        <w:pStyle w:val="05BODYTEXT"/>
      </w:pPr>
      <w:r>
        <w:t xml:space="preserve">Table 1 summarises the responses received for vehicles reported from 1 July 2018 to 30 June 2019. </w:t>
      </w:r>
    </w:p>
    <w:p w14:paraId="7DDDA635" w14:textId="77777777" w:rsidR="00EB6564" w:rsidRDefault="00EB6564" w:rsidP="00EB6564">
      <w:pPr>
        <w:pStyle w:val="06TABLEHEADING"/>
      </w:pPr>
      <w:r>
        <w:t>Table 1. Responses from owners of reported vehicles</w:t>
      </w:r>
    </w:p>
    <w:tbl>
      <w:tblPr>
        <w:tblW w:w="0" w:type="auto"/>
        <w:tblInd w:w="-5" w:type="dxa"/>
        <w:tblLayout w:type="fixed"/>
        <w:tblCellMar>
          <w:left w:w="0" w:type="dxa"/>
          <w:right w:w="0" w:type="dxa"/>
        </w:tblCellMar>
        <w:tblLook w:val="0000" w:firstRow="0" w:lastRow="0" w:firstColumn="0" w:lastColumn="0" w:noHBand="0" w:noVBand="0"/>
      </w:tblPr>
      <w:tblGrid>
        <w:gridCol w:w="1236"/>
        <w:gridCol w:w="1236"/>
        <w:gridCol w:w="1236"/>
        <w:gridCol w:w="1237"/>
        <w:gridCol w:w="1236"/>
        <w:gridCol w:w="1236"/>
      </w:tblGrid>
      <w:tr w:rsidR="00EB6564" w14:paraId="29C0F184" w14:textId="77777777">
        <w:trPr>
          <w:trHeight w:val="60"/>
          <w:tblHeader/>
        </w:trPr>
        <w:tc>
          <w:tcPr>
            <w:tcW w:w="123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B3E3065" w14:textId="77777777" w:rsidR="00EB6564" w:rsidRDefault="00EB6564">
            <w:pPr>
              <w:pStyle w:val="06bTABLEHEADERROW"/>
            </w:pPr>
            <w:r>
              <w:t>Response</w:t>
            </w:r>
          </w:p>
        </w:tc>
        <w:tc>
          <w:tcPr>
            <w:tcW w:w="123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BD37752" w14:textId="77777777" w:rsidR="00EB6564" w:rsidRDefault="00EB6564">
            <w:pPr>
              <w:pStyle w:val="06bTABLEHEADERROW"/>
              <w:jc w:val="center"/>
            </w:pPr>
            <w:r>
              <w:t>2014-2015</w:t>
            </w:r>
          </w:p>
        </w:tc>
        <w:tc>
          <w:tcPr>
            <w:tcW w:w="123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A955C74" w14:textId="77777777" w:rsidR="00EB6564" w:rsidRDefault="00EB6564">
            <w:pPr>
              <w:pStyle w:val="06bTABLEHEADERROW"/>
              <w:jc w:val="center"/>
            </w:pPr>
            <w:r>
              <w:t>2015-2016</w:t>
            </w:r>
          </w:p>
        </w:tc>
        <w:tc>
          <w:tcPr>
            <w:tcW w:w="123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F08BBE9" w14:textId="77777777" w:rsidR="00EB6564" w:rsidRDefault="00EB6564">
            <w:pPr>
              <w:pStyle w:val="06bTABLEHEADERROW"/>
              <w:jc w:val="center"/>
            </w:pPr>
            <w:r>
              <w:t>2016-2017</w:t>
            </w:r>
          </w:p>
        </w:tc>
        <w:tc>
          <w:tcPr>
            <w:tcW w:w="123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D1DB774" w14:textId="77777777" w:rsidR="00EB6564" w:rsidRDefault="00EB6564">
            <w:pPr>
              <w:pStyle w:val="06bTABLEHEADERROW"/>
              <w:jc w:val="center"/>
            </w:pPr>
            <w:r>
              <w:t>2017-2018</w:t>
            </w:r>
          </w:p>
        </w:tc>
        <w:tc>
          <w:tcPr>
            <w:tcW w:w="123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813C6DD" w14:textId="77777777" w:rsidR="00EB6564" w:rsidRDefault="00EB6564">
            <w:pPr>
              <w:pStyle w:val="06bTABLEHEADERROW"/>
              <w:jc w:val="center"/>
            </w:pPr>
            <w:r>
              <w:t>2018-2019</w:t>
            </w:r>
          </w:p>
        </w:tc>
      </w:tr>
      <w:tr w:rsidR="00EB6564" w14:paraId="0A2A5A80" w14:textId="77777777">
        <w:trPr>
          <w:trHeight w:val="60"/>
        </w:trPr>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FE17B6" w14:textId="77777777" w:rsidR="00EB6564" w:rsidRDefault="00EB6564">
            <w:pPr>
              <w:pStyle w:val="06cTABLETEXT"/>
            </w:pPr>
            <w:r>
              <w:t>Reports received</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3E09B40" w14:textId="77777777" w:rsidR="00EB6564" w:rsidRDefault="00EB6564">
            <w:pPr>
              <w:pStyle w:val="06cTABLETEXT"/>
              <w:jc w:val="center"/>
            </w:pPr>
            <w:r>
              <w:t>268</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AB0C2EF" w14:textId="77777777" w:rsidR="00EB6564" w:rsidRDefault="00EB6564">
            <w:pPr>
              <w:pStyle w:val="06cTABLETEXT"/>
              <w:jc w:val="center"/>
            </w:pPr>
            <w:r>
              <w:t>455</w:t>
            </w:r>
          </w:p>
        </w:tc>
        <w:tc>
          <w:tcPr>
            <w:tcW w:w="12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333F1E" w14:textId="77777777" w:rsidR="00EB6564" w:rsidRDefault="00EB6564">
            <w:pPr>
              <w:pStyle w:val="06cTABLETEXT"/>
              <w:jc w:val="center"/>
            </w:pPr>
            <w:r>
              <w:t>480</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0911C7" w14:textId="77777777" w:rsidR="00EB6564" w:rsidRDefault="00EB6564">
            <w:pPr>
              <w:pStyle w:val="06cTABLETEXT"/>
              <w:jc w:val="center"/>
            </w:pPr>
            <w:r>
              <w:t>415</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FBDBC1" w14:textId="77777777" w:rsidR="00EB6564" w:rsidRDefault="00EB6564">
            <w:pPr>
              <w:pStyle w:val="06cTABLETEXT"/>
              <w:jc w:val="center"/>
            </w:pPr>
            <w:r>
              <w:t>482</w:t>
            </w:r>
          </w:p>
        </w:tc>
      </w:tr>
      <w:tr w:rsidR="00EB6564" w14:paraId="00286DCF" w14:textId="77777777">
        <w:trPr>
          <w:trHeight w:val="60"/>
        </w:trPr>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DE9CBF" w14:textId="77777777" w:rsidR="00EB6564" w:rsidRDefault="00EB6564">
            <w:pPr>
              <w:pStyle w:val="06cTABLETEXT"/>
            </w:pPr>
            <w:r>
              <w:t>Letters sent</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30005D" w14:textId="77777777" w:rsidR="00EB6564" w:rsidRDefault="00EB6564">
            <w:pPr>
              <w:pStyle w:val="06cTABLETEXT"/>
              <w:jc w:val="center"/>
            </w:pPr>
            <w:r>
              <w:t>N/A</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48AB360" w14:textId="77777777" w:rsidR="00EB6564" w:rsidRDefault="00EB6564">
            <w:pPr>
              <w:pStyle w:val="06cTABLETEXT"/>
              <w:jc w:val="center"/>
            </w:pPr>
            <w:r>
              <w:t>372</w:t>
            </w:r>
          </w:p>
        </w:tc>
        <w:tc>
          <w:tcPr>
            <w:tcW w:w="12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101735" w14:textId="77777777" w:rsidR="00EB6564" w:rsidRDefault="00EB6564">
            <w:pPr>
              <w:pStyle w:val="06cTABLETEXT"/>
              <w:jc w:val="center"/>
            </w:pPr>
            <w:r>
              <w:t>424</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5721F8" w14:textId="77777777" w:rsidR="00EB6564" w:rsidRDefault="00EB6564">
            <w:pPr>
              <w:pStyle w:val="06cTABLETEXT"/>
              <w:jc w:val="center"/>
            </w:pPr>
            <w:r>
              <w:t>353</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BF1F81" w14:textId="77777777" w:rsidR="00EB6564" w:rsidRDefault="00EB6564">
            <w:pPr>
              <w:pStyle w:val="06cTABLETEXT"/>
              <w:jc w:val="center"/>
            </w:pPr>
            <w:r>
              <w:t>417</w:t>
            </w:r>
          </w:p>
        </w:tc>
      </w:tr>
      <w:tr w:rsidR="00EB6564" w14:paraId="2E10DDE9" w14:textId="77777777">
        <w:trPr>
          <w:trHeight w:val="60"/>
        </w:trPr>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095ECA" w14:textId="77777777" w:rsidR="00EB6564" w:rsidRDefault="00EB6564">
            <w:pPr>
              <w:pStyle w:val="06cTABLETEXT"/>
            </w:pPr>
            <w:r>
              <w:t>Responses received</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48634E4" w14:textId="77777777" w:rsidR="00EB6564" w:rsidRDefault="00EB6564">
            <w:pPr>
              <w:pStyle w:val="06cTABLETEXT"/>
              <w:jc w:val="center"/>
            </w:pPr>
            <w:r>
              <w:t>146</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A7D7F5" w14:textId="77777777" w:rsidR="00EB6564" w:rsidRDefault="00EB6564">
            <w:pPr>
              <w:pStyle w:val="06cTABLETEXT"/>
              <w:jc w:val="center"/>
            </w:pPr>
            <w:r>
              <w:t>282</w:t>
            </w:r>
          </w:p>
        </w:tc>
        <w:tc>
          <w:tcPr>
            <w:tcW w:w="12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14B6A3" w14:textId="77777777" w:rsidR="00EB6564" w:rsidRDefault="00EB6564">
            <w:pPr>
              <w:pStyle w:val="06cTABLETEXT"/>
              <w:jc w:val="center"/>
            </w:pPr>
            <w:r>
              <w:t>292</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AF3C98" w14:textId="77777777" w:rsidR="00EB6564" w:rsidRDefault="00EB6564">
            <w:pPr>
              <w:pStyle w:val="06cTABLETEXT"/>
              <w:jc w:val="center"/>
            </w:pPr>
            <w:r>
              <w:t>191</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7B46199" w14:textId="77777777" w:rsidR="00EB6564" w:rsidRDefault="00EB6564">
            <w:pPr>
              <w:pStyle w:val="06cTABLETEXT"/>
              <w:jc w:val="center"/>
            </w:pPr>
            <w:r>
              <w:t>225</w:t>
            </w:r>
          </w:p>
        </w:tc>
      </w:tr>
      <w:tr w:rsidR="00EB6564" w14:paraId="2E39ABCB" w14:textId="77777777">
        <w:trPr>
          <w:trHeight w:val="60"/>
        </w:trPr>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1DF761" w14:textId="77777777" w:rsidR="00EB6564" w:rsidRDefault="00EB6564">
            <w:pPr>
              <w:pStyle w:val="06cTABLETEXT"/>
            </w:pPr>
            <w:r>
              <w:t>Vehicle repaired</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A825E0" w14:textId="77777777" w:rsidR="00EB6564" w:rsidRDefault="00EB6564">
            <w:pPr>
              <w:pStyle w:val="06cTABLETEXT"/>
              <w:jc w:val="center"/>
            </w:pPr>
            <w:r>
              <w:t>57 (48%)</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C1A97D" w14:textId="77777777" w:rsidR="00EB6564" w:rsidRDefault="00EB6564">
            <w:pPr>
              <w:pStyle w:val="06cTABLETEXT"/>
              <w:jc w:val="center"/>
            </w:pPr>
            <w:r>
              <w:t>127 (45.0%)</w:t>
            </w:r>
          </w:p>
        </w:tc>
        <w:tc>
          <w:tcPr>
            <w:tcW w:w="12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8FF335" w14:textId="77777777" w:rsidR="00EB6564" w:rsidRDefault="00EB6564">
            <w:pPr>
              <w:pStyle w:val="06cTABLETEXT"/>
              <w:jc w:val="center"/>
            </w:pPr>
            <w:r>
              <w:t>136 (46.6%)</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720715" w14:textId="77777777" w:rsidR="00EB6564" w:rsidRDefault="00EB6564">
            <w:pPr>
              <w:pStyle w:val="06cTABLETEXT"/>
              <w:jc w:val="center"/>
            </w:pPr>
            <w:r>
              <w:t>129 (67.5%)</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866767" w14:textId="77777777" w:rsidR="00EB6564" w:rsidRDefault="00EB6564">
            <w:pPr>
              <w:pStyle w:val="06cTABLETEXT"/>
              <w:jc w:val="center"/>
            </w:pPr>
            <w:r>
              <w:t>142 (63.1%)</w:t>
            </w:r>
          </w:p>
        </w:tc>
      </w:tr>
      <w:tr w:rsidR="00EB6564" w14:paraId="04610BFA" w14:textId="77777777">
        <w:trPr>
          <w:trHeight w:val="60"/>
        </w:trPr>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5804842" w14:textId="77777777" w:rsidR="00EB6564" w:rsidRDefault="00EB6564">
            <w:pPr>
              <w:pStyle w:val="06cTABLETEXT"/>
            </w:pPr>
            <w:r>
              <w:t>Vehicle does not smoke</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61110C" w14:textId="77777777" w:rsidR="00EB6564" w:rsidRDefault="00EB6564">
            <w:pPr>
              <w:pStyle w:val="06cTABLETEXT"/>
              <w:jc w:val="center"/>
            </w:pPr>
            <w:r>
              <w:t>45 (38%)</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7D7E9FB" w14:textId="77777777" w:rsidR="00EB6564" w:rsidRDefault="00EB6564">
            <w:pPr>
              <w:pStyle w:val="06cTABLETEXT"/>
              <w:jc w:val="center"/>
            </w:pPr>
            <w:r>
              <w:t>90 (31.9%)</w:t>
            </w:r>
          </w:p>
        </w:tc>
        <w:tc>
          <w:tcPr>
            <w:tcW w:w="12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137F5E3" w14:textId="77777777" w:rsidR="00EB6564" w:rsidRDefault="00EB6564">
            <w:pPr>
              <w:pStyle w:val="06cTABLETEXT"/>
              <w:jc w:val="center"/>
            </w:pPr>
            <w:r>
              <w:t>96 (32.9%)</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E0C5AD" w14:textId="77777777" w:rsidR="00EB6564" w:rsidRDefault="00EB6564">
            <w:pPr>
              <w:pStyle w:val="06cTABLETEXT"/>
              <w:jc w:val="center"/>
            </w:pPr>
            <w:r>
              <w:t>49 (25.7%)</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0C713C" w14:textId="77777777" w:rsidR="00EB6564" w:rsidRDefault="00EB6564">
            <w:pPr>
              <w:pStyle w:val="06cTABLETEXT"/>
              <w:jc w:val="center"/>
            </w:pPr>
            <w:r>
              <w:t>67 (29.8%)</w:t>
            </w:r>
          </w:p>
        </w:tc>
      </w:tr>
      <w:tr w:rsidR="00EB6564" w14:paraId="7819BC46" w14:textId="77777777">
        <w:trPr>
          <w:trHeight w:val="60"/>
        </w:trPr>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152EFE" w14:textId="77777777" w:rsidR="00EB6564" w:rsidRDefault="00EB6564">
            <w:pPr>
              <w:pStyle w:val="06cTABLETEXT"/>
            </w:pPr>
            <w:r>
              <w:t>Can’t afford to repair</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B89074" w14:textId="77777777" w:rsidR="00EB6564" w:rsidRDefault="00EB6564">
            <w:pPr>
              <w:pStyle w:val="06cTABLETEXT"/>
              <w:jc w:val="center"/>
            </w:pPr>
            <w:r>
              <w:t>1 (&lt;1%)</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88A853C" w14:textId="77777777" w:rsidR="00EB6564" w:rsidRDefault="00EB6564">
            <w:pPr>
              <w:pStyle w:val="06cTABLETEXT"/>
              <w:jc w:val="center"/>
            </w:pPr>
            <w:r>
              <w:t>3 (1.1%)</w:t>
            </w:r>
          </w:p>
        </w:tc>
        <w:tc>
          <w:tcPr>
            <w:tcW w:w="12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526397E" w14:textId="77777777" w:rsidR="00EB6564" w:rsidRDefault="00EB6564">
            <w:pPr>
              <w:pStyle w:val="06cTABLETEXT"/>
              <w:jc w:val="center"/>
            </w:pPr>
            <w:r>
              <w:t>6 (2.1%)</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67889CA" w14:textId="77777777" w:rsidR="00EB6564" w:rsidRDefault="00EB6564">
            <w:pPr>
              <w:pStyle w:val="06cTABLETEXT"/>
              <w:jc w:val="center"/>
            </w:pPr>
            <w:r>
              <w:t>0 (0%)</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4ADD54" w14:textId="77777777" w:rsidR="00EB6564" w:rsidRDefault="00EB6564">
            <w:pPr>
              <w:pStyle w:val="06cTABLETEXT"/>
              <w:jc w:val="center"/>
            </w:pPr>
            <w:r>
              <w:t>0 (0.0%)</w:t>
            </w:r>
          </w:p>
        </w:tc>
      </w:tr>
      <w:tr w:rsidR="00EB6564" w14:paraId="1C8911C8" w14:textId="77777777">
        <w:trPr>
          <w:trHeight w:val="60"/>
        </w:trPr>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58C4B1" w14:textId="77777777" w:rsidR="00EB6564" w:rsidRDefault="00EB6564">
            <w:pPr>
              <w:pStyle w:val="06cTABLETEXT"/>
            </w:pPr>
            <w:r>
              <w:lastRenderedPageBreak/>
              <w:t>Disposed of vehicle</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7E6621" w14:textId="77777777" w:rsidR="00EB6564" w:rsidRDefault="00EB6564">
            <w:pPr>
              <w:pStyle w:val="06cTABLETEXT"/>
              <w:jc w:val="center"/>
            </w:pPr>
            <w:r>
              <w:t>3 (2%)</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210A28" w14:textId="77777777" w:rsidR="00EB6564" w:rsidRDefault="00EB6564">
            <w:pPr>
              <w:pStyle w:val="06cTABLETEXT"/>
              <w:jc w:val="center"/>
            </w:pPr>
            <w:r>
              <w:t>8 (2.8%)</w:t>
            </w:r>
          </w:p>
        </w:tc>
        <w:tc>
          <w:tcPr>
            <w:tcW w:w="12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8F7845" w14:textId="77777777" w:rsidR="00EB6564" w:rsidRDefault="00EB6564">
            <w:pPr>
              <w:pStyle w:val="06cTABLETEXT"/>
              <w:jc w:val="center"/>
            </w:pPr>
            <w:r>
              <w:t>16 (5.5%)</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305E3CF" w14:textId="77777777" w:rsidR="00EB6564" w:rsidRDefault="00EB6564">
            <w:pPr>
              <w:pStyle w:val="06cTABLETEXT"/>
              <w:jc w:val="center"/>
            </w:pPr>
            <w:r>
              <w:t>5 (2.6%)</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012F86" w14:textId="77777777" w:rsidR="00EB6564" w:rsidRDefault="00EB6564">
            <w:pPr>
              <w:pStyle w:val="06cTABLETEXT"/>
              <w:jc w:val="center"/>
            </w:pPr>
            <w:r>
              <w:t>7 (3.1%)</w:t>
            </w:r>
          </w:p>
        </w:tc>
      </w:tr>
      <w:tr w:rsidR="00EB6564" w14:paraId="286EECA2" w14:textId="77777777">
        <w:trPr>
          <w:trHeight w:val="60"/>
        </w:trPr>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7BE0EC" w14:textId="77777777" w:rsidR="00EB6564" w:rsidRDefault="00EB6564">
            <w:pPr>
              <w:pStyle w:val="06cTABLETEXT"/>
            </w:pPr>
            <w:r>
              <w:t>Wrong vehicle</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70B194" w14:textId="77777777" w:rsidR="00EB6564" w:rsidRDefault="00EB6564">
            <w:pPr>
              <w:pStyle w:val="06cTABLETEXT"/>
              <w:jc w:val="center"/>
            </w:pPr>
            <w:r>
              <w:t>6 (5%)</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592733" w14:textId="77777777" w:rsidR="00EB6564" w:rsidRDefault="00EB6564">
            <w:pPr>
              <w:pStyle w:val="06cTABLETEXT"/>
              <w:jc w:val="center"/>
            </w:pPr>
            <w:r>
              <w:t>11 (3.9%)</w:t>
            </w:r>
          </w:p>
        </w:tc>
        <w:tc>
          <w:tcPr>
            <w:tcW w:w="12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419E5B" w14:textId="77777777" w:rsidR="00EB6564" w:rsidRDefault="00EB6564">
            <w:pPr>
              <w:pStyle w:val="06cTABLETEXT"/>
              <w:jc w:val="center"/>
            </w:pPr>
            <w:r>
              <w:t>19 (6.5%)</w:t>
            </w:r>
            <w:r>
              <w:rPr>
                <w:color w:val="0070C0"/>
                <w:u w:val="thick" w:color="0070C0"/>
                <w:vertAlign w:val="superscript"/>
              </w:rPr>
              <w:footnoteReference w:id="3"/>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64BFD6" w14:textId="77777777" w:rsidR="00EB6564" w:rsidRDefault="00EB6564">
            <w:pPr>
              <w:pStyle w:val="06cTABLETEXT"/>
              <w:jc w:val="center"/>
            </w:pPr>
            <w:r>
              <w:t>1 (0.5%)</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201FC0" w14:textId="77777777" w:rsidR="00EB6564" w:rsidRDefault="00EB6564">
            <w:pPr>
              <w:pStyle w:val="06cTABLETEXT"/>
              <w:jc w:val="center"/>
            </w:pPr>
            <w:r>
              <w:t>1 (0.4%)</w:t>
            </w:r>
          </w:p>
        </w:tc>
      </w:tr>
      <w:tr w:rsidR="00EB6564" w14:paraId="27A9E091" w14:textId="77777777">
        <w:trPr>
          <w:trHeight w:val="60"/>
        </w:trPr>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78BB33" w14:textId="77777777" w:rsidR="00EB6564" w:rsidRDefault="00EB6564">
            <w:pPr>
              <w:pStyle w:val="06cTABLETEXT"/>
            </w:pPr>
            <w:r>
              <w:t>Other</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CB25DC8" w14:textId="77777777" w:rsidR="00EB6564" w:rsidRDefault="00EB6564">
            <w:pPr>
              <w:pStyle w:val="06cTABLETEXT"/>
              <w:jc w:val="center"/>
            </w:pPr>
            <w:r>
              <w:t>8 (7%)</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C49BB8" w14:textId="77777777" w:rsidR="00EB6564" w:rsidRDefault="00EB6564">
            <w:pPr>
              <w:pStyle w:val="06cTABLETEXT"/>
              <w:jc w:val="center"/>
            </w:pPr>
            <w:r>
              <w:t>40 (14.2%)</w:t>
            </w:r>
          </w:p>
        </w:tc>
        <w:tc>
          <w:tcPr>
            <w:tcW w:w="12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96C86B" w14:textId="77777777" w:rsidR="00EB6564" w:rsidRDefault="00EB6564">
            <w:pPr>
              <w:pStyle w:val="06cTABLETEXT"/>
              <w:jc w:val="center"/>
            </w:pPr>
            <w:r>
              <w:t>19 (6.5%)</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93A442" w14:textId="77777777" w:rsidR="00EB6564" w:rsidRDefault="00EB6564">
            <w:pPr>
              <w:pStyle w:val="06cTABLETEXT"/>
              <w:jc w:val="center"/>
            </w:pPr>
            <w:r>
              <w:t>7 (3.7%)</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116DB1" w14:textId="77777777" w:rsidR="00EB6564" w:rsidRDefault="00EB6564">
            <w:pPr>
              <w:pStyle w:val="06cTABLETEXT"/>
              <w:jc w:val="center"/>
            </w:pPr>
            <w:r>
              <w:t>8 (3.6%)</w:t>
            </w:r>
          </w:p>
        </w:tc>
      </w:tr>
      <w:tr w:rsidR="00EB6564" w14:paraId="38B3EA53" w14:textId="77777777">
        <w:trPr>
          <w:trHeight w:val="60"/>
        </w:trPr>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18D62B" w14:textId="77777777" w:rsidR="00EB6564" w:rsidRDefault="00EB6564">
            <w:pPr>
              <w:pStyle w:val="06cTABLETEXT"/>
            </w:pPr>
            <w:r>
              <w:t>Petrol</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DD1201" w14:textId="77777777" w:rsidR="00EB6564" w:rsidRDefault="00EB6564">
            <w:pPr>
              <w:pStyle w:val="06cTABLETEXT"/>
              <w:jc w:val="center"/>
            </w:pPr>
            <w:r>
              <w:t>35 (30%)</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0876CC" w14:textId="77777777" w:rsidR="00EB6564" w:rsidRDefault="00EB6564">
            <w:pPr>
              <w:pStyle w:val="06cTABLETEXT"/>
              <w:jc w:val="center"/>
            </w:pPr>
            <w:r>
              <w:t>57 (20.2%)</w:t>
            </w:r>
          </w:p>
        </w:tc>
        <w:tc>
          <w:tcPr>
            <w:tcW w:w="12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C2400E" w14:textId="77777777" w:rsidR="00EB6564" w:rsidRDefault="00EB6564">
            <w:pPr>
              <w:pStyle w:val="06cTABLETEXT"/>
              <w:jc w:val="center"/>
            </w:pPr>
            <w:r>
              <w:t>49 (16.8%)</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205206" w14:textId="77777777" w:rsidR="00EB6564" w:rsidRDefault="00EB6564">
            <w:pPr>
              <w:pStyle w:val="06cTABLETEXT"/>
              <w:jc w:val="center"/>
            </w:pPr>
            <w:r>
              <w:t>66 (20.2%)</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F76A41" w14:textId="77777777" w:rsidR="00EB6564" w:rsidRDefault="00EB6564">
            <w:pPr>
              <w:pStyle w:val="06cTABLETEXT"/>
              <w:jc w:val="center"/>
            </w:pPr>
            <w:r>
              <w:t>70 (16.8%)</w:t>
            </w:r>
          </w:p>
        </w:tc>
      </w:tr>
      <w:tr w:rsidR="00EB6564" w14:paraId="519A0338" w14:textId="77777777">
        <w:trPr>
          <w:trHeight w:val="60"/>
        </w:trPr>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313A28" w14:textId="77777777" w:rsidR="00EB6564" w:rsidRDefault="00EB6564">
            <w:pPr>
              <w:pStyle w:val="06cTABLETEXT"/>
            </w:pPr>
            <w:r>
              <w:t>Diesel</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90FFBA" w14:textId="77777777" w:rsidR="00EB6564" w:rsidRDefault="00EB6564">
            <w:pPr>
              <w:pStyle w:val="06cTABLETEXT"/>
              <w:jc w:val="center"/>
            </w:pPr>
            <w:r>
              <w:t>71 (60%)</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5AF4B53" w14:textId="77777777" w:rsidR="00EB6564" w:rsidRDefault="00EB6564">
            <w:pPr>
              <w:pStyle w:val="06cTABLETEXT"/>
              <w:jc w:val="center"/>
            </w:pPr>
            <w:r>
              <w:t>194 (68.8%)</w:t>
            </w:r>
          </w:p>
        </w:tc>
        <w:tc>
          <w:tcPr>
            <w:tcW w:w="12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E9974D" w14:textId="77777777" w:rsidR="00EB6564" w:rsidRDefault="00EB6564">
            <w:pPr>
              <w:pStyle w:val="06cTABLETEXT"/>
              <w:jc w:val="center"/>
            </w:pPr>
            <w:r>
              <w:t>208 (71.2%)</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5E5164" w14:textId="77777777" w:rsidR="00EB6564" w:rsidRDefault="00EB6564">
            <w:pPr>
              <w:pStyle w:val="06cTABLETEXT"/>
              <w:jc w:val="center"/>
            </w:pPr>
            <w:r>
              <w:t>259 (79.4%)</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656329" w14:textId="77777777" w:rsidR="00EB6564" w:rsidRDefault="00EB6564">
            <w:pPr>
              <w:pStyle w:val="06cTABLETEXT"/>
              <w:jc w:val="center"/>
            </w:pPr>
            <w:r>
              <w:t>345 (82.7%)</w:t>
            </w:r>
          </w:p>
        </w:tc>
      </w:tr>
      <w:tr w:rsidR="00EB6564" w14:paraId="4F6BEFFC" w14:textId="77777777">
        <w:trPr>
          <w:trHeight w:val="60"/>
        </w:trPr>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7A67B1" w14:textId="77777777" w:rsidR="00EB6564" w:rsidRDefault="00EB6564">
            <w:pPr>
              <w:pStyle w:val="06cTABLETEXT"/>
            </w:pPr>
            <w:r>
              <w:t>LPG</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E8BDCE" w14:textId="77777777" w:rsidR="00EB6564" w:rsidRDefault="00EB6564">
            <w:pPr>
              <w:pStyle w:val="06cTABLETEXT"/>
              <w:jc w:val="center"/>
            </w:pPr>
            <w:r>
              <w:t>2 (&lt;2%)</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C64CC5" w14:textId="77777777" w:rsidR="00EB6564" w:rsidRDefault="00EB6564">
            <w:pPr>
              <w:pStyle w:val="06cTABLETEXT"/>
              <w:jc w:val="center"/>
            </w:pPr>
            <w:r>
              <w:t>1 (0.4%)</w:t>
            </w:r>
          </w:p>
        </w:tc>
        <w:tc>
          <w:tcPr>
            <w:tcW w:w="12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F7BFF9B" w14:textId="77777777" w:rsidR="00EB6564" w:rsidRDefault="00EB6564">
            <w:pPr>
              <w:pStyle w:val="06cTABLETEXT"/>
              <w:jc w:val="center"/>
            </w:pPr>
            <w:r>
              <w:t>0 (0%)</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3098F37" w14:textId="77777777" w:rsidR="00EB6564" w:rsidRDefault="00EB6564">
            <w:pPr>
              <w:pStyle w:val="06cTABLETEXT"/>
              <w:jc w:val="center"/>
            </w:pPr>
            <w:r>
              <w:t>0 (0%)</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C7E368" w14:textId="77777777" w:rsidR="00EB6564" w:rsidRDefault="00EB6564">
            <w:pPr>
              <w:pStyle w:val="06cTABLETEXT"/>
              <w:jc w:val="center"/>
            </w:pPr>
            <w:r>
              <w:t>2 (0.5%)</w:t>
            </w:r>
          </w:p>
        </w:tc>
      </w:tr>
      <w:tr w:rsidR="00EB6564" w14:paraId="245E4794" w14:textId="77777777">
        <w:trPr>
          <w:trHeight w:val="60"/>
        </w:trPr>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E28344" w14:textId="77777777" w:rsidR="00EB6564" w:rsidRDefault="00EB6564">
            <w:pPr>
              <w:pStyle w:val="06cTABLETEXT"/>
            </w:pPr>
            <w:r>
              <w:t>Fuel type not reported</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D2B70C" w14:textId="77777777" w:rsidR="00EB6564" w:rsidRDefault="00EB6564">
            <w:pPr>
              <w:pStyle w:val="06cTABLETEXT"/>
              <w:jc w:val="center"/>
            </w:pPr>
            <w:r>
              <w:t>13 (11%)</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C51E33" w14:textId="77777777" w:rsidR="00EB6564" w:rsidRDefault="00EB6564">
            <w:pPr>
              <w:pStyle w:val="06cTABLETEXT"/>
              <w:jc w:val="center"/>
            </w:pPr>
            <w:r>
              <w:t>30 (10.6%)</w:t>
            </w:r>
          </w:p>
        </w:tc>
        <w:tc>
          <w:tcPr>
            <w:tcW w:w="12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247860" w14:textId="77777777" w:rsidR="00EB6564" w:rsidRDefault="00EB6564">
            <w:pPr>
              <w:pStyle w:val="06cTABLETEXT"/>
              <w:jc w:val="center"/>
            </w:pPr>
            <w:r>
              <w:t>35 (12.0%)</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2AB94A" w14:textId="77777777" w:rsidR="00EB6564" w:rsidRDefault="00EB6564">
            <w:pPr>
              <w:pStyle w:val="06cTABLETEXT"/>
              <w:jc w:val="center"/>
            </w:pPr>
            <w:r>
              <w:t>1 (0.3%)</w:t>
            </w:r>
          </w:p>
        </w:tc>
        <w:tc>
          <w:tcPr>
            <w:tcW w:w="123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13317C" w14:textId="77777777" w:rsidR="00EB6564" w:rsidRDefault="00EB6564">
            <w:pPr>
              <w:pStyle w:val="06cTABLETEXT"/>
              <w:jc w:val="center"/>
            </w:pPr>
            <w:r>
              <w:t>0 (0.0%)</w:t>
            </w:r>
          </w:p>
        </w:tc>
      </w:tr>
    </w:tbl>
    <w:p w14:paraId="464DB00C" w14:textId="77777777" w:rsidR="00EB6564" w:rsidRDefault="00EB6564" w:rsidP="00EB6564">
      <w:pPr>
        <w:pStyle w:val="05BODYTEXT"/>
        <w:spacing w:before="340"/>
      </w:pPr>
      <w:r>
        <w:t>2018-2019 saw a continuation of the increase in vehicle owners reporting they had repaired or serviced their vehicle identified in 2017-2018. This was attributed to the fewer false positives received as a result of refinements to the reporting process at that time.</w:t>
      </w:r>
    </w:p>
    <w:p w14:paraId="2D679EAB" w14:textId="77777777" w:rsidR="00EB6564" w:rsidRDefault="00EB6564" w:rsidP="00EB6564">
      <w:pPr>
        <w:pStyle w:val="05BODYTEXT"/>
      </w:pPr>
      <w:r>
        <w:t xml:space="preserve">Diesel vehicles continue to represent the most significant vehicle group reported to the program. </w:t>
      </w:r>
    </w:p>
    <w:p w14:paraId="7B3EC595" w14:textId="77777777" w:rsidR="00EB6564" w:rsidRDefault="00EB6564" w:rsidP="00EB6564">
      <w:pPr>
        <w:pStyle w:val="05BODYTEXT"/>
      </w:pPr>
      <w:r>
        <w:t>There were 27 vehicles reported more than once in 2018-2019, nine of which were reported twice or more within 30 days. Of the vehicles reported more than once, only six vehicle owners responded to the second advisory letter sent. Five vehicles were reported three times. No response was received to the advisory letters sent to those five vehicle owners.</w:t>
      </w:r>
    </w:p>
    <w:p w14:paraId="322EDF90" w14:textId="1DB6618B" w:rsidR="00EB6564" w:rsidRDefault="00EB6564" w:rsidP="00EB6564">
      <w:pPr>
        <w:pStyle w:val="05BODYTEXT"/>
      </w:pPr>
      <w:r>
        <w:t xml:space="preserve">Annual reporting on smoky vehicle reporting is published on the DWER website, summarising program data and analysis of vehicle trends observed: </w:t>
      </w:r>
      <w:hyperlink r:id="rId61" w:history="1">
        <w:r w:rsidRPr="00276A45">
          <w:rPr>
            <w:rStyle w:val="Hyperlink"/>
            <w:color w:val="4472C4" w:themeColor="accent1"/>
            <w:u w:val="single"/>
          </w:rPr>
          <w:t>https://www.der.wa.gov.au/our-work/programs/172-smoky-vehicle-reporting-program</w:t>
        </w:r>
      </w:hyperlink>
      <w:r>
        <w:t>.</w:t>
      </w:r>
    </w:p>
    <w:p w14:paraId="743943C5" w14:textId="77777777" w:rsidR="00EB6564" w:rsidRDefault="00EB6564" w:rsidP="00EB6564">
      <w:pPr>
        <w:pStyle w:val="03HEADING3"/>
      </w:pPr>
      <w:r>
        <w:t>Diesel vehicle emission testing and repair programs</w:t>
      </w:r>
    </w:p>
    <w:p w14:paraId="53E9D26D" w14:textId="77777777" w:rsidR="00EB6564" w:rsidRDefault="00EB6564" w:rsidP="00EB6564">
      <w:pPr>
        <w:pStyle w:val="05BODYTEXT"/>
      </w:pPr>
      <w:r>
        <w:t xml:space="preserve">DWER operates a portable roadside gas analyser that provides an efficient, cost effective method of characterising vehicle emissions and raising community awareness of vehicle emissions. </w:t>
      </w:r>
    </w:p>
    <w:p w14:paraId="4C3A9529" w14:textId="77777777" w:rsidR="00EB6564" w:rsidRDefault="00EB6564" w:rsidP="00EB6564">
      <w:pPr>
        <w:pStyle w:val="05BODYTEXT"/>
      </w:pPr>
      <w:r>
        <w:t>The remote sensing device was not deployed in WA during 2018-2019.</w:t>
      </w:r>
    </w:p>
    <w:p w14:paraId="7E791F81" w14:textId="77777777" w:rsidR="00EB6564" w:rsidRDefault="00EB6564" w:rsidP="00EB6564">
      <w:pPr>
        <w:pStyle w:val="03HEADING3"/>
      </w:pPr>
      <w:r>
        <w:t>Audited maintenance programs for diesel vehicles</w:t>
      </w:r>
    </w:p>
    <w:p w14:paraId="07BAA15C" w14:textId="77777777" w:rsidR="00EB6564" w:rsidRDefault="00EB6564" w:rsidP="00EB6564">
      <w:pPr>
        <w:pStyle w:val="05BODYTEXT"/>
      </w:pPr>
      <w:r>
        <w:t xml:space="preserve">The National Heavy Vehicle Accreditation Scheme (NHVAS) encourages heavy vehicle operators to take responsibility for servicing their vehicles and ensuring vehicles are compliant with scheme accreditation requirements. </w:t>
      </w:r>
    </w:p>
    <w:p w14:paraId="1DCD05E3" w14:textId="77777777" w:rsidR="00EB6564" w:rsidRDefault="00EB6564" w:rsidP="00EB6564">
      <w:pPr>
        <w:pStyle w:val="05BODYTEXT"/>
      </w:pPr>
      <w:r>
        <w:t>In Western Australia, operators of certain types of heavy vehicles must become accredited to gain a permit or notice from Main Roads Western Australia. The majority of these vehicles use diesel as their primary fuel source. Western Australian Heavy Vehicle Accreditation is mandatory for individuals and organisations which require a permit or notice to perform any transport task as part of a commercial business or for profit within Western Australia, including interstate operators.</w:t>
      </w:r>
    </w:p>
    <w:p w14:paraId="5D67A988" w14:textId="77777777" w:rsidR="00EB6564" w:rsidRDefault="00EB6564" w:rsidP="00EB6564">
      <w:pPr>
        <w:pStyle w:val="05BODYTEXT"/>
      </w:pPr>
      <w:r>
        <w:t>There are currently two accreditation modules - Fatigue and Vehicle Maintenance, which operators are required to incorporate into their daily work practices. Maintenance management encourages heavy vehicle operators to take responsibility for servicing their vehicles regularly and ensuring their vehicles are safe at all times. The standards for this module are similar to those required under the nationally endorsed NHVAS.</w:t>
      </w:r>
    </w:p>
    <w:p w14:paraId="6CDFBEF7" w14:textId="77777777" w:rsidR="00EB6564" w:rsidRDefault="00EB6564" w:rsidP="00EB6564">
      <w:pPr>
        <w:pStyle w:val="05BODYTEXT"/>
      </w:pPr>
      <w:r>
        <w:t xml:space="preserve">Accredited operators must ensure their vehicles are maintained and meet all relevant safety standards. A record of the maintenance and servicing work done to each vehicle must be kept </w:t>
      </w:r>
      <w:proofErr w:type="gramStart"/>
      <w:r>
        <w:t>to prove</w:t>
      </w:r>
      <w:proofErr w:type="gramEnd"/>
      <w:r>
        <w:t xml:space="preserve"> the vehicles are safe at all times. </w:t>
      </w:r>
    </w:p>
    <w:p w14:paraId="5EADED89" w14:textId="77777777" w:rsidR="00EB6564" w:rsidRDefault="00EB6564" w:rsidP="00EB6564">
      <w:pPr>
        <w:pStyle w:val="05BODYTEXT"/>
      </w:pPr>
      <w:r>
        <w:t>Compliance and enforcement activities are key factors in ensuring effective and safe management of heavy vehicles on the road network. Transport inspectors in Western Australia are authorised to intercept and inspect vehicles for roadworthiness, load security and vehicle licencing conditions. Compliance also performs the important role of educating and working with the transport industry and other agencies and stakeholders to improve standards.</w:t>
      </w:r>
    </w:p>
    <w:p w14:paraId="517E7883" w14:textId="77777777" w:rsidR="00EB6564" w:rsidRDefault="00EB6564" w:rsidP="00EB6564">
      <w:pPr>
        <w:pStyle w:val="03HEADING3"/>
      </w:pPr>
      <w:r>
        <w:lastRenderedPageBreak/>
        <w:t>Diesel vehicle retrofit programs</w:t>
      </w:r>
    </w:p>
    <w:p w14:paraId="7BE207F6" w14:textId="77777777" w:rsidR="00EB6564" w:rsidRDefault="00EB6564" w:rsidP="00EB6564">
      <w:pPr>
        <w:pStyle w:val="05BODYTEXT"/>
      </w:pPr>
      <w:r>
        <w:t>The Western Australia government does not operate a diesel vehicle retrofit program.</w:t>
      </w:r>
    </w:p>
    <w:p w14:paraId="2958686C" w14:textId="77777777" w:rsidR="00EB6564" w:rsidRDefault="00EB6564" w:rsidP="00EB6564">
      <w:pPr>
        <w:pStyle w:val="03HEADING3"/>
      </w:pPr>
      <w:r>
        <w:t>Other programs</w:t>
      </w:r>
    </w:p>
    <w:p w14:paraId="3FAABB0B" w14:textId="77777777" w:rsidR="00EB6564" w:rsidRDefault="00EB6564" w:rsidP="00EB6564">
      <w:pPr>
        <w:pStyle w:val="05BODYTEXT"/>
      </w:pPr>
      <w:r>
        <w:t>There are no other programs currently run by the Western Australia government relevant to the Diesel NEPM.</w:t>
      </w:r>
    </w:p>
    <w:p w14:paraId="74DF0D5B" w14:textId="77777777" w:rsidR="00EB6564" w:rsidRPr="009408AB" w:rsidRDefault="00EB6564" w:rsidP="00CB0DA6">
      <w:pPr>
        <w:pStyle w:val="Heading2"/>
      </w:pPr>
      <w:bookmarkStart w:id="50" w:name="_Toc58254404"/>
      <w:r w:rsidRPr="009408AB">
        <w:t>South Australia</w:t>
      </w:r>
      <w:bookmarkEnd w:id="50"/>
    </w:p>
    <w:p w14:paraId="2C104DBA" w14:textId="77777777" w:rsidR="00EB6564" w:rsidRDefault="00EB6564" w:rsidP="00EB6564">
      <w:pPr>
        <w:pStyle w:val="05BODYTEXT"/>
        <w:rPr>
          <w:rStyle w:val="ITALIC"/>
          <w:caps/>
          <w:sz w:val="20"/>
          <w:szCs w:val="20"/>
        </w:rPr>
      </w:pPr>
      <w:r>
        <w:rPr>
          <w:rStyle w:val="ITALIC"/>
        </w:rPr>
        <w:t>Report to the NEPC on the implementation of the National Environment Protection (Diesel Vehicle Emissions) Measure for South Australia by Hon. David Speirs, Minister for Environment and Water, for the reporting year ended 30 June 2019.</w:t>
      </w:r>
    </w:p>
    <w:p w14:paraId="0882A12E" w14:textId="77777777" w:rsidR="00EB6564" w:rsidRDefault="00EB6564" w:rsidP="00EB6564">
      <w:pPr>
        <w:pStyle w:val="02HEADING2"/>
      </w:pPr>
      <w:r>
        <w:t>Part 1—Implementation of the NEPM and any significant issues</w:t>
      </w:r>
    </w:p>
    <w:p w14:paraId="166E1590" w14:textId="77777777" w:rsidR="00EB6564" w:rsidRDefault="00EB6564" w:rsidP="00EB6564">
      <w:pPr>
        <w:pStyle w:val="05BODYTEXT"/>
      </w:pPr>
      <w:r>
        <w:t xml:space="preserve">In South Australia, the National Environment Protection (Diesel Vehicles Emissions) Measure (Diesel NEPM) became an Environment Protection Policy under the repealed Section 28A of the </w:t>
      </w:r>
      <w:r>
        <w:rPr>
          <w:rStyle w:val="ITALIC"/>
        </w:rPr>
        <w:t xml:space="preserve">Environment Protection Act 1993. </w:t>
      </w:r>
      <w:r>
        <w:t xml:space="preserve">Section 4 of the transitional provisions in the </w:t>
      </w:r>
      <w:r>
        <w:rPr>
          <w:rStyle w:val="ITALIC"/>
        </w:rPr>
        <w:t>Environment Protection (Miscellaneous) Amendment Act 2005</w:t>
      </w:r>
      <w:r>
        <w:t>, Schedule 1, enables the continued operation of the Diesel NEPM as an Environment Protection Policy.</w:t>
      </w:r>
    </w:p>
    <w:p w14:paraId="183E0377" w14:textId="77777777" w:rsidR="00EB6564" w:rsidRDefault="00EB6564" w:rsidP="00EB6564">
      <w:pPr>
        <w:pStyle w:val="05BODYTEXT"/>
      </w:pPr>
      <w:r>
        <w:t xml:space="preserve">The South Australian Government made provision to regulate emissions from diesel vehicles under the </w:t>
      </w:r>
      <w:r>
        <w:rPr>
          <w:rStyle w:val="ITALIC"/>
        </w:rPr>
        <w:t>Road Traffic (Vehicle Standards) Rules 1999: Rule 147A- Exhaust Emissions – diesel-powered vehicles</w:t>
      </w:r>
      <w:r>
        <w:t>. Rule 147A set emission limits for NO</w:t>
      </w:r>
      <w:r>
        <w:rPr>
          <w:vertAlign w:val="subscript"/>
        </w:rPr>
        <w:t>x</w:t>
      </w:r>
      <w:r>
        <w:t xml:space="preserve"> and Particulate Matter for diesel vehicles that are in service. </w:t>
      </w:r>
    </w:p>
    <w:p w14:paraId="1E17B104" w14:textId="77777777" w:rsidR="00EB6564" w:rsidRDefault="00EB6564" w:rsidP="00EB6564">
      <w:pPr>
        <w:pStyle w:val="05BODYTEXT"/>
      </w:pPr>
      <w:r>
        <w:t xml:space="preserve">The 10-second smoke rule regulated as Rule 147 in </w:t>
      </w:r>
      <w:r>
        <w:rPr>
          <w:rStyle w:val="ITALIC"/>
        </w:rPr>
        <w:t>Road Traffic (Vehicle Standards) Rules 1999</w:t>
      </w:r>
      <w:r>
        <w:t xml:space="preserve"> has also been applied as an in-service standard towards the achievement of Diesel NEPM outcomes.</w:t>
      </w:r>
    </w:p>
    <w:p w14:paraId="0DEEB68E" w14:textId="77777777" w:rsidR="00EB6564" w:rsidRDefault="00EB6564" w:rsidP="00EB6564">
      <w:pPr>
        <w:pStyle w:val="05BODYTEXT"/>
      </w:pPr>
      <w:r>
        <w:t xml:space="preserve">National Heavy Vehicle Law was enacted in South Australia in 2013 including adoption of the national regulations. Rule 96 of the </w:t>
      </w:r>
      <w:r>
        <w:rPr>
          <w:rStyle w:val="ITALIC"/>
        </w:rPr>
        <w:t>Heavy Vehicle (Vehicle Standards) Regulation</w:t>
      </w:r>
      <w:r>
        <w:t xml:space="preserve"> continues the existing diesel emission standard for South Australian heavy vehicles (in addition to requiring heavy vehicles in each participating jurisdiction to comply with the standard).</w:t>
      </w:r>
    </w:p>
    <w:p w14:paraId="19DE1FBC" w14:textId="77777777" w:rsidR="00EB6564" w:rsidRDefault="00EB6564" w:rsidP="00EB6564">
      <w:pPr>
        <w:pStyle w:val="05BODYTEXT"/>
      </w:pPr>
      <w:r>
        <w:t xml:space="preserve">Compliance with Rule 147A &amp; Rule 96 was previously tested at the Regency Park Vehicle Inspection Emissions Test Facility, however, the facility has now been closed due to high maintenance costs and low throughput of vehicles. </w:t>
      </w:r>
    </w:p>
    <w:p w14:paraId="797420F9" w14:textId="77777777" w:rsidR="00EB6564" w:rsidRDefault="00EB6564" w:rsidP="00EB6564">
      <w:pPr>
        <w:pStyle w:val="05BODYTEXT"/>
      </w:pPr>
      <w:r>
        <w:t xml:space="preserve">SA Police patrols are the primary means for the detection of vehicles exceeding the 10-second smoke rule. During the reporting period, no diesel vehicles were reported by SA Police to the Department for Planning, Transport and Infrastructure (DPTI) for the assessment of corrective actions. Vehicle inspectors also look for excessive smoke, missing or inoperative particulate filters and empty AdBlue tanks and order corrective action where necessary. </w:t>
      </w:r>
    </w:p>
    <w:p w14:paraId="7721DAB4" w14:textId="77777777" w:rsidR="00EB6564" w:rsidRDefault="00EB6564" w:rsidP="00EB6564">
      <w:pPr>
        <w:pStyle w:val="02HEADING2"/>
      </w:pPr>
      <w:r>
        <w:t>Part 2—Assessment of NEPM effectiveness</w:t>
      </w:r>
    </w:p>
    <w:p w14:paraId="68D01B1B" w14:textId="77777777" w:rsidR="00EB6564" w:rsidRDefault="00EB6564" w:rsidP="00EB6564">
      <w:pPr>
        <w:pStyle w:val="05BODYTEXT"/>
      </w:pPr>
      <w:r>
        <w:t xml:space="preserve">Unlike most states, South Australia does not conduct a ‘Dob in a Smoky Vehicle’ program, where members of the public can report a smoky vehicle on-line with follow-action in the form of a letter of concern sent to the registered owner of the vehicle. In South Australia it is expected that the matter would be reported directly to the Police. There is some evidence of very occasional reports to Police, but they are reluctant to undertake a </w:t>
      </w:r>
      <w:proofErr w:type="gramStart"/>
      <w:r>
        <w:t>time consuming</w:t>
      </w:r>
      <w:proofErr w:type="gramEnd"/>
      <w:r>
        <w:t xml:space="preserve"> investigation without their own first hand evidence of non-compliance. There is no reporting by Police of any complaints made.</w:t>
      </w:r>
    </w:p>
    <w:p w14:paraId="12ACD46C" w14:textId="77777777" w:rsidR="00EB6564" w:rsidRDefault="00EB6564" w:rsidP="00EB6564">
      <w:pPr>
        <w:pStyle w:val="05BODYTEXT"/>
      </w:pPr>
      <w:r>
        <w:t>With the closure of the Regency Park Emissions Test Facility during the 2013-14 financial year due to high maintenance costs and ongoing reliability issues, there has been no means to accurately test diesel emissions in South Australia other than by visual assessment.</w:t>
      </w:r>
    </w:p>
    <w:p w14:paraId="0B5DDF25" w14:textId="77777777" w:rsidR="00EB6564" w:rsidRDefault="00EB6564" w:rsidP="00EB6564">
      <w:pPr>
        <w:pStyle w:val="05BODYTEXT"/>
      </w:pPr>
      <w:r>
        <w:t>In the absence of effective reporting, vehicle testing and compliance mechanisms, this program has become ineffective in South Australia.</w:t>
      </w:r>
    </w:p>
    <w:p w14:paraId="2B4652DA" w14:textId="77777777" w:rsidR="00EB6564" w:rsidRDefault="00EB6564" w:rsidP="00EB6564">
      <w:pPr>
        <w:pStyle w:val="03HEADING3"/>
        <w:rPr>
          <w:rFonts w:ascii="Times" w:hAnsi="Times" w:cs="Times"/>
          <w:b w:val="0"/>
          <w:bCs w:val="0"/>
          <w:sz w:val="16"/>
          <w:szCs w:val="16"/>
        </w:rPr>
      </w:pPr>
      <w:r>
        <w:t>Smoky vehicles program</w:t>
      </w:r>
    </w:p>
    <w:p w14:paraId="43E548D1" w14:textId="77777777" w:rsidR="00EB6564" w:rsidRDefault="00EB6564" w:rsidP="00EB6564">
      <w:pPr>
        <w:pStyle w:val="05BODYTEXT"/>
      </w:pPr>
      <w:r>
        <w:t>Not applicable.</w:t>
      </w:r>
    </w:p>
    <w:p w14:paraId="4E2748AD" w14:textId="77777777" w:rsidR="00EB6564" w:rsidRDefault="00EB6564" w:rsidP="00EB6564">
      <w:pPr>
        <w:pStyle w:val="03HEADING3"/>
        <w:rPr>
          <w:rFonts w:ascii="Times" w:hAnsi="Times" w:cs="Times"/>
          <w:b w:val="0"/>
          <w:bCs w:val="0"/>
          <w:sz w:val="16"/>
          <w:szCs w:val="16"/>
        </w:rPr>
      </w:pPr>
      <w:r>
        <w:t>Diesel vehicle emission testing and repair programs</w:t>
      </w:r>
    </w:p>
    <w:p w14:paraId="541BEB04" w14:textId="77777777" w:rsidR="00EB6564" w:rsidRDefault="00EB6564" w:rsidP="00EB6564">
      <w:pPr>
        <w:pStyle w:val="05BODYTEXT"/>
      </w:pPr>
      <w:r>
        <w:t>Not applicable.</w:t>
      </w:r>
    </w:p>
    <w:p w14:paraId="4E13CDF2" w14:textId="77777777" w:rsidR="00EB6564" w:rsidRDefault="00EB6564" w:rsidP="00EB6564">
      <w:pPr>
        <w:pStyle w:val="03HEADING3"/>
        <w:rPr>
          <w:rFonts w:ascii="Times" w:hAnsi="Times" w:cs="Times"/>
          <w:b w:val="0"/>
          <w:bCs w:val="0"/>
          <w:sz w:val="16"/>
          <w:szCs w:val="16"/>
        </w:rPr>
      </w:pPr>
      <w:r>
        <w:t>Audited maintenance programs for diesel vehicles</w:t>
      </w:r>
    </w:p>
    <w:p w14:paraId="68D0A06B" w14:textId="77777777" w:rsidR="00EB6564" w:rsidRDefault="00EB6564" w:rsidP="00EB6564">
      <w:pPr>
        <w:pStyle w:val="05BODYTEXT"/>
      </w:pPr>
      <w:r>
        <w:t>Not applicable.</w:t>
      </w:r>
    </w:p>
    <w:p w14:paraId="26A70B1B" w14:textId="77777777" w:rsidR="00EB6564" w:rsidRDefault="00EB6564" w:rsidP="00EB6564">
      <w:pPr>
        <w:pStyle w:val="03HEADING3"/>
        <w:rPr>
          <w:rFonts w:ascii="Times" w:hAnsi="Times" w:cs="Times"/>
          <w:b w:val="0"/>
          <w:bCs w:val="0"/>
          <w:sz w:val="16"/>
          <w:szCs w:val="16"/>
        </w:rPr>
      </w:pPr>
      <w:r>
        <w:t>Diesel vehicle retrofit programs</w:t>
      </w:r>
    </w:p>
    <w:p w14:paraId="7161C34D" w14:textId="77777777" w:rsidR="00EB6564" w:rsidRDefault="00EB6564" w:rsidP="00EB6564">
      <w:pPr>
        <w:pStyle w:val="05BODYTEXT"/>
      </w:pPr>
      <w:r>
        <w:t>Not applicable.</w:t>
      </w:r>
    </w:p>
    <w:p w14:paraId="4E8E5F87" w14:textId="77777777" w:rsidR="00EB6564" w:rsidRDefault="00EB6564" w:rsidP="00EB6564">
      <w:pPr>
        <w:pStyle w:val="03HEADING3"/>
      </w:pPr>
      <w:r>
        <w:lastRenderedPageBreak/>
        <w:t>Other programs</w:t>
      </w:r>
    </w:p>
    <w:p w14:paraId="46F38FF1" w14:textId="77777777" w:rsidR="00EB6564" w:rsidRDefault="00EB6564" w:rsidP="00EB6564">
      <w:pPr>
        <w:pStyle w:val="05BODYTEXT"/>
      </w:pPr>
      <w:r>
        <w:t xml:space="preserve">In 2019 the Department of Planning, Transport and Infrastructure (DPTI) introduced a new specification, </w:t>
      </w:r>
      <w:r>
        <w:rPr>
          <w:rStyle w:val="ITALIC"/>
        </w:rPr>
        <w:t>PC-ST2 Sustainability in Construction</w:t>
      </w:r>
      <w:r>
        <w:t>, which includes requirements for DPTI contractors to reduce the environmental as well as community / workforce health impacts of vehicles, plant and equipment emissions. The new clause includes requirements for contractors to:</w:t>
      </w:r>
    </w:p>
    <w:p w14:paraId="08E5D87C" w14:textId="77777777" w:rsidR="00EB6564" w:rsidRDefault="00EB6564" w:rsidP="00EB6564">
      <w:pPr>
        <w:pStyle w:val="05bDOTPOINTS"/>
      </w:pPr>
      <w:r>
        <w:t>•</w:t>
      </w:r>
      <w:r>
        <w:tab/>
        <w:t xml:space="preserve">purchase or hire mobile non-road diesel plant and equipment that complies with highest practicable EU or US EPA emissions standards (for plant over 19kW); and </w:t>
      </w:r>
    </w:p>
    <w:p w14:paraId="74AECEE8" w14:textId="77777777" w:rsidR="00EB6564" w:rsidRDefault="00EB6564" w:rsidP="00EB6564">
      <w:pPr>
        <w:pStyle w:val="05bDOTPOINTS"/>
      </w:pPr>
      <w:r>
        <w:t>•</w:t>
      </w:r>
      <w:r>
        <w:tab/>
        <w:t>require sub-contractors to provide information on the emissions standards of the mobile non-road diesel plant and equipment they propose to use on site, and apply a weighting for air emission standards (in conjunction with other environmental considerations) in tender selection processes (for plant over 19kW)</w:t>
      </w:r>
    </w:p>
    <w:p w14:paraId="71448D85" w14:textId="77777777" w:rsidR="00EB6564" w:rsidRDefault="00EB6564" w:rsidP="00EB6564">
      <w:pPr>
        <w:pStyle w:val="05bDOTPOINTS"/>
      </w:pPr>
      <w:r>
        <w:t>•</w:t>
      </w:r>
      <w:r>
        <w:tab/>
        <w:t xml:space="preserve">ensure engines are correctly repaired and regularly serviced to ensure efficiency and to prevent / minimise spills and </w:t>
      </w:r>
      <w:proofErr w:type="gramStart"/>
      <w:r>
        <w:t>leaks;</w:t>
      </w:r>
      <w:proofErr w:type="gramEnd"/>
    </w:p>
    <w:p w14:paraId="6DF60F3D" w14:textId="77777777" w:rsidR="00EB6564" w:rsidRDefault="00EB6564" w:rsidP="00EB6564">
      <w:pPr>
        <w:pStyle w:val="05bDOTPOINTS2ndlevel"/>
      </w:pPr>
      <w:r>
        <w:t>–</w:t>
      </w:r>
      <w:r>
        <w:tab/>
        <w:t xml:space="preserve">restrict unnecessary idling time of vehicles, plant and </w:t>
      </w:r>
      <w:proofErr w:type="gramStart"/>
      <w:r>
        <w:t>equipment;</w:t>
      </w:r>
      <w:proofErr w:type="gramEnd"/>
    </w:p>
    <w:p w14:paraId="13B394F8" w14:textId="77777777" w:rsidR="00EB6564" w:rsidRDefault="00EB6564" w:rsidP="00EB6564">
      <w:pPr>
        <w:pStyle w:val="05bDOTPOINTS2ndlevel"/>
      </w:pPr>
      <w:r>
        <w:t>–</w:t>
      </w:r>
      <w:r>
        <w:tab/>
        <w:t xml:space="preserve">improve an engine’s emission performance by fitting it with an anti-pollution control </w:t>
      </w:r>
      <w:proofErr w:type="gramStart"/>
      <w:r>
        <w:t>device;</w:t>
      </w:r>
      <w:proofErr w:type="gramEnd"/>
    </w:p>
    <w:p w14:paraId="6B66A0AB" w14:textId="77777777" w:rsidR="00EB6564" w:rsidRDefault="00EB6564" w:rsidP="00EB6564">
      <w:pPr>
        <w:pStyle w:val="05bDOTPOINTS2ndlevel"/>
      </w:pPr>
      <w:r>
        <w:t>–</w:t>
      </w:r>
      <w:r>
        <w:tab/>
        <w:t>ensure fuel conforms with relevant quality standards.</w:t>
      </w:r>
    </w:p>
    <w:p w14:paraId="5B2EB143" w14:textId="77777777" w:rsidR="00EB6564" w:rsidRDefault="00EB6564" w:rsidP="00EB6564">
      <w:pPr>
        <w:pStyle w:val="05BODYTEXT"/>
      </w:pPr>
      <w:r>
        <w:t xml:space="preserve">DPTI is driving low emissions transition planning for the Public Transport Fleet, informed by investigations into the use of </w:t>
      </w:r>
      <w:proofErr w:type="gramStart"/>
      <w:r>
        <w:t>high capacity</w:t>
      </w:r>
      <w:proofErr w:type="gramEnd"/>
      <w:r>
        <w:t xml:space="preserve"> electric buses and other new forms of low emission mass transit options. DPTI will be trialling a demonstration Hybrid bus in 2020/21.</w:t>
      </w:r>
    </w:p>
    <w:p w14:paraId="29533BF8" w14:textId="77777777" w:rsidR="00EB6564" w:rsidRDefault="00EB6564" w:rsidP="00EB6564">
      <w:pPr>
        <w:pStyle w:val="05BODYTEXT"/>
      </w:pPr>
      <w:r>
        <w:t>DPTI and the Department for Energy and Mining are developing an Electric Vehicle Strategy for South Australia, which will focus on setting a pathway for a transition toward Electric Vehicles that manages the impact on our energy network and maximises economic development opportunities.</w:t>
      </w:r>
    </w:p>
    <w:p w14:paraId="5262B03F" w14:textId="77777777" w:rsidR="00EB6564" w:rsidRPr="009408AB" w:rsidRDefault="00EB6564" w:rsidP="00CB0DA6">
      <w:pPr>
        <w:pStyle w:val="Heading2"/>
      </w:pPr>
      <w:bookmarkStart w:id="51" w:name="_Toc58254405"/>
      <w:r w:rsidRPr="009408AB">
        <w:t>Tasmania</w:t>
      </w:r>
      <w:bookmarkEnd w:id="51"/>
    </w:p>
    <w:p w14:paraId="2F103EC6" w14:textId="77777777" w:rsidR="00EB6564" w:rsidRDefault="00EB6564" w:rsidP="00EB6564">
      <w:pPr>
        <w:pStyle w:val="05BODYTEXT"/>
        <w:rPr>
          <w:rStyle w:val="ITALIC"/>
          <w:caps/>
          <w:sz w:val="20"/>
          <w:szCs w:val="20"/>
        </w:rPr>
      </w:pPr>
      <w:r>
        <w:rPr>
          <w:rStyle w:val="ITALIC"/>
        </w:rPr>
        <w:t xml:space="preserve">Report to the NEPC on the implementation of the National Environment Protection (Diesel Vehicle Emissions) Measure for Tasmania by Hon Peter </w:t>
      </w:r>
      <w:proofErr w:type="spellStart"/>
      <w:r>
        <w:rPr>
          <w:rStyle w:val="ITALIC"/>
        </w:rPr>
        <w:t>Gutwein</w:t>
      </w:r>
      <w:proofErr w:type="spellEnd"/>
      <w:r>
        <w:rPr>
          <w:rStyle w:val="ITALIC"/>
        </w:rPr>
        <w:t xml:space="preserve"> Minister for the Environment, Parks and Heritage for the reporting year ended 30 June 2019.</w:t>
      </w:r>
    </w:p>
    <w:p w14:paraId="1D44FC43" w14:textId="77777777" w:rsidR="00EB6564" w:rsidRDefault="00EB6564" w:rsidP="00EB6564">
      <w:pPr>
        <w:pStyle w:val="02HEADING2"/>
      </w:pPr>
      <w:r>
        <w:t>Part 1—Implementation of the NEPM and any significant issues</w:t>
      </w:r>
    </w:p>
    <w:p w14:paraId="7A8E5101" w14:textId="77777777" w:rsidR="00EB6564" w:rsidRDefault="00EB6564" w:rsidP="00EB6564">
      <w:pPr>
        <w:pStyle w:val="05BODYTEXT"/>
      </w:pPr>
      <w:r>
        <w:t xml:space="preserve">Under Section 12A of the </w:t>
      </w:r>
      <w:r>
        <w:rPr>
          <w:rStyle w:val="ITALIC"/>
        </w:rPr>
        <w:t>Tasmanian State Policies and Projects Act 1993</w:t>
      </w:r>
      <w:r>
        <w:t>, National Environmental Protection Measures made under Section 14(1) of the</w:t>
      </w:r>
      <w:r>
        <w:rPr>
          <w:rStyle w:val="ITALIC"/>
        </w:rPr>
        <w:t xml:space="preserve"> National Environment Protection Council (Tasmania) Act 1995</w:t>
      </w:r>
      <w:r>
        <w:t xml:space="preserve"> are taken to be State Policies which have been passed by both Houses of Parliament.</w:t>
      </w:r>
    </w:p>
    <w:p w14:paraId="40C69C2F" w14:textId="77777777" w:rsidR="00EB6564" w:rsidRDefault="00EB6564" w:rsidP="00EB6564">
      <w:pPr>
        <w:pStyle w:val="05BODYTEXT"/>
      </w:pPr>
      <w:r>
        <w:t>In 2006 and 2007, a contract between the then Department of Tourism, Arts and the Environment and the Commonwealth Department of the Environment and Water Resources facilitated the funding of a series of diesel engine skill gap training workshops in the south, north and northwest of the State. Funding provided for the purchase of diesel emissions testing equipment and the delivery of free three-hour training courses for 321 qualified mechanics.</w:t>
      </w:r>
    </w:p>
    <w:p w14:paraId="1E6284A1" w14:textId="77777777" w:rsidR="00EB6564" w:rsidRDefault="00EB6564" w:rsidP="00EB6564">
      <w:pPr>
        <w:pStyle w:val="05BODYTEXT"/>
      </w:pPr>
      <w:r>
        <w:t xml:space="preserve">Since the end of this program </w:t>
      </w:r>
      <w:proofErr w:type="spellStart"/>
      <w:r>
        <w:t>TasTAFE</w:t>
      </w:r>
      <w:proofErr w:type="spellEnd"/>
      <w:r>
        <w:t xml:space="preserve"> has continued to utilise this equipment in training courses for automotive apprentices. The equipment is used in both training and commercial activities to test the operation and repairs of emission controls /devices on vehicles. Prior to 2019 the equipment was also used to check the emission outputs of LNG and CNG conversions. However, emissions testing for LNG/CNG heavy vehicle conversions are no longer undertaken as this sector of the road transport industry in Tasmania has contracted.</w:t>
      </w:r>
    </w:p>
    <w:p w14:paraId="4486C7E4" w14:textId="77777777" w:rsidR="00EB6564" w:rsidRDefault="00EB6564" w:rsidP="00EB6564">
      <w:pPr>
        <w:pStyle w:val="05BODYTEXT"/>
      </w:pPr>
      <w:r>
        <w:t>The diesel emissions testing equipment has not been used for commercial purposes in the current period. A limitation of the equipment is that it is not certified to perform the DT80 emission test. The DT80 test is the Australian Transport Council’s in-service emission standard for diesel vehicles.</w:t>
      </w:r>
    </w:p>
    <w:p w14:paraId="01AF4089" w14:textId="77777777" w:rsidR="00EB6564" w:rsidRDefault="00EB6564" w:rsidP="00EB6564">
      <w:pPr>
        <w:pStyle w:val="02HEADING2"/>
      </w:pPr>
      <w:r>
        <w:t>Part 2—Assessment of NEPM effectiveness</w:t>
      </w:r>
    </w:p>
    <w:p w14:paraId="3B4B7EEB" w14:textId="77777777" w:rsidR="00EB6564" w:rsidRDefault="00EB6564" w:rsidP="00EB6564">
      <w:pPr>
        <w:pStyle w:val="05BODYTEXT"/>
      </w:pPr>
      <w:r>
        <w:t xml:space="preserve">As of </w:t>
      </w:r>
      <w:proofErr w:type="gramStart"/>
      <w:r>
        <w:t>30 June 2019</w:t>
      </w:r>
      <w:proofErr w:type="gramEnd"/>
      <w:r>
        <w:t xml:space="preserve"> there were 14398 diesel powered heavy vehicles (that is vehicles over 4.5 tonnes) and 130306 diesel powered light vehicles registered in the State. This represents an increase of 3.2 % and an increase of 6.9 % respectively since 1 July 2018. Of the total of 633305 vehicles registered in Tasmania on 30 June 2019, 22.8 % were diesel powered. </w:t>
      </w:r>
    </w:p>
    <w:p w14:paraId="5A50CB39" w14:textId="77777777" w:rsidR="00EB6564" w:rsidRDefault="00EB6564" w:rsidP="00EB6564">
      <w:pPr>
        <w:pStyle w:val="03HEADING3"/>
      </w:pPr>
      <w:r>
        <w:t>Smoky vehicles program</w:t>
      </w:r>
    </w:p>
    <w:p w14:paraId="68912FFB" w14:textId="77777777" w:rsidR="00EB6564" w:rsidRDefault="00EB6564" w:rsidP="00EB6564">
      <w:pPr>
        <w:pStyle w:val="05BODYTEXT"/>
      </w:pPr>
      <w:r>
        <w:t xml:space="preserve">The Department of State Growth maintains a strong focus on road safety and do not actively target vehicle emissions as part of light vehicle Compliance and Enforcement activities with the National Heavy Vehicle Regulator being responsible for vehicle standards applicable to all heavy vehicles. The Department does not possess diesel vehicle emission measurement facilities.  </w:t>
      </w:r>
      <w:proofErr w:type="gramStart"/>
      <w:r>
        <w:t>However</w:t>
      </w:r>
      <w:proofErr w:type="gramEnd"/>
      <w:r>
        <w:t xml:space="preserve"> standards applicable to light and also heavy vehicles include </w:t>
      </w:r>
      <w:r>
        <w:rPr>
          <w:rStyle w:val="ITALIC"/>
        </w:rPr>
        <w:t>“the vehicle must not emit visible emissions for a continuous period of at least 10 seconds”</w:t>
      </w:r>
      <w:r>
        <w:t xml:space="preserve"> also known as the ten second rule. When issued a Defect Notice and/or Traffic Infringement Notices by Authorised Officers, remedial action and subsequent inspection by an Approved Vehicle Examiner is required to enable the defective vehicle status to be cleared from the registry. </w:t>
      </w:r>
    </w:p>
    <w:p w14:paraId="24EAAE11" w14:textId="77777777" w:rsidR="00EB6564" w:rsidRDefault="00EB6564" w:rsidP="00EB6564">
      <w:pPr>
        <w:pStyle w:val="03HEADING3"/>
      </w:pPr>
      <w:r>
        <w:lastRenderedPageBreak/>
        <w:t>Diesel vehicle emission testing and repair programs</w:t>
      </w:r>
    </w:p>
    <w:p w14:paraId="5A247BA5" w14:textId="77777777" w:rsidR="00EB6564" w:rsidRDefault="00EB6564" w:rsidP="00EB6564">
      <w:pPr>
        <w:pStyle w:val="05BODYTEXT"/>
      </w:pPr>
      <w:r>
        <w:t>The Department of State Growth does not possess vehicle emission measurement facilities, and do not compile records of vehicle testing or repairs.</w:t>
      </w:r>
    </w:p>
    <w:p w14:paraId="07EB4F40" w14:textId="77777777" w:rsidR="00EB6564" w:rsidRDefault="00EB6564" w:rsidP="00EB6564">
      <w:pPr>
        <w:pStyle w:val="03HEADING3"/>
      </w:pPr>
      <w:r>
        <w:t>Audited maintenance programs for diesel vehicles</w:t>
      </w:r>
    </w:p>
    <w:p w14:paraId="694C1015" w14:textId="77777777" w:rsidR="00EB6564" w:rsidRDefault="00EB6564" w:rsidP="00EB6564">
      <w:pPr>
        <w:pStyle w:val="05BODYTEXT"/>
      </w:pPr>
      <w:r>
        <w:t>There is no audited maintenance program specific to diesel vehicle emissions in Tasmania, however the National Heavy Vehicle Regulator now administer the National Heavy Vehicle Accreditation Scheme (previously performed individually by jurisdictions).  Heavy vehicle Maintenance Management Accreditation is one module within this scheme that encourages heavy vehicle operators to take more responsibility for maintaining their vehicles correctly and ensuring that they are always in good mechanical condition, compliant with relevant vehicle standards and operating efficiently. Fuel quality and fault repair activity standards apply in this module.  Scheduled compliance audits and triggered audits are requirements of this accreditation.</w:t>
      </w:r>
    </w:p>
    <w:p w14:paraId="2611DA8F" w14:textId="77777777" w:rsidR="00EB6564" w:rsidRDefault="00EB6564" w:rsidP="00EB6564">
      <w:pPr>
        <w:pStyle w:val="03HEADING3"/>
      </w:pPr>
      <w:r>
        <w:t>Diesel vehicle retrofit programs</w:t>
      </w:r>
    </w:p>
    <w:p w14:paraId="15FA6D21" w14:textId="77777777" w:rsidR="00EB6564" w:rsidRDefault="00EB6564" w:rsidP="00EB6564">
      <w:pPr>
        <w:pStyle w:val="05BODYTEXT"/>
      </w:pPr>
      <w:r>
        <w:t>Statistics are not compiled on diesel vehicle retrofitting.</w:t>
      </w:r>
    </w:p>
    <w:p w14:paraId="433941E9" w14:textId="77777777" w:rsidR="00EB6564" w:rsidRDefault="00EB6564" w:rsidP="00EB6564">
      <w:pPr>
        <w:pStyle w:val="03HEADING3"/>
      </w:pPr>
      <w:r>
        <w:t>Other programs</w:t>
      </w:r>
    </w:p>
    <w:p w14:paraId="06A266F5" w14:textId="77777777" w:rsidR="00EB6564" w:rsidRDefault="00EB6564" w:rsidP="00EB6564">
      <w:pPr>
        <w:pStyle w:val="05BODYTEXT"/>
      </w:pPr>
      <w:r>
        <w:t>There were no other programs implemented during the reporting year to manage emissions from in-service diesel vehicles.</w:t>
      </w:r>
    </w:p>
    <w:p w14:paraId="6D78E1D2" w14:textId="77777777" w:rsidR="00EB6564" w:rsidRPr="009408AB" w:rsidRDefault="00EB6564" w:rsidP="00CB0DA6">
      <w:pPr>
        <w:pStyle w:val="Heading2"/>
      </w:pPr>
      <w:bookmarkStart w:id="52" w:name="_Toc58254406"/>
      <w:r w:rsidRPr="009408AB">
        <w:t>Australian Capital Territory</w:t>
      </w:r>
      <w:bookmarkEnd w:id="52"/>
    </w:p>
    <w:p w14:paraId="517C32DE" w14:textId="77777777" w:rsidR="00EB6564" w:rsidRDefault="00EB6564" w:rsidP="00EB6564">
      <w:pPr>
        <w:pStyle w:val="05BODYTEXT"/>
        <w:rPr>
          <w:rStyle w:val="ITALIC"/>
          <w:caps/>
          <w:sz w:val="20"/>
          <w:szCs w:val="20"/>
        </w:rPr>
      </w:pPr>
      <w:r>
        <w:rPr>
          <w:rStyle w:val="ITALIC"/>
        </w:rPr>
        <w:t>Report to the NEPC on the implementation of the National Environment Protection (Diesel Vehicle Emissions) Measure for the Australian Capital Territory by Mr Mick Gentleman MLA for the reporting year ended 30 June 2019.</w:t>
      </w:r>
    </w:p>
    <w:p w14:paraId="24B858F9" w14:textId="77777777" w:rsidR="00EB6564" w:rsidRDefault="00EB6564" w:rsidP="00EB6564">
      <w:pPr>
        <w:pStyle w:val="02HEADING2"/>
      </w:pPr>
      <w:r>
        <w:t>Part 1—Implementation of the NEPM and any significant issues</w:t>
      </w:r>
    </w:p>
    <w:p w14:paraId="4F3A18A1" w14:textId="77777777" w:rsidR="00EB6564" w:rsidRDefault="00EB6564" w:rsidP="00EB6564">
      <w:pPr>
        <w:pStyle w:val="05BODYTEXT"/>
      </w:pPr>
      <w:r>
        <w:t>The Australian Capital Territory’s (ACT)</w:t>
      </w:r>
      <w:r>
        <w:rPr>
          <w:rStyle w:val="ITALIC"/>
        </w:rPr>
        <w:t xml:space="preserve"> Road Transport (Vehicle Registration) Regulation 2000</w:t>
      </w:r>
      <w:r>
        <w:t xml:space="preserve"> requires emission control systems supplied by vehicle manufacturers to remain fitted and functional. This is consistent with the goals in the National Environment Protection (Diesel Vehicle Emissions) Measure (the NEPM).</w:t>
      </w:r>
    </w:p>
    <w:p w14:paraId="02CFBFF8" w14:textId="77777777" w:rsidR="00EB6564" w:rsidRDefault="00EB6564" w:rsidP="00EB6564">
      <w:pPr>
        <w:pStyle w:val="05BODYTEXT"/>
      </w:pPr>
      <w:r>
        <w:t>Aggregate air quality data indicates that air pollution caused by diesel emissions is not a significant contributor to the urban airshed in the ACT. Therefore, no actions are taken in the ACT as a result of measures against the NEPM.</w:t>
      </w:r>
    </w:p>
    <w:p w14:paraId="77043AA6" w14:textId="77777777" w:rsidR="00EB6564" w:rsidRDefault="00EB6564" w:rsidP="00EB6564">
      <w:pPr>
        <w:pStyle w:val="05BODYTEXT"/>
      </w:pPr>
      <w:r>
        <w:t>Notwithstanding the above, the ACT has introduced a number of measures consistent with achieving the goals of the NEPM, including:</w:t>
      </w:r>
    </w:p>
    <w:p w14:paraId="784ADCED" w14:textId="77777777" w:rsidR="00EB6564" w:rsidRDefault="00EB6564" w:rsidP="00EB6564">
      <w:pPr>
        <w:pStyle w:val="05bDOTPOINTS"/>
      </w:pPr>
      <w:r>
        <w:t>•</w:t>
      </w:r>
      <w:r>
        <w:tab/>
        <w:t xml:space="preserve">adoption of the Australian Design Rules, as requirements under Schedule 1 of the </w:t>
      </w:r>
      <w:r>
        <w:rPr>
          <w:rStyle w:val="ITALIC"/>
        </w:rPr>
        <w:t>Road Transport (Vehicle Registration) Regulation 2000</w:t>
      </w:r>
    </w:p>
    <w:p w14:paraId="6B0A7325" w14:textId="77777777" w:rsidR="00EB6564" w:rsidRDefault="00EB6564" w:rsidP="00EB6564">
      <w:pPr>
        <w:pStyle w:val="05bDOTPOINTS"/>
      </w:pPr>
      <w:r>
        <w:t>•</w:t>
      </w:r>
      <w:r>
        <w:tab/>
        <w:t xml:space="preserve">requiring emission control equipment fitted to a vehicle to remain fitted and be maintained in a condition to ensure it operates essentially in accordance with the systems original design under Schedule 1 of the </w:t>
      </w:r>
      <w:r>
        <w:rPr>
          <w:rStyle w:val="ITALIC"/>
        </w:rPr>
        <w:t>Road Transport (Vehicle Registration) Regulation 2000</w:t>
      </w:r>
    </w:p>
    <w:p w14:paraId="0AF046CF" w14:textId="77777777" w:rsidR="00EB6564" w:rsidRDefault="00EB6564" w:rsidP="00EB6564">
      <w:pPr>
        <w:pStyle w:val="05bDOTPOINTS"/>
      </w:pPr>
      <w:r>
        <w:t>•</w:t>
      </w:r>
      <w:r>
        <w:tab/>
        <w:t>implementation of random on-road and car park inspections</w:t>
      </w:r>
    </w:p>
    <w:p w14:paraId="3ED92A1F" w14:textId="77777777" w:rsidR="00EB6564" w:rsidRDefault="00EB6564" w:rsidP="00EB6564">
      <w:pPr>
        <w:pStyle w:val="05bDOTPOINTS"/>
      </w:pPr>
      <w:r>
        <w:t>•</w:t>
      </w:r>
      <w:r>
        <w:tab/>
        <w:t>implementation of arrangements enabling members of the community to report vehicles that they consider unroadworthy, including those that emit excessive smoke, and enabling appropriate action against those vehicles</w:t>
      </w:r>
    </w:p>
    <w:p w14:paraId="2C31C692" w14:textId="77777777" w:rsidR="00EB6564" w:rsidRDefault="00EB6564" w:rsidP="00EB6564">
      <w:pPr>
        <w:pStyle w:val="05bDOTPOINTS"/>
      </w:pPr>
      <w:r>
        <w:t>•</w:t>
      </w:r>
      <w:r>
        <w:tab/>
        <w:t xml:space="preserve">ACT Government subscription to </w:t>
      </w:r>
      <w:proofErr w:type="spellStart"/>
      <w:r>
        <w:t>Greenfleet</w:t>
      </w:r>
      <w:proofErr w:type="spellEnd"/>
      <w:r>
        <w:t xml:space="preserve"> for the planting of trees to offset its vehicles fleet emissions</w:t>
      </w:r>
    </w:p>
    <w:p w14:paraId="0C9BAAAE" w14:textId="77777777" w:rsidR="00EB6564" w:rsidRDefault="00EB6564" w:rsidP="00EB6564">
      <w:pPr>
        <w:pStyle w:val="05bDOTPOINTS"/>
      </w:pPr>
      <w:r>
        <w:t>•</w:t>
      </w:r>
      <w:r>
        <w:tab/>
        <w:t>supporting ACT representation on the fuel standards consultative committee.</w:t>
      </w:r>
    </w:p>
    <w:p w14:paraId="4AEF8E4E" w14:textId="77777777" w:rsidR="00EB6564" w:rsidRDefault="00EB6564" w:rsidP="00EB6564">
      <w:pPr>
        <w:pStyle w:val="05BODYTEXT"/>
      </w:pPr>
      <w:r>
        <w:t>While statistics on the number of inspections and how many defects and warnings are collected, at this stage the reasons for these enforcement actions are not collated. In general, ACT inspectors would not normally issue an infringement notice to a vehicle emitting excessive smoke. The ACT has found it more beneficial to require a vehicle to be repaired than to impose a monetary penalty. Issuing a monetary penalty is likely to delay repairs or make it more difficult for owners to repair their vehicles.</w:t>
      </w:r>
    </w:p>
    <w:p w14:paraId="63332FE8" w14:textId="77777777" w:rsidR="00EB6564" w:rsidRDefault="00EB6564" w:rsidP="00EB6564">
      <w:pPr>
        <w:pStyle w:val="05BODYTEXT"/>
      </w:pPr>
      <w:r>
        <w:t xml:space="preserve">In addition to the above, Transport Canberra took delivery of an additional 26 Euro VI buses in 2018-19. A total of 132 Euro VI buses have been delivered as </w:t>
      </w:r>
      <w:proofErr w:type="gramStart"/>
      <w:r>
        <w:t>at</w:t>
      </w:r>
      <w:proofErr w:type="gramEnd"/>
      <w:r>
        <w:t xml:space="preserve"> June 30, 2019. A fleet of 70 CNG powered buses, purchased between 2004 and 2008, also remains in service</w:t>
      </w:r>
    </w:p>
    <w:p w14:paraId="3DC1D4DD" w14:textId="77777777" w:rsidR="00EB6564" w:rsidRDefault="00EB6564" w:rsidP="00EB6564">
      <w:pPr>
        <w:pStyle w:val="02HEADING2"/>
      </w:pPr>
      <w:r>
        <w:t>Part 2—Assessment of NEPM effectiveness</w:t>
      </w:r>
    </w:p>
    <w:p w14:paraId="500FE63F" w14:textId="77777777" w:rsidR="00EB6564" w:rsidRDefault="00EB6564" w:rsidP="00EB6564">
      <w:pPr>
        <w:pStyle w:val="05BODYTEXT"/>
      </w:pPr>
      <w:r>
        <w:t>As indicated above, the ACT airshed quality does not approach the NEPM trigger points and therefore no action is taken within the ACT as a result of the NEPM. As such, the NEPM has limited effectiveness within the ACT.</w:t>
      </w:r>
    </w:p>
    <w:p w14:paraId="0D00CF10" w14:textId="77777777" w:rsidR="00EB6564" w:rsidRDefault="00EB6564" w:rsidP="00EB6564">
      <w:pPr>
        <w:pStyle w:val="05BODYTEXT"/>
      </w:pPr>
      <w:r>
        <w:t>Therefore, the programs identified under the NEPM are not applicable within the ACT as any actions taken in relation to diesel vehicles are as a result of the overriding road transport laws that apply standards to individual vehicles based on type, age and roadworthiness.</w:t>
      </w:r>
    </w:p>
    <w:p w14:paraId="731459EC" w14:textId="77777777" w:rsidR="00EB6564" w:rsidRDefault="00EB6564" w:rsidP="00EB6564">
      <w:pPr>
        <w:pStyle w:val="03HEADING3"/>
      </w:pPr>
      <w:r>
        <w:t>Smoky vehicles program</w:t>
      </w:r>
    </w:p>
    <w:p w14:paraId="6ECAAD04" w14:textId="77777777" w:rsidR="00EB6564" w:rsidRDefault="00EB6564" w:rsidP="00EB6564">
      <w:pPr>
        <w:pStyle w:val="05BODYTEXT"/>
      </w:pPr>
      <w:r>
        <w:t>Not applicable.</w:t>
      </w:r>
    </w:p>
    <w:p w14:paraId="226B8E07" w14:textId="77777777" w:rsidR="00EB6564" w:rsidRDefault="00EB6564" w:rsidP="00EB6564">
      <w:pPr>
        <w:pStyle w:val="03HEADING3"/>
      </w:pPr>
      <w:r>
        <w:lastRenderedPageBreak/>
        <w:t>Diesel vehicle emission testing and repair programs</w:t>
      </w:r>
    </w:p>
    <w:p w14:paraId="13345A38" w14:textId="77777777" w:rsidR="00EB6564" w:rsidRDefault="00EB6564" w:rsidP="00EB6564">
      <w:pPr>
        <w:pStyle w:val="05BODYTEXT"/>
      </w:pPr>
      <w:r>
        <w:t>Not applicable.</w:t>
      </w:r>
    </w:p>
    <w:p w14:paraId="5A75C83F" w14:textId="77777777" w:rsidR="00EB6564" w:rsidRDefault="00EB6564" w:rsidP="00EB6564">
      <w:pPr>
        <w:pStyle w:val="03HEADING3"/>
      </w:pPr>
      <w:r>
        <w:t>Audited maintenance programs for diesel vehicles</w:t>
      </w:r>
    </w:p>
    <w:p w14:paraId="738FF1AD" w14:textId="77777777" w:rsidR="00EB6564" w:rsidRDefault="00EB6564" w:rsidP="00EB6564">
      <w:pPr>
        <w:pStyle w:val="05BODYTEXT"/>
      </w:pPr>
      <w:r>
        <w:t>Not applicable.</w:t>
      </w:r>
    </w:p>
    <w:p w14:paraId="74375D0D" w14:textId="77777777" w:rsidR="00EB6564" w:rsidRDefault="00EB6564" w:rsidP="00EB6564">
      <w:pPr>
        <w:pStyle w:val="03HEADING3"/>
      </w:pPr>
      <w:r>
        <w:t>Diesel vehicle retrofit programs</w:t>
      </w:r>
    </w:p>
    <w:p w14:paraId="0AF9A872" w14:textId="77777777" w:rsidR="00EB6564" w:rsidRDefault="00EB6564" w:rsidP="00EB6564">
      <w:pPr>
        <w:pStyle w:val="05BODYTEXT"/>
      </w:pPr>
      <w:r>
        <w:t>Not applicable.</w:t>
      </w:r>
    </w:p>
    <w:p w14:paraId="26BFE679" w14:textId="77777777" w:rsidR="00EB6564" w:rsidRDefault="00EB6564" w:rsidP="00EB6564">
      <w:pPr>
        <w:pStyle w:val="03HEADING3"/>
      </w:pPr>
      <w:r>
        <w:t>Other programs</w:t>
      </w:r>
    </w:p>
    <w:p w14:paraId="2AF96741" w14:textId="77777777" w:rsidR="00EB6564" w:rsidRDefault="00EB6564" w:rsidP="00EB6564">
      <w:pPr>
        <w:pStyle w:val="05BODYTEXT"/>
      </w:pPr>
      <w:r>
        <w:t>Not applicable.</w:t>
      </w:r>
    </w:p>
    <w:p w14:paraId="3CFB0467" w14:textId="77777777" w:rsidR="00EB6564" w:rsidRPr="009408AB" w:rsidRDefault="00EB6564" w:rsidP="00CB0DA6">
      <w:pPr>
        <w:pStyle w:val="Heading2"/>
      </w:pPr>
      <w:bookmarkStart w:id="53" w:name="_Toc58254407"/>
      <w:r w:rsidRPr="009408AB">
        <w:t>Northern Territory</w:t>
      </w:r>
      <w:bookmarkEnd w:id="53"/>
    </w:p>
    <w:p w14:paraId="04E4AA74" w14:textId="77777777" w:rsidR="00EB6564" w:rsidRDefault="00EB6564" w:rsidP="00EB6564">
      <w:pPr>
        <w:pStyle w:val="05BODYTEXT"/>
        <w:rPr>
          <w:rStyle w:val="ITALIC"/>
          <w:caps/>
          <w:sz w:val="20"/>
          <w:szCs w:val="20"/>
        </w:rPr>
      </w:pPr>
      <w:r>
        <w:rPr>
          <w:rStyle w:val="ITALIC"/>
        </w:rPr>
        <w:t>Report to the NEPC on the implementation of the National Environment Protection (Diesel Vehicle Emissions) Measure for the Northern Territory by the Hon Eva Lawler, Minister for Environment and Natural Resources for the reporting year ended 30 June 2019.</w:t>
      </w:r>
    </w:p>
    <w:p w14:paraId="536BDF1C" w14:textId="77777777" w:rsidR="00EB6564" w:rsidRDefault="00EB6564" w:rsidP="00EB6564">
      <w:pPr>
        <w:pStyle w:val="02HEADING2"/>
      </w:pPr>
      <w:r>
        <w:t>Part 1—Implementation of the NEPM and any significant issues</w:t>
      </w:r>
    </w:p>
    <w:p w14:paraId="6C5B0D23" w14:textId="77777777" w:rsidR="00EB6564" w:rsidRDefault="00EB6564" w:rsidP="00EB6564">
      <w:pPr>
        <w:pStyle w:val="05BODYTEXT"/>
      </w:pPr>
      <w:r>
        <w:t>Aggregate data on diesel emissions for the Northern Territory is not available. However, air quality studies and the National Pollutant Inventory indicate that motor vehicle traffic is not a major contributor to air emissions in the larger urban areas.</w:t>
      </w:r>
    </w:p>
    <w:p w14:paraId="7C13DAFE" w14:textId="77777777" w:rsidR="00EB6564" w:rsidRDefault="00EB6564" w:rsidP="00EB6564">
      <w:pPr>
        <w:pStyle w:val="02HEADING2"/>
      </w:pPr>
      <w:r>
        <w:t>Part 2—Assessment of NEPM effectiveness</w:t>
      </w:r>
    </w:p>
    <w:p w14:paraId="20C5360A" w14:textId="77777777" w:rsidR="00EB6564" w:rsidRDefault="00EB6564" w:rsidP="00EB6564">
      <w:pPr>
        <w:pStyle w:val="05BODYTEXT"/>
      </w:pPr>
      <w:r>
        <w:t xml:space="preserve">A number of initiatives have been implemented to control diesel vehicle emissions in the Northern Territory. Vehicle standards are enforced through the general provisions of the </w:t>
      </w:r>
      <w:r>
        <w:rPr>
          <w:rStyle w:val="ITALIC"/>
        </w:rPr>
        <w:t>Northern Territory Motor Vehicles Act 1949</w:t>
      </w:r>
      <w:r>
        <w:t xml:space="preserve"> and the Motor Vehicles (Standards) Regulations - Australian Vehicle Standard Rules which require all vehicles to comply with Australian Design Rules when in service.</w:t>
      </w:r>
    </w:p>
    <w:p w14:paraId="48B6E989" w14:textId="77777777" w:rsidR="00EB6564" w:rsidRDefault="00EB6564" w:rsidP="00EB6564">
      <w:pPr>
        <w:pStyle w:val="05BODYTEXT"/>
      </w:pPr>
      <w:r>
        <w:t>In the Northern Territory, there are approximately 66 000 diesel vehicles registered, representing around 41 per cent of the total vehicle fleet, which is much higher than the national proportion of diesel vehicles in the vehicle fleet (approximately 25 per cent). Australian Bureau of Statistics data indicate that diesel vehicles registered in the Northern Territory represent approximately 1.4 per cent of all diesel vehicles in Australia.</w:t>
      </w:r>
    </w:p>
    <w:p w14:paraId="2C2A06AF" w14:textId="77777777" w:rsidR="00EB6564" w:rsidRDefault="00EB6564" w:rsidP="00EB6564">
      <w:pPr>
        <w:pStyle w:val="05BODYTEXT"/>
      </w:pPr>
      <w:r>
        <w:t xml:space="preserve">Of the four major regions in the Territory, 69 per cent of all diesel vehicles registered in the Territory are registered in the Darwin region, with 15 per cent in Alice Springs, 9 per cent in Katherine and 2 per cent in Tennant Creek. </w:t>
      </w:r>
    </w:p>
    <w:p w14:paraId="634F4036" w14:textId="77777777" w:rsidR="00EB6564" w:rsidRDefault="00EB6564" w:rsidP="00EB6564">
      <w:pPr>
        <w:pStyle w:val="05BODYTEXT"/>
      </w:pPr>
      <w:r>
        <w:t>In the Darwin region, approximately 38 per cent of all registered vehicles are diesels, which is lower than in Alice Springs where diesels represent 42 per cent of the total vehicle fleet. In Katherine and Tennant Creek the diesel portion of the total fleet is 58 per cent and 60 per cent respectively, indicating a higher reliance on diesel vehicles in remote areas.</w:t>
      </w:r>
    </w:p>
    <w:p w14:paraId="725F533F" w14:textId="77777777" w:rsidR="00EB6564" w:rsidRDefault="00EB6564" w:rsidP="00EB6564">
      <w:pPr>
        <w:pStyle w:val="05BODYTEXT"/>
      </w:pPr>
      <w:r>
        <w:t>Of the heavy vehicle diesels registered in the Northern Territory, 61 per cent are registered in the Darwin region, 20 per cent in Alice Springs and 11 per cent in Katherine. The distribution of light diesel vehicle registrations in the Territory differs slightly, with 70 per cent of all light diesel vehicles registered in the Darwin region, 14 per cent in Alice Springs and 8 per cent in Katherine.</w:t>
      </w:r>
    </w:p>
    <w:p w14:paraId="4E098CD9" w14:textId="77777777" w:rsidR="00EB6564" w:rsidRDefault="00EB6564" w:rsidP="00EB6564">
      <w:pPr>
        <w:pStyle w:val="03HEADING3"/>
      </w:pPr>
      <w:r>
        <w:t>Smoky vehicles program</w:t>
      </w:r>
    </w:p>
    <w:p w14:paraId="5F6D4F80" w14:textId="77777777" w:rsidR="00EB6564" w:rsidRDefault="00EB6564" w:rsidP="00EB6564">
      <w:pPr>
        <w:pStyle w:val="05BODYTEXT"/>
      </w:pPr>
      <w:r>
        <w:t>A smoky vehicle program is undertaken as part of the Territory’s vehicle registration and roadworthiness testing procedures. Records of diesel vehicles issued with defect orders show that only a small number of vehicles checked as part of the vehicle registration process receive a defect notice due to engine smoke.</w:t>
      </w:r>
    </w:p>
    <w:p w14:paraId="7F8FC633" w14:textId="77777777" w:rsidR="00EB6564" w:rsidRDefault="00EB6564" w:rsidP="00EB6564">
      <w:pPr>
        <w:pStyle w:val="03HEADING3"/>
      </w:pPr>
      <w:r>
        <w:t>Diesel vehicle emission testing and repair programs</w:t>
      </w:r>
    </w:p>
    <w:p w14:paraId="49B39786" w14:textId="77777777" w:rsidR="00EB6564" w:rsidRDefault="00EB6564" w:rsidP="00EB6564">
      <w:pPr>
        <w:pStyle w:val="05BODYTEXT"/>
      </w:pPr>
      <w:r>
        <w:t>Pollutants associated with diesel emissions in the Territory are well below emission standards. Therefore, the current air quality conditions are not considered a trigger for change in relation to managing diesel emissions in the Territory. The Northern Territory will continue to monitor the need for action on diesel emissions and will take appropriate action as required.</w:t>
      </w:r>
    </w:p>
    <w:p w14:paraId="09C8D968" w14:textId="77777777" w:rsidR="00EB6564" w:rsidRDefault="00EB6564" w:rsidP="00EB6564">
      <w:pPr>
        <w:pStyle w:val="03HEADING3"/>
      </w:pPr>
      <w:r>
        <w:t>Audited maintenance programs for diesel vehicles</w:t>
      </w:r>
    </w:p>
    <w:p w14:paraId="79492991" w14:textId="77777777" w:rsidR="00EB6564" w:rsidRDefault="00EB6564" w:rsidP="00EB6564">
      <w:pPr>
        <w:pStyle w:val="05BODYTEXT"/>
      </w:pPr>
      <w:r>
        <w:t>Vehicle roadworthy inspections are undertaken periodically for light and heavy vehicles and these inspections include checking that all required emission control equipment is fitted as well as the detection of smoky vehicles. Periodic roadworthy inspections are required at registration renewal and the frequency of inspections is determined by the vehicle type, age and category. Since 1 July 2013, light vehicle inspections are required at five years, 10 years and then annually. All heavy vehicles require an annual roadworthy inspection.</w:t>
      </w:r>
    </w:p>
    <w:p w14:paraId="06CCA820" w14:textId="77777777" w:rsidR="00EB6564" w:rsidRDefault="00EB6564" w:rsidP="00EB6564">
      <w:pPr>
        <w:pStyle w:val="03HEADING3"/>
      </w:pPr>
      <w:r>
        <w:lastRenderedPageBreak/>
        <w:t>Diesel vehicle retrofit programs</w:t>
      </w:r>
    </w:p>
    <w:p w14:paraId="745A7E42" w14:textId="77777777" w:rsidR="00EB6564" w:rsidRDefault="00EB6564" w:rsidP="00EB6564">
      <w:pPr>
        <w:pStyle w:val="05BODYTEXT"/>
      </w:pPr>
      <w:r>
        <w:t>The majority of the Northern Territory road train fleet employs the latest technology in engine management systems to minimise fuel consumption. On a payload per emission basis, road trains operating line haul operations in remote Australia are considered to be some of the most efficient road freight vehicles in the world.</w:t>
      </w:r>
    </w:p>
    <w:p w14:paraId="4EAA9161" w14:textId="77777777" w:rsidR="00EB6564" w:rsidRDefault="00EB6564" w:rsidP="00EB6564">
      <w:pPr>
        <w:pStyle w:val="03HEADING3"/>
      </w:pPr>
      <w:r>
        <w:t>Other programs</w:t>
      </w:r>
    </w:p>
    <w:p w14:paraId="00980332" w14:textId="77777777" w:rsidR="00EB6564" w:rsidRDefault="00EB6564" w:rsidP="00EB6564">
      <w:pPr>
        <w:pStyle w:val="05BODYTEXT"/>
      </w:pPr>
      <w:r>
        <w:t xml:space="preserve">The Northern Territory’s open access policy provides for ‘as of right’ access for road trains and 100 per cent network access for vehicles operating at higher mass limits. In </w:t>
      </w:r>
      <w:proofErr w:type="gramStart"/>
      <w:r>
        <w:t>addition</w:t>
      </w:r>
      <w:proofErr w:type="gramEnd"/>
      <w:r>
        <w:t xml:space="preserve"> the Territory’s innovative vehicle policy promotes the development of high productivity innovative vehicle combinations which can deliver further efficiency benefits.</w:t>
      </w:r>
    </w:p>
    <w:p w14:paraId="62BF372E" w14:textId="310BD804" w:rsidR="0008325A" w:rsidRDefault="0008325A">
      <w:pPr>
        <w:rPr>
          <w:rFonts w:ascii="Calibri" w:hAnsi="Calibri" w:cs="Calibri"/>
          <w:color w:val="000000"/>
          <w:sz w:val="16"/>
          <w:szCs w:val="16"/>
        </w:rPr>
      </w:pPr>
      <w:r>
        <w:br w:type="page"/>
      </w:r>
    </w:p>
    <w:p w14:paraId="5CB4CB62" w14:textId="77777777" w:rsidR="00EB6564" w:rsidRPr="00430022" w:rsidRDefault="00EB6564" w:rsidP="00430022">
      <w:pPr>
        <w:pStyle w:val="Heading1"/>
      </w:pPr>
      <w:bookmarkStart w:id="54" w:name="_Toc58254408"/>
      <w:r w:rsidRPr="00430022">
        <w:lastRenderedPageBreak/>
        <w:t>Appendix 5: Jurisdictional reports on the implementation and effectiveness of the Movement of Controlled Waste between States and Territories National Environment Protection Measure</w:t>
      </w:r>
      <w:bookmarkEnd w:id="54"/>
    </w:p>
    <w:p w14:paraId="1EEB5495" w14:textId="77777777" w:rsidR="00EB6564" w:rsidRPr="009408AB" w:rsidRDefault="00EB6564" w:rsidP="00CB0DA6">
      <w:pPr>
        <w:pStyle w:val="Heading2"/>
      </w:pPr>
      <w:bookmarkStart w:id="55" w:name="_Toc58254409"/>
      <w:r w:rsidRPr="009408AB">
        <w:t>Commonwealth</w:t>
      </w:r>
      <w:bookmarkEnd w:id="55"/>
    </w:p>
    <w:p w14:paraId="451893C6" w14:textId="77777777" w:rsidR="00EB6564" w:rsidRDefault="00EB6564" w:rsidP="00EB6564">
      <w:pPr>
        <w:pStyle w:val="05BODYTEXT"/>
        <w:rPr>
          <w:rStyle w:val="ITALIC"/>
        </w:rPr>
      </w:pPr>
      <w:r>
        <w:rPr>
          <w:rStyle w:val="ITALIC"/>
        </w:rPr>
        <w:t>Report to the NEPC on the implementation of the National Environment Protection (Movement of Controlled Waste between States and Territories) Measure for Commonwealth by the Department of Agriculture, Water and Environment for the reporting year ended 30 June 2019.</w:t>
      </w:r>
    </w:p>
    <w:p w14:paraId="5AE9DCE2" w14:textId="77777777" w:rsidR="00EB6564" w:rsidRDefault="00EB6564" w:rsidP="00EB6564">
      <w:pPr>
        <w:pStyle w:val="02HEADING2"/>
      </w:pPr>
      <w:r>
        <w:t>Part 1—Implementation of the NEPM and any significant issues</w:t>
      </w:r>
    </w:p>
    <w:p w14:paraId="58CBAEA7" w14:textId="77777777" w:rsidR="00EB6564" w:rsidRDefault="00EB6564" w:rsidP="00EB6564">
      <w:pPr>
        <w:pStyle w:val="05BODYTEXT"/>
      </w:pPr>
      <w:r>
        <w:t>The Commonwealth supports the Controlled Waste NEPM through our hazardous waste reform activities.</w:t>
      </w:r>
    </w:p>
    <w:p w14:paraId="18F833BB" w14:textId="77777777" w:rsidR="00EB6564" w:rsidRDefault="00EB6564" w:rsidP="00EB6564">
      <w:pPr>
        <w:pStyle w:val="05BODYTEXT"/>
      </w:pPr>
      <w:r>
        <w:t>Key activities related to tracking and understanding Australia’s interstate movements of hazardous and controlled waste included:</w:t>
      </w:r>
    </w:p>
    <w:p w14:paraId="04E55877" w14:textId="77777777" w:rsidR="00EB6564" w:rsidRDefault="00EB6564" w:rsidP="00EB6564">
      <w:pPr>
        <w:pStyle w:val="05bDOTPOINTS"/>
      </w:pPr>
      <w:r>
        <w:t>•</w:t>
      </w:r>
      <w:r>
        <w:tab/>
        <w:t>Analysis linking Australian waste trade and waste movement data to inform compliance and enforcement activities.</w:t>
      </w:r>
    </w:p>
    <w:p w14:paraId="6D7F844D" w14:textId="77777777" w:rsidR="00EB6564" w:rsidRDefault="00EB6564" w:rsidP="00EB6564">
      <w:pPr>
        <w:pStyle w:val="05bDOTPOINTS"/>
      </w:pPr>
      <w:r>
        <w:t>•</w:t>
      </w:r>
      <w:r>
        <w:tab/>
        <w:t>Working with the states, territories and industry to deliver the National Action Plan’s commitment to implement agreed national waste data, reporting and information-sharing improvements by 2022.</w:t>
      </w:r>
    </w:p>
    <w:p w14:paraId="50036B38" w14:textId="77777777" w:rsidR="00EB6564" w:rsidRDefault="00EB6564" w:rsidP="00EB6564">
      <w:pPr>
        <w:pStyle w:val="05bDOTPOINTS"/>
      </w:pPr>
      <w:r>
        <w:t>•</w:t>
      </w:r>
      <w:r>
        <w:tab/>
        <w:t>Publishing the Hazardous Waste in Australia 2019 report. This major report, produced every two years, provides data and analysis on the sources, flows, management and fate of hazardous wastes. This includes analysis of data sourced from waste tracking systems, and recommendations for how this data may be improved.</w:t>
      </w:r>
    </w:p>
    <w:p w14:paraId="2E3516E4" w14:textId="77777777" w:rsidR="00EB6564" w:rsidRDefault="00EB6564" w:rsidP="00EB6564">
      <w:pPr>
        <w:pStyle w:val="05bDOTPOINTS"/>
      </w:pPr>
      <w:r>
        <w:t>•</w:t>
      </w:r>
      <w:r>
        <w:tab/>
        <w:t>Publishing the third edition of our national standard on hazardous waste data and reporting.</w:t>
      </w:r>
    </w:p>
    <w:p w14:paraId="45BBF09C" w14:textId="0A54BEFA" w:rsidR="00EB6564" w:rsidRDefault="00EB6564" w:rsidP="00EB6564">
      <w:pPr>
        <w:pStyle w:val="05BODYTEXT"/>
      </w:pPr>
      <w:r>
        <w:t xml:space="preserve">For more information, see </w:t>
      </w:r>
      <w:hyperlink r:id="rId62" w:history="1">
        <w:r w:rsidRPr="000644CA">
          <w:rPr>
            <w:rStyle w:val="Hyperlink"/>
            <w:color w:val="4472C4" w:themeColor="accent1"/>
            <w:u w:val="single"/>
          </w:rPr>
          <w:t>www.environment.gov.au/protection/hazardous-waste/reform</w:t>
        </w:r>
      </w:hyperlink>
      <w:r>
        <w:t>.</w:t>
      </w:r>
    </w:p>
    <w:p w14:paraId="560A6AF6" w14:textId="77777777" w:rsidR="00EB6564" w:rsidRDefault="00EB6564" w:rsidP="00EB6564">
      <w:pPr>
        <w:pStyle w:val="02HEADING2"/>
      </w:pPr>
      <w:r>
        <w:t>Part 2—Assessment of NEPM effectiveness</w:t>
      </w:r>
    </w:p>
    <w:p w14:paraId="68B6347C" w14:textId="77777777" w:rsidR="00EB6564" w:rsidRDefault="00EB6564" w:rsidP="00EB6564">
      <w:pPr>
        <w:pStyle w:val="05BODYTEXT"/>
      </w:pPr>
      <w:r>
        <w:t>Not applicable for the Commonwealth.</w:t>
      </w:r>
    </w:p>
    <w:p w14:paraId="31086013" w14:textId="77777777" w:rsidR="00EB6564" w:rsidRPr="009408AB" w:rsidRDefault="00EB6564" w:rsidP="00CB0DA6">
      <w:pPr>
        <w:pStyle w:val="Heading2"/>
      </w:pPr>
      <w:bookmarkStart w:id="56" w:name="_Toc58254410"/>
      <w:r w:rsidRPr="009408AB">
        <w:t>New South Wales</w:t>
      </w:r>
      <w:bookmarkEnd w:id="56"/>
    </w:p>
    <w:p w14:paraId="295A8961" w14:textId="77777777" w:rsidR="00EB6564" w:rsidRDefault="00EB6564" w:rsidP="00EB6564">
      <w:pPr>
        <w:pStyle w:val="05BODYTEXT"/>
        <w:rPr>
          <w:rStyle w:val="ITALIC"/>
        </w:rPr>
      </w:pPr>
      <w:r>
        <w:rPr>
          <w:rStyle w:val="ITALIC"/>
        </w:rPr>
        <w:t>Report to the NEPC on the implementation of the National Environment Protection (Movement of Controlled Waste between States and Territories) Measure for New South Wales by the Hon. Matt Kean MP, Minister for Energy and Environment, for the reporting year ended 30 June 2019.</w:t>
      </w:r>
    </w:p>
    <w:p w14:paraId="115504DD" w14:textId="77777777" w:rsidR="00EB6564" w:rsidRDefault="00EB6564" w:rsidP="00EB6564">
      <w:pPr>
        <w:pStyle w:val="02HEADING2"/>
      </w:pPr>
      <w:r>
        <w:t>Part 1—Implementation of the NEPM and any significant issues</w:t>
      </w:r>
    </w:p>
    <w:p w14:paraId="05A855B9" w14:textId="77777777" w:rsidR="00EB6564" w:rsidRDefault="00EB6564" w:rsidP="00EB6564">
      <w:pPr>
        <w:pStyle w:val="05BODYTEXT"/>
      </w:pPr>
      <w:r>
        <w:t>The NEPM has been in place for more than ten years and while operating relatively smoothly, several significant issues have arisen (see discussion under Part 2 below). Minor changes to the NEPM recommended during the ten-year review were implemented in NSW in October 2014 under the Protection of the Environment Operations (Waste) Regulation 2014.</w:t>
      </w:r>
    </w:p>
    <w:p w14:paraId="25ED5FF8" w14:textId="77777777" w:rsidR="00EB6564" w:rsidRDefault="00EB6564" w:rsidP="00EB6564">
      <w:pPr>
        <w:pStyle w:val="02HEADING2"/>
      </w:pPr>
      <w:r>
        <w:t>Part 2—Assessment of NEPM effectiveness</w:t>
      </w:r>
    </w:p>
    <w:p w14:paraId="1E8764B1" w14:textId="77777777" w:rsidR="00EB6564" w:rsidRDefault="00EB6564" w:rsidP="00EB6564">
      <w:pPr>
        <w:pStyle w:val="03HEADING3"/>
      </w:pPr>
      <w:r>
        <w:t>Overview</w:t>
      </w:r>
    </w:p>
    <w:p w14:paraId="4B2EAB99" w14:textId="77777777" w:rsidR="00EB6564" w:rsidRDefault="00EB6564" w:rsidP="00EB6564">
      <w:pPr>
        <w:pStyle w:val="05BODYTEXT"/>
      </w:pPr>
      <w:r>
        <w:t>The NEPM continues to be an important tool in minimising the potential for adverse impacts from the movement of controlled waste on the environment and human health. However, inconsistencies between jurisdictions (</w:t>
      </w:r>
      <w:proofErr w:type="gramStart"/>
      <w:r>
        <w:t>e.g.</w:t>
      </w:r>
      <w:proofErr w:type="gramEnd"/>
      <w:r>
        <w:t xml:space="preserve"> in terms of waste classification, waste codes, terminology) and outdated waste tracking systems introduce significant data uncertainty. This leads to limited oversight and potentially unlawful practices, which distort the waste management market and may have significant adverse impacts on people and the environment, if undetected.</w:t>
      </w:r>
    </w:p>
    <w:p w14:paraId="5879E97E" w14:textId="77777777" w:rsidR="00EB6564" w:rsidRDefault="00EB6564" w:rsidP="00EB6564">
      <w:pPr>
        <w:pStyle w:val="05BODYTEXT"/>
      </w:pPr>
      <w:r>
        <w:t>A total of 66,046 tonnes of controlled waste in 4,631 movements were reported in 2018-19 as having been transported into NSW from interstate (Tables 2 and 4). This is a 7% decrease on the 70,788 tonnes and a decrease on the 4,832 waste movements into NSW in 2017-18. This compares to the reported 0.5% increase in controlled waste tonnage and the minor increase in waste movements from 2016-17 to 2017-18.</w:t>
      </w:r>
    </w:p>
    <w:p w14:paraId="57FF699A" w14:textId="77777777" w:rsidR="00EB6564" w:rsidRDefault="00EB6564" w:rsidP="00EB6564">
      <w:pPr>
        <w:pStyle w:val="05BODYTEXT"/>
      </w:pPr>
      <w:r>
        <w:t xml:space="preserve">NSW received less waste in 2018-19 compared to 2017-18 from all states except Victoria and the ACT. The greatest decrease was from Queensland followed by South Australia and Western Australia. Victoria had the largest increase on volume (2,147 tonnes) increasing its share of waste into </w:t>
      </w:r>
      <w:r>
        <w:lastRenderedPageBreak/>
        <w:t>NSW from 59% in 2017-18 to 67% in 2018-19 (Figures 1 and 2). The contribution of waste into NSW from both Queensland and South Australia decreased.</w:t>
      </w:r>
    </w:p>
    <w:p w14:paraId="7C83292F" w14:textId="2CA75EAC" w:rsidR="00EB6564" w:rsidRDefault="00EB6564" w:rsidP="00EB6564">
      <w:pPr>
        <w:pStyle w:val="06TABLEHEADING"/>
      </w:pPr>
      <w:r>
        <w:t>Figures 1 and 2 – Waste Contribution from States and Territories into NSW</w:t>
      </w:r>
    </w:p>
    <w:p w14:paraId="2BE7C9B2" w14:textId="6588281F" w:rsidR="0008325A" w:rsidRDefault="0008325A" w:rsidP="00EB6564">
      <w:pPr>
        <w:pStyle w:val="06TABLEHEADING"/>
      </w:pPr>
      <w:r>
        <w:rPr>
          <w:noProof/>
        </w:rPr>
        <w:drawing>
          <wp:inline distT="0" distB="0" distL="0" distR="0" wp14:anchorId="33780C7F" wp14:editId="1E5B5656">
            <wp:extent cx="4533687" cy="2165350"/>
            <wp:effectExtent l="0" t="0" r="635" b="0"/>
            <wp:docPr id="5" name="Picture 5" descr="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s"/>
                    <pic:cNvPicPr/>
                  </pic:nvPicPr>
                  <pic:blipFill>
                    <a:blip r:embed="rId63">
                      <a:extLst>
                        <a:ext uri="{28A0092B-C50C-407E-A947-70E740481C1C}">
                          <a14:useLocalDpi xmlns:a14="http://schemas.microsoft.com/office/drawing/2010/main" val="0"/>
                        </a:ext>
                      </a:extLst>
                    </a:blip>
                    <a:stretch>
                      <a:fillRect/>
                    </a:stretch>
                  </pic:blipFill>
                  <pic:spPr>
                    <a:xfrm>
                      <a:off x="0" y="0"/>
                      <a:ext cx="4551789" cy="2173996"/>
                    </a:xfrm>
                    <a:prstGeom prst="rect">
                      <a:avLst/>
                    </a:prstGeom>
                  </pic:spPr>
                </pic:pic>
              </a:graphicData>
            </a:graphic>
          </wp:inline>
        </w:drawing>
      </w:r>
    </w:p>
    <w:p w14:paraId="4ECFF406" w14:textId="77777777" w:rsidR="00EB6564" w:rsidRDefault="00EB6564" w:rsidP="00EB6564">
      <w:pPr>
        <w:pStyle w:val="05BODYTEXT"/>
      </w:pPr>
      <w:r>
        <w:t>During the reporting period there were 201 fewer movements into NSW than during the 2017-18 period with Queensland accounting for the largest decrease of 179 movements while ACT had the largest increase of 92 movements (Figure 3).</w:t>
      </w:r>
    </w:p>
    <w:p w14:paraId="1AD15F13" w14:textId="3C618BD7" w:rsidR="00EB6564" w:rsidRDefault="00EB6564" w:rsidP="00EB6564">
      <w:pPr>
        <w:pStyle w:val="06TABLEHEADING"/>
      </w:pPr>
      <w:r>
        <w:t>Figure 3 – Waste Movements by Transport Certificate Totals (single waste TCs)</w:t>
      </w:r>
    </w:p>
    <w:p w14:paraId="053E81E3" w14:textId="6E3BE0DB" w:rsidR="0008325A" w:rsidRDefault="0008325A" w:rsidP="00EB6564">
      <w:pPr>
        <w:pStyle w:val="06TABLEHEADING"/>
      </w:pPr>
      <w:r>
        <w:rPr>
          <w:noProof/>
        </w:rPr>
        <w:drawing>
          <wp:inline distT="0" distB="0" distL="0" distR="0" wp14:anchorId="0A2E2793" wp14:editId="19D149D6">
            <wp:extent cx="4333384" cy="2590800"/>
            <wp:effectExtent l="0" t="0" r="0" b="0"/>
            <wp:docPr id="12" name="Picture 12"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
                    <pic:cNvPicPr/>
                  </pic:nvPicPr>
                  <pic:blipFill>
                    <a:blip r:embed="rId64">
                      <a:extLst>
                        <a:ext uri="{28A0092B-C50C-407E-A947-70E740481C1C}">
                          <a14:useLocalDpi xmlns:a14="http://schemas.microsoft.com/office/drawing/2010/main" val="0"/>
                        </a:ext>
                      </a:extLst>
                    </a:blip>
                    <a:stretch>
                      <a:fillRect/>
                    </a:stretch>
                  </pic:blipFill>
                  <pic:spPr>
                    <a:xfrm>
                      <a:off x="0" y="0"/>
                      <a:ext cx="4348762" cy="2599994"/>
                    </a:xfrm>
                    <a:prstGeom prst="rect">
                      <a:avLst/>
                    </a:prstGeom>
                  </pic:spPr>
                </pic:pic>
              </a:graphicData>
            </a:graphic>
          </wp:inline>
        </w:drawing>
      </w:r>
    </w:p>
    <w:p w14:paraId="6D392E05" w14:textId="77777777" w:rsidR="00EB6564" w:rsidRDefault="00EB6564" w:rsidP="00EB6564">
      <w:pPr>
        <w:pStyle w:val="05BODYTEXT"/>
      </w:pPr>
    </w:p>
    <w:p w14:paraId="45A77904" w14:textId="77777777" w:rsidR="00EB6564" w:rsidRDefault="00EB6564" w:rsidP="00EB6564">
      <w:pPr>
        <w:pStyle w:val="05BODYTEXT"/>
        <w:rPr>
          <w:rStyle w:val="BOLD"/>
        </w:rPr>
      </w:pPr>
      <w:r>
        <w:rPr>
          <w:rStyle w:val="BOLD"/>
        </w:rPr>
        <w:t>Highlights by jurisdiction include:</w:t>
      </w:r>
    </w:p>
    <w:p w14:paraId="44DA6A64" w14:textId="77777777" w:rsidR="00EB6564" w:rsidRDefault="00EB6564" w:rsidP="00EB6564">
      <w:pPr>
        <w:pStyle w:val="05bDOTPOINTS"/>
      </w:pPr>
      <w:r>
        <w:t>•</w:t>
      </w:r>
      <w:r>
        <w:tab/>
      </w:r>
      <w:r>
        <w:rPr>
          <w:rStyle w:val="BOLD"/>
        </w:rPr>
        <w:t xml:space="preserve">Victoria: </w:t>
      </w:r>
      <w:r>
        <w:t>while the last reporting period saw the transport of alkalis increase significantly, during this reporting period there was a drop of this waste type from 347 tonnes down to just 6 tonnes. Soil/sludge waste dropped by 71%. Organic solvent waste almost doubled from 125 tonnes to 218 tonnes.</w:t>
      </w:r>
    </w:p>
    <w:p w14:paraId="0A30534D" w14:textId="77777777" w:rsidR="00EB6564" w:rsidRDefault="00EB6564" w:rsidP="00EB6564">
      <w:pPr>
        <w:pStyle w:val="05bDOTPOINTS"/>
      </w:pPr>
      <w:r>
        <w:t>•</w:t>
      </w:r>
      <w:r>
        <w:tab/>
      </w:r>
      <w:r>
        <w:rPr>
          <w:rStyle w:val="BOLD"/>
        </w:rPr>
        <w:t xml:space="preserve">Queensland: </w:t>
      </w:r>
      <w:r>
        <w:t xml:space="preserve">while the last reporting period saw the transport of plating and heat treatment waste drop to zero, it has increased to 4.1 tonnes during this period. Clinical and pharmaceutical waste increased from previously zero to 195 tonnes while organic solvents, pesticides, oils and soil/sludge all decreased (most significantly soil/sludge which decreased by 940 tonnes for the period). </w:t>
      </w:r>
    </w:p>
    <w:p w14:paraId="7AF863B2" w14:textId="77777777" w:rsidR="00EB6564" w:rsidRDefault="00EB6564" w:rsidP="00EB6564">
      <w:pPr>
        <w:pStyle w:val="05bDOTPOINTS"/>
      </w:pPr>
      <w:r>
        <w:t>•</w:t>
      </w:r>
      <w:r>
        <w:tab/>
      </w:r>
      <w:r>
        <w:rPr>
          <w:rStyle w:val="BOLD"/>
        </w:rPr>
        <w:t xml:space="preserve">Western Australia: </w:t>
      </w:r>
      <w:r>
        <w:t>total movement volume was down for this state while the number of movements increased by 21 tonnes for the period with organic solvents again decreasing (by 19 tonnes). There were also decreases in alkalis (down to zero), oils and most significantly soil/sludge which decreased from 160 tonnes to 61 tonnes. Acid movements were the only increased waste type from WA.</w:t>
      </w:r>
    </w:p>
    <w:p w14:paraId="2615A2BF" w14:textId="77777777" w:rsidR="00EB6564" w:rsidRDefault="00EB6564" w:rsidP="00EB6564">
      <w:pPr>
        <w:pStyle w:val="05bDOTPOINTS"/>
      </w:pPr>
      <w:r>
        <w:t>•</w:t>
      </w:r>
      <w:r>
        <w:tab/>
      </w:r>
      <w:r>
        <w:rPr>
          <w:rStyle w:val="BOLD"/>
        </w:rPr>
        <w:t>South Australia:</w:t>
      </w:r>
      <w:r>
        <w:t xml:space="preserve"> with a significant drop in total volume waste movement (by 2,286 tonnes) the only waste type to increase in volume was organic solvent (only slightly). Paints, resins, inks, organic sludges and acids both decreased to zero tonnes while there was a 60% drop in inorganic chemicals.</w:t>
      </w:r>
    </w:p>
    <w:p w14:paraId="27112F43" w14:textId="77777777" w:rsidR="00EB6564" w:rsidRDefault="00EB6564" w:rsidP="00EB6564">
      <w:pPr>
        <w:pStyle w:val="05bDOTPOINTS"/>
      </w:pPr>
      <w:r>
        <w:t>•</w:t>
      </w:r>
      <w:r>
        <w:tab/>
      </w:r>
      <w:r>
        <w:rPr>
          <w:rStyle w:val="BOLD"/>
        </w:rPr>
        <w:t>Tasmania:</w:t>
      </w:r>
      <w:r>
        <w:t xml:space="preserve"> transport of oils remained relatively steady after an increase reported in the last period; </w:t>
      </w:r>
      <w:proofErr w:type="gramStart"/>
      <w:r>
        <w:t>however</w:t>
      </w:r>
      <w:proofErr w:type="gramEnd"/>
      <w:r>
        <w:t xml:space="preserve"> alkalis, inorganic chemicals and pesticides all decreased to zero for this period. Paints, resins, inks, organic sludges accounted for the highest increase (up from zero to 16.5 tonnes).</w:t>
      </w:r>
    </w:p>
    <w:p w14:paraId="594EE7D1" w14:textId="77777777" w:rsidR="00EB6564" w:rsidRDefault="00EB6564" w:rsidP="00EB6564">
      <w:pPr>
        <w:pStyle w:val="05bDOTPOINTS"/>
      </w:pPr>
      <w:r>
        <w:lastRenderedPageBreak/>
        <w:t>•</w:t>
      </w:r>
      <w:r>
        <w:rPr>
          <w:rStyle w:val="BOLD"/>
        </w:rPr>
        <w:tab/>
        <w:t>ACT</w:t>
      </w:r>
      <w:r>
        <w:t xml:space="preserve">: there was a reported increase in transport of soil/sludge in the last reporting period of 745 tonnes, however this reporting period saw a decrease of 777 tonnes. There was a large increase in inorganic chemicals transport from 24 tonnes to 446 tonnes (making it the third highest waste type for the ACT by volume this period). </w:t>
      </w:r>
    </w:p>
    <w:p w14:paraId="43202BE5" w14:textId="77777777" w:rsidR="00EB6564" w:rsidRDefault="00EB6564" w:rsidP="00EB6564">
      <w:pPr>
        <w:pStyle w:val="05bDOTPOINTS"/>
      </w:pPr>
      <w:r>
        <w:t>•</w:t>
      </w:r>
      <w:r>
        <w:tab/>
      </w:r>
      <w:r>
        <w:rPr>
          <w:rStyle w:val="BOLD"/>
        </w:rPr>
        <w:t xml:space="preserve">Northern Territory: </w:t>
      </w:r>
      <w:r>
        <w:t>the total transported volume decreased this year by 541 tonnes, mostly due to a decrease in the transport of soil/sludge from 302 tonnes to 2 tonnes.</w:t>
      </w:r>
    </w:p>
    <w:p w14:paraId="4440CA68" w14:textId="77777777" w:rsidR="00EB6564" w:rsidRDefault="00EB6564" w:rsidP="0008325A">
      <w:pPr>
        <w:pStyle w:val="05BODYTEXT"/>
        <w:keepNext/>
        <w:rPr>
          <w:rStyle w:val="BOLD"/>
        </w:rPr>
      </w:pPr>
      <w:r>
        <w:rPr>
          <w:rStyle w:val="BOLD"/>
        </w:rPr>
        <w:t>Highlights by waste type include:</w:t>
      </w:r>
    </w:p>
    <w:p w14:paraId="04A1C5EF" w14:textId="77777777" w:rsidR="00EB6564" w:rsidRDefault="00EB6564" w:rsidP="0008325A">
      <w:pPr>
        <w:pStyle w:val="05bDOTPOINTS"/>
        <w:keepNext/>
      </w:pPr>
      <w:r>
        <w:t>•</w:t>
      </w:r>
      <w:r>
        <w:tab/>
      </w:r>
      <w:r>
        <w:rPr>
          <w:rStyle w:val="BOLD"/>
        </w:rPr>
        <w:t>Acids:</w:t>
      </w:r>
      <w:r>
        <w:t xml:space="preserve"> the total volume share of this waste type increased by 4% from 2017-18 up to 33% with Victoria, Queensland, Western Australia and Northern Territory all recording increases in volume.</w:t>
      </w:r>
    </w:p>
    <w:p w14:paraId="4D33269C" w14:textId="77777777" w:rsidR="00EB6564" w:rsidRDefault="00EB6564" w:rsidP="0008325A">
      <w:pPr>
        <w:pStyle w:val="05bDOTPOINTS"/>
        <w:keepNext/>
      </w:pPr>
      <w:r>
        <w:t>•</w:t>
      </w:r>
      <w:r>
        <w:tab/>
      </w:r>
      <w:r>
        <w:rPr>
          <w:rStyle w:val="BOLD"/>
        </w:rPr>
        <w:t>Inorganic chemicals:</w:t>
      </w:r>
      <w:r>
        <w:t xml:space="preserve"> the total volume share of this waste type increased by 4% from 2017-18 up to 41% with Victoria and the ACT accounting for this increase. This waste type includes lead acid batteries and mercury.</w:t>
      </w:r>
    </w:p>
    <w:p w14:paraId="3E5CFEC5" w14:textId="77777777" w:rsidR="00EB6564" w:rsidRDefault="00EB6564" w:rsidP="0008325A">
      <w:pPr>
        <w:pStyle w:val="05bDOTPOINTS"/>
        <w:keepNext/>
      </w:pPr>
      <w:r>
        <w:t>•</w:t>
      </w:r>
      <w:r>
        <w:tab/>
      </w:r>
      <w:r>
        <w:rPr>
          <w:rStyle w:val="BOLD"/>
        </w:rPr>
        <w:t>Soil/sludge:</w:t>
      </w:r>
      <w:r>
        <w:t xml:space="preserve"> the total volume share of this waste type decreased by 6% from 2017-18 down to 2% with all states/territories recording decreases in waste volume (Tasmania remained consistent from last reporting period with zero). This waste type includes contaminated soils, asbestos and fire </w:t>
      </w:r>
      <w:proofErr w:type="spellStart"/>
      <w:r>
        <w:t>washwaters</w:t>
      </w:r>
      <w:proofErr w:type="spellEnd"/>
      <w:r>
        <w:t>.</w:t>
      </w:r>
    </w:p>
    <w:p w14:paraId="10A6AC14" w14:textId="77777777" w:rsidR="00EB6564" w:rsidRDefault="00EB6564" w:rsidP="00EB6564">
      <w:pPr>
        <w:pStyle w:val="03HEADING3"/>
      </w:pPr>
      <w:r>
        <w:t>Detailed results</w:t>
      </w:r>
    </w:p>
    <w:p w14:paraId="65242CF1" w14:textId="77777777" w:rsidR="00EB6564" w:rsidRDefault="00EB6564" w:rsidP="00EB6564">
      <w:pPr>
        <w:pStyle w:val="05BODYTEXT"/>
      </w:pPr>
      <w:r>
        <w:t>NOTES: the data contains some discrepancies due to the nature of the online system and cannot be relied upon to be completely correct. Data in this part has been rounded to the nearest whole number.</w:t>
      </w:r>
    </w:p>
    <w:p w14:paraId="37DD03CD" w14:textId="77777777" w:rsidR="00EB6564" w:rsidRDefault="00EB6564" w:rsidP="00EB6564">
      <w:pPr>
        <w:pStyle w:val="06TABLEHEADING"/>
      </w:pPr>
      <w:r>
        <w:t>Table 1: Number of consignment authorisations issued by NSW</w:t>
      </w:r>
    </w:p>
    <w:tbl>
      <w:tblPr>
        <w:tblW w:w="0" w:type="auto"/>
        <w:tblInd w:w="-5" w:type="dxa"/>
        <w:tblLayout w:type="fixed"/>
        <w:tblCellMar>
          <w:left w:w="0" w:type="dxa"/>
          <w:right w:w="0" w:type="dxa"/>
        </w:tblCellMar>
        <w:tblLook w:val="0000" w:firstRow="0" w:lastRow="0" w:firstColumn="0" w:lastColumn="0" w:noHBand="0" w:noVBand="0"/>
      </w:tblPr>
      <w:tblGrid>
        <w:gridCol w:w="3703"/>
        <w:gridCol w:w="3850"/>
      </w:tblGrid>
      <w:tr w:rsidR="00EB6564" w14:paraId="2958B8F6" w14:textId="77777777">
        <w:trPr>
          <w:trHeight w:val="60"/>
          <w:tblHeader/>
        </w:trPr>
        <w:tc>
          <w:tcPr>
            <w:tcW w:w="370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4E798AE" w14:textId="77777777" w:rsidR="00EB6564" w:rsidRDefault="00EB6564">
            <w:pPr>
              <w:pStyle w:val="06bTABLEHEADERROW"/>
              <w:jc w:val="center"/>
            </w:pPr>
            <w:r>
              <w:t>Reporting Year</w:t>
            </w:r>
          </w:p>
        </w:tc>
        <w:tc>
          <w:tcPr>
            <w:tcW w:w="385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3D91072" w14:textId="77777777" w:rsidR="00EB6564" w:rsidRDefault="00EB6564">
            <w:pPr>
              <w:pStyle w:val="06bTABLEHEADERROW"/>
              <w:jc w:val="center"/>
            </w:pPr>
            <w:r>
              <w:t>Consignment authorisations issued</w:t>
            </w:r>
          </w:p>
        </w:tc>
      </w:tr>
      <w:tr w:rsidR="00EB6564" w14:paraId="13DC6ED7"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BC7D26" w14:textId="77777777" w:rsidR="00EB6564" w:rsidRDefault="00EB6564">
            <w:pPr>
              <w:pStyle w:val="06cTABLETEXT"/>
              <w:jc w:val="center"/>
            </w:pPr>
            <w:r>
              <w:t>2017–18</w:t>
            </w:r>
          </w:p>
        </w:tc>
        <w:tc>
          <w:tcPr>
            <w:tcW w:w="38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19F519" w14:textId="77777777" w:rsidR="00EB6564" w:rsidRDefault="00EB6564">
            <w:pPr>
              <w:pStyle w:val="06cTABLETEXT"/>
              <w:jc w:val="center"/>
            </w:pPr>
            <w:r>
              <w:t>10,806</w:t>
            </w:r>
          </w:p>
        </w:tc>
      </w:tr>
      <w:tr w:rsidR="00EB6564" w14:paraId="16D8789F"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94EEC6" w14:textId="77777777" w:rsidR="00EB6564" w:rsidRDefault="00EB6564">
            <w:pPr>
              <w:pStyle w:val="06cTABLETEXT"/>
              <w:jc w:val="center"/>
            </w:pPr>
            <w:r>
              <w:t>2018–19</w:t>
            </w:r>
          </w:p>
        </w:tc>
        <w:tc>
          <w:tcPr>
            <w:tcW w:w="385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98CC0B" w14:textId="77777777" w:rsidR="00EB6564" w:rsidRDefault="00EB6564">
            <w:pPr>
              <w:pStyle w:val="06cTABLETEXT"/>
              <w:jc w:val="center"/>
            </w:pPr>
            <w:r>
              <w:t>9,865</w:t>
            </w:r>
          </w:p>
        </w:tc>
      </w:tr>
    </w:tbl>
    <w:p w14:paraId="2E577D49" w14:textId="77777777" w:rsidR="00EB6564" w:rsidRDefault="00EB6564" w:rsidP="00EB6564">
      <w:pPr>
        <w:pStyle w:val="06TABLEHEADING"/>
      </w:pPr>
      <w:r>
        <w:t>Table 2: Quantity of controlled waste into NSW for the period 1 July 2018 to 30 June 2019—Tonnes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477"/>
        <w:gridCol w:w="1230"/>
        <w:gridCol w:w="556"/>
        <w:gridCol w:w="743"/>
        <w:gridCol w:w="663"/>
        <w:gridCol w:w="680"/>
        <w:gridCol w:w="624"/>
        <w:gridCol w:w="539"/>
        <w:gridCol w:w="743"/>
        <w:gridCol w:w="577"/>
        <w:gridCol w:w="744"/>
      </w:tblGrid>
      <w:tr w:rsidR="00EB6564" w14:paraId="624AEFFE" w14:textId="77777777">
        <w:trPr>
          <w:trHeight w:val="60"/>
          <w:tblHeader/>
        </w:trPr>
        <w:tc>
          <w:tcPr>
            <w:tcW w:w="477"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6D6E377A" w14:textId="77777777" w:rsidR="00EB6564" w:rsidRDefault="00EB6564">
            <w:pPr>
              <w:pStyle w:val="06bTABLEHEADERROW"/>
              <w:jc w:val="center"/>
            </w:pPr>
            <w:r>
              <w:t>Code</w:t>
            </w:r>
          </w:p>
        </w:tc>
        <w:tc>
          <w:tcPr>
            <w:tcW w:w="1230"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0" w:type="dxa"/>
            </w:tcMar>
            <w:vAlign w:val="bottom"/>
          </w:tcPr>
          <w:p w14:paraId="38533AFB" w14:textId="77777777" w:rsidR="00EB6564" w:rsidRDefault="00EB6564">
            <w:pPr>
              <w:pStyle w:val="06bTABLEHEADERROW"/>
            </w:pPr>
            <w:r>
              <w:t>Description</w:t>
            </w:r>
          </w:p>
        </w:tc>
        <w:tc>
          <w:tcPr>
            <w:tcW w:w="5125" w:type="dxa"/>
            <w:gridSpan w:val="8"/>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0" w:type="dxa"/>
            </w:tcMar>
            <w:vAlign w:val="bottom"/>
          </w:tcPr>
          <w:p w14:paraId="6C0A8C2B" w14:textId="77777777" w:rsidR="00EB6564" w:rsidRDefault="00EB6564">
            <w:pPr>
              <w:pStyle w:val="06bTABLEHEADERROW"/>
              <w:jc w:val="center"/>
            </w:pPr>
            <w:r>
              <w:t>State/territory (tonnes)</w:t>
            </w:r>
          </w:p>
        </w:tc>
        <w:tc>
          <w:tcPr>
            <w:tcW w:w="744" w:type="dxa"/>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BB0376B" w14:textId="77777777" w:rsidR="00EB6564" w:rsidRDefault="00EB6564">
            <w:pPr>
              <w:pStyle w:val="06bTABLEHEADERROW"/>
              <w:jc w:val="center"/>
            </w:pPr>
            <w:r>
              <w:t>Total</w:t>
            </w:r>
          </w:p>
        </w:tc>
      </w:tr>
      <w:tr w:rsidR="00EB6564" w14:paraId="7C54A269" w14:textId="77777777">
        <w:trPr>
          <w:trHeight w:val="60"/>
          <w:tblHeader/>
        </w:trPr>
        <w:tc>
          <w:tcPr>
            <w:tcW w:w="477" w:type="dxa"/>
            <w:vMerge/>
            <w:tcBorders>
              <w:top w:val="single" w:sz="8" w:space="0" w:color="FFFFFF"/>
              <w:left w:val="single" w:sz="4" w:space="0" w:color="FFFFFF"/>
              <w:bottom w:val="single" w:sz="8" w:space="0" w:color="FFFFFF"/>
              <w:right w:val="single" w:sz="4" w:space="0" w:color="FFFFFF"/>
            </w:tcBorders>
          </w:tcPr>
          <w:p w14:paraId="6FE5C14E" w14:textId="77777777" w:rsidR="00EB6564" w:rsidRDefault="00EB6564">
            <w:pPr>
              <w:pStyle w:val="NoParagraphStyle"/>
              <w:spacing w:line="240" w:lineRule="auto"/>
              <w:textAlignment w:val="auto"/>
              <w:rPr>
                <w:rFonts w:ascii="Calibri" w:hAnsi="Calibri" w:cs="Calibri"/>
                <w:color w:val="auto"/>
              </w:rPr>
            </w:pPr>
          </w:p>
        </w:tc>
        <w:tc>
          <w:tcPr>
            <w:tcW w:w="1230" w:type="dxa"/>
            <w:vMerge/>
            <w:tcBorders>
              <w:top w:val="single" w:sz="8" w:space="0" w:color="FFFFFF"/>
              <w:left w:val="single" w:sz="4" w:space="0" w:color="FFFFFF"/>
              <w:bottom w:val="single" w:sz="8" w:space="0" w:color="FFFFFF"/>
              <w:right w:val="single" w:sz="4" w:space="0" w:color="FFFFFF"/>
            </w:tcBorders>
          </w:tcPr>
          <w:p w14:paraId="5C35CBF7" w14:textId="77777777" w:rsidR="00EB6564" w:rsidRDefault="00EB6564">
            <w:pPr>
              <w:pStyle w:val="NoParagraphStyle"/>
              <w:spacing w:line="240" w:lineRule="auto"/>
              <w:textAlignment w:val="auto"/>
              <w:rPr>
                <w:rFonts w:ascii="Calibri" w:hAnsi="Calibri" w:cs="Calibri"/>
                <w:color w:val="auto"/>
              </w:rPr>
            </w:pPr>
          </w:p>
        </w:tc>
        <w:tc>
          <w:tcPr>
            <w:tcW w:w="55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0" w:type="dxa"/>
            </w:tcMar>
            <w:vAlign w:val="bottom"/>
          </w:tcPr>
          <w:p w14:paraId="16DE9BAC" w14:textId="77777777" w:rsidR="00EB6564" w:rsidRDefault="00EB6564">
            <w:pPr>
              <w:pStyle w:val="06bTABLEHEADERROW"/>
              <w:jc w:val="center"/>
            </w:pPr>
            <w:r>
              <w:t>NSW</w:t>
            </w:r>
          </w:p>
        </w:tc>
        <w:tc>
          <w:tcPr>
            <w:tcW w:w="74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506E043" w14:textId="77777777" w:rsidR="00EB6564" w:rsidRDefault="00EB6564">
            <w:pPr>
              <w:pStyle w:val="06bTABLEHEADERROW"/>
              <w:jc w:val="center"/>
            </w:pPr>
            <w:r>
              <w:t>Vic</w:t>
            </w:r>
          </w:p>
        </w:tc>
        <w:tc>
          <w:tcPr>
            <w:tcW w:w="66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3D64ED2" w14:textId="77777777" w:rsidR="00EB6564" w:rsidRDefault="00EB6564">
            <w:pPr>
              <w:pStyle w:val="06bTABLEHEADERROW"/>
              <w:jc w:val="center"/>
            </w:pPr>
            <w:r>
              <w:t>Qld</w:t>
            </w:r>
          </w:p>
        </w:tc>
        <w:tc>
          <w:tcPr>
            <w:tcW w:w="68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F9A9817" w14:textId="77777777" w:rsidR="00EB6564" w:rsidRDefault="00EB6564">
            <w:pPr>
              <w:pStyle w:val="06bTABLEHEADERROW"/>
              <w:jc w:val="center"/>
            </w:pPr>
            <w:r>
              <w:t>WA</w:t>
            </w:r>
          </w:p>
        </w:tc>
        <w:tc>
          <w:tcPr>
            <w:tcW w:w="62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8C9A757" w14:textId="77777777" w:rsidR="00EB6564" w:rsidRDefault="00EB6564">
            <w:pPr>
              <w:pStyle w:val="06bTABLEHEADERROW"/>
              <w:jc w:val="center"/>
            </w:pPr>
            <w:r>
              <w:t>SA</w:t>
            </w:r>
          </w:p>
        </w:tc>
        <w:tc>
          <w:tcPr>
            <w:tcW w:w="53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B256730" w14:textId="77777777" w:rsidR="00EB6564" w:rsidRDefault="00EB6564">
            <w:pPr>
              <w:pStyle w:val="06bTABLEHEADERROW"/>
              <w:jc w:val="center"/>
            </w:pPr>
            <w:r>
              <w:t>Tas</w:t>
            </w:r>
          </w:p>
        </w:tc>
        <w:tc>
          <w:tcPr>
            <w:tcW w:w="74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4F440DB" w14:textId="77777777" w:rsidR="00EB6564" w:rsidRDefault="00EB6564">
            <w:pPr>
              <w:pStyle w:val="06bTABLEHEADERROW"/>
              <w:jc w:val="center"/>
            </w:pPr>
            <w:r>
              <w:t>ACT</w:t>
            </w:r>
          </w:p>
        </w:tc>
        <w:tc>
          <w:tcPr>
            <w:tcW w:w="5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968CFAD" w14:textId="77777777" w:rsidR="00EB6564" w:rsidRDefault="00EB6564">
            <w:pPr>
              <w:pStyle w:val="06bTABLEHEADERROW"/>
              <w:jc w:val="center"/>
            </w:pPr>
            <w:r>
              <w:t>NT</w:t>
            </w:r>
          </w:p>
        </w:tc>
        <w:tc>
          <w:tcPr>
            <w:tcW w:w="744" w:type="dxa"/>
            <w:vMerge/>
            <w:tcBorders>
              <w:top w:val="single" w:sz="8" w:space="0" w:color="FFFFFF"/>
              <w:left w:val="single" w:sz="4" w:space="0" w:color="FFFFFF"/>
              <w:bottom w:val="single" w:sz="8" w:space="0" w:color="FFFFFF"/>
              <w:right w:val="single" w:sz="4" w:space="0" w:color="FFFFFF"/>
            </w:tcBorders>
          </w:tcPr>
          <w:p w14:paraId="64F3E993" w14:textId="77777777" w:rsidR="00EB6564" w:rsidRDefault="00EB6564">
            <w:pPr>
              <w:pStyle w:val="NoParagraphStyle"/>
              <w:spacing w:line="240" w:lineRule="auto"/>
              <w:textAlignment w:val="auto"/>
              <w:rPr>
                <w:rFonts w:ascii="Calibri" w:hAnsi="Calibri" w:cs="Calibri"/>
                <w:color w:val="auto"/>
              </w:rPr>
            </w:pPr>
          </w:p>
        </w:tc>
      </w:tr>
      <w:tr w:rsidR="00EB6564" w14:paraId="18C4B2D0" w14:textId="77777777">
        <w:trPr>
          <w:trHeight w:hRule="exact" w:val="470"/>
        </w:trPr>
        <w:tc>
          <w:tcPr>
            <w:tcW w:w="4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5E79991" w14:textId="77777777" w:rsidR="00EB6564" w:rsidRDefault="00EB6564">
            <w:pPr>
              <w:pStyle w:val="06cTABLETEXT"/>
              <w:jc w:val="center"/>
            </w:pPr>
            <w:r>
              <w:rPr>
                <w:rStyle w:val="BOLD"/>
              </w:rPr>
              <w:t>A</w:t>
            </w:r>
          </w:p>
        </w:tc>
        <w:tc>
          <w:tcPr>
            <w:tcW w:w="12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30FB4098" w14:textId="77777777" w:rsidR="00EB6564" w:rsidRDefault="00EB6564">
            <w:pPr>
              <w:pStyle w:val="06cTABLETEXT"/>
            </w:pPr>
            <w:r>
              <w:rPr>
                <w:rStyle w:val="BOLD"/>
              </w:rPr>
              <w:t>Plating and heat treatment</w:t>
            </w:r>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1E9D6CB" w14:textId="77777777" w:rsidR="00EB6564" w:rsidRDefault="00EB6564">
            <w:pPr>
              <w:pStyle w:val="06cTABLETEXT"/>
              <w:jc w:val="center"/>
            </w:pPr>
            <w:r>
              <w:t>N/A</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2E1FFD6" w14:textId="77777777" w:rsidR="00EB6564" w:rsidRDefault="00EB6564">
            <w:pPr>
              <w:pStyle w:val="06cTABLETEXT"/>
              <w:jc w:val="right"/>
            </w:pPr>
            <w:r>
              <w:t>2.59</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320A9A1" w14:textId="77777777" w:rsidR="00EB6564" w:rsidRDefault="00EB6564">
            <w:pPr>
              <w:pStyle w:val="06cTABLETEXT"/>
              <w:jc w:val="right"/>
            </w:pPr>
            <w:r>
              <w:t>4.1</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7186D1C" w14:textId="77777777" w:rsidR="00EB6564" w:rsidRDefault="00EB6564">
            <w:pPr>
              <w:pStyle w:val="06cTABLETEXT"/>
              <w:jc w:val="right"/>
            </w:pPr>
            <w:r>
              <w:t> 0.00</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F1ED363" w14:textId="77777777" w:rsidR="00EB6564" w:rsidRDefault="00EB6564">
            <w:pPr>
              <w:pStyle w:val="06cTABLETEXT"/>
              <w:jc w:val="right"/>
            </w:pPr>
            <w:r>
              <w:t>  0.00</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5CA085DB" w14:textId="77777777" w:rsidR="00EB6564" w:rsidRDefault="00EB6564">
            <w:pPr>
              <w:pStyle w:val="06cTABLETEXT"/>
              <w:jc w:val="right"/>
            </w:pPr>
            <w:r>
              <w:t>  0.00</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53C1D5E" w14:textId="77777777" w:rsidR="00EB6564" w:rsidRDefault="00EB6564">
            <w:pPr>
              <w:pStyle w:val="06cTABLETEXT"/>
              <w:jc w:val="right"/>
            </w:pPr>
            <w:r>
              <w:t>0.49</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3E3F6DD3" w14:textId="77777777" w:rsidR="00EB6564" w:rsidRDefault="00EB6564">
            <w:pPr>
              <w:pStyle w:val="06cTABLETEXT"/>
              <w:jc w:val="right"/>
            </w:pPr>
            <w:r>
              <w:t>  0.00</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26506DB" w14:textId="77777777" w:rsidR="00EB6564" w:rsidRDefault="00EB6564">
            <w:pPr>
              <w:pStyle w:val="06cTABLETEXT"/>
              <w:jc w:val="right"/>
            </w:pPr>
            <w:r>
              <w:rPr>
                <w:rStyle w:val="BOLD"/>
              </w:rPr>
              <w:t>7.18</w:t>
            </w:r>
          </w:p>
        </w:tc>
      </w:tr>
      <w:tr w:rsidR="00EB6564" w14:paraId="6B98B5DB" w14:textId="77777777">
        <w:trPr>
          <w:trHeight w:hRule="exact" w:val="290"/>
        </w:trPr>
        <w:tc>
          <w:tcPr>
            <w:tcW w:w="4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D0C9254" w14:textId="77777777" w:rsidR="00EB6564" w:rsidRDefault="00EB6564">
            <w:pPr>
              <w:pStyle w:val="06cTABLETEXT"/>
              <w:jc w:val="center"/>
            </w:pPr>
            <w:r>
              <w:rPr>
                <w:rStyle w:val="BOLD"/>
              </w:rPr>
              <w:t>B</w:t>
            </w:r>
          </w:p>
        </w:tc>
        <w:tc>
          <w:tcPr>
            <w:tcW w:w="12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76568644" w14:textId="77777777" w:rsidR="00EB6564" w:rsidRDefault="00EB6564">
            <w:pPr>
              <w:pStyle w:val="06cTABLETEXT"/>
            </w:pPr>
            <w:r>
              <w:rPr>
                <w:rStyle w:val="BOLD"/>
              </w:rPr>
              <w:t>Acids</w:t>
            </w:r>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069D22A" w14:textId="77777777" w:rsidR="00EB6564" w:rsidRDefault="00EB6564">
            <w:pPr>
              <w:pStyle w:val="06cTABLETEXT"/>
              <w:jc w:val="center"/>
            </w:pPr>
            <w:r>
              <w:t>N/A</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6B09204" w14:textId="77777777" w:rsidR="00EB6564" w:rsidRDefault="00EB6564">
            <w:pPr>
              <w:pStyle w:val="06cTABLETEXT"/>
              <w:jc w:val="right"/>
            </w:pPr>
            <w:r>
              <w:t>21685.16</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5EDE6790" w14:textId="77777777" w:rsidR="00EB6564" w:rsidRDefault="00EB6564">
            <w:pPr>
              <w:pStyle w:val="06cTABLETEXT"/>
              <w:jc w:val="right"/>
            </w:pPr>
            <w:r>
              <w:t>18.32</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537DD6D" w14:textId="77777777" w:rsidR="00EB6564" w:rsidRDefault="00EB6564">
            <w:pPr>
              <w:pStyle w:val="06cTABLETEXT"/>
              <w:jc w:val="right"/>
            </w:pPr>
            <w:r>
              <w:t>4.69</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B365779" w14:textId="77777777" w:rsidR="00EB6564" w:rsidRDefault="00EB6564">
            <w:pPr>
              <w:pStyle w:val="06cTABLETEXT"/>
              <w:jc w:val="right"/>
            </w:pPr>
            <w:r>
              <w:t>  0.00</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EC66B44" w14:textId="77777777" w:rsidR="00EB6564" w:rsidRDefault="00EB6564">
            <w:pPr>
              <w:pStyle w:val="06cTABLETEXT"/>
              <w:jc w:val="right"/>
            </w:pPr>
            <w:r>
              <w:t>  0.00</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D0DCCEB" w14:textId="77777777" w:rsidR="00EB6564" w:rsidRDefault="00EB6564">
            <w:pPr>
              <w:pStyle w:val="06cTABLETEXT"/>
              <w:jc w:val="right"/>
            </w:pPr>
            <w:r>
              <w:t>0.35</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57B3C92" w14:textId="77777777" w:rsidR="00EB6564" w:rsidRDefault="00EB6564">
            <w:pPr>
              <w:pStyle w:val="06cTABLETEXT"/>
              <w:jc w:val="right"/>
            </w:pPr>
            <w:r>
              <w:t>1.20</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3CF87C7" w14:textId="77777777" w:rsidR="00EB6564" w:rsidRDefault="00EB6564">
            <w:pPr>
              <w:pStyle w:val="06cTABLETEXT"/>
              <w:jc w:val="right"/>
            </w:pPr>
            <w:r>
              <w:rPr>
                <w:rStyle w:val="BOLD"/>
              </w:rPr>
              <w:t>21709.72</w:t>
            </w:r>
          </w:p>
        </w:tc>
      </w:tr>
      <w:tr w:rsidR="00EB6564" w14:paraId="3F6783AA" w14:textId="77777777">
        <w:trPr>
          <w:trHeight w:val="60"/>
        </w:trPr>
        <w:tc>
          <w:tcPr>
            <w:tcW w:w="4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C858738" w14:textId="77777777" w:rsidR="00EB6564" w:rsidRDefault="00EB6564">
            <w:pPr>
              <w:pStyle w:val="06cTABLETEXT"/>
              <w:jc w:val="center"/>
            </w:pPr>
            <w:r>
              <w:rPr>
                <w:rStyle w:val="BOLD"/>
              </w:rPr>
              <w:t>C</w:t>
            </w:r>
          </w:p>
        </w:tc>
        <w:tc>
          <w:tcPr>
            <w:tcW w:w="12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09A16882" w14:textId="77777777" w:rsidR="00EB6564" w:rsidRDefault="00EB6564">
            <w:pPr>
              <w:pStyle w:val="06cTABLETEXT"/>
            </w:pPr>
            <w:r>
              <w:rPr>
                <w:rStyle w:val="BOLD"/>
              </w:rPr>
              <w:t>Alkalis</w:t>
            </w:r>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032EBB1" w14:textId="77777777" w:rsidR="00EB6564" w:rsidRDefault="00EB6564">
            <w:pPr>
              <w:pStyle w:val="06cTABLETEXT"/>
              <w:jc w:val="center"/>
            </w:pPr>
            <w:r>
              <w:t>N/A</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C889C14" w14:textId="77777777" w:rsidR="00EB6564" w:rsidRDefault="00EB6564">
            <w:pPr>
              <w:pStyle w:val="06cTABLETEXT"/>
              <w:jc w:val="right"/>
            </w:pPr>
            <w:r>
              <w:t>6.02</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FD85646" w14:textId="77777777" w:rsidR="00EB6564" w:rsidRDefault="00EB6564">
            <w:pPr>
              <w:pStyle w:val="06cTABLETEXT"/>
              <w:jc w:val="right"/>
            </w:pPr>
            <w:r>
              <w:t>8.19</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59729F4F" w14:textId="77777777" w:rsidR="00EB6564" w:rsidRDefault="00EB6564">
            <w:pPr>
              <w:pStyle w:val="06cTABLETEXT"/>
              <w:jc w:val="right"/>
            </w:pPr>
            <w:r>
              <w:t>  0.00</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D56787C" w14:textId="77777777" w:rsidR="00EB6564" w:rsidRDefault="00EB6564">
            <w:pPr>
              <w:pStyle w:val="06cTABLETEXT"/>
              <w:jc w:val="right"/>
            </w:pPr>
            <w:r>
              <w:t>  0.00</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958FE46" w14:textId="77777777" w:rsidR="00EB6564" w:rsidRDefault="00EB6564">
            <w:pPr>
              <w:pStyle w:val="06cTABLETEXT"/>
              <w:jc w:val="right"/>
            </w:pPr>
            <w:r>
              <w:t>  0.00</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61F7303" w14:textId="77777777" w:rsidR="00EB6564" w:rsidRDefault="00EB6564">
            <w:pPr>
              <w:pStyle w:val="06cTABLETEXT"/>
              <w:jc w:val="right"/>
            </w:pPr>
            <w:r>
              <w:t>0.18</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F8BFAAD" w14:textId="77777777" w:rsidR="00EB6564" w:rsidRDefault="00EB6564">
            <w:pPr>
              <w:pStyle w:val="06cTABLETEXT"/>
              <w:jc w:val="right"/>
            </w:pPr>
            <w:r>
              <w:t>3.29</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381CAEB7" w14:textId="77777777" w:rsidR="00EB6564" w:rsidRDefault="00EB6564">
            <w:pPr>
              <w:pStyle w:val="06cTABLETEXT"/>
              <w:jc w:val="right"/>
            </w:pPr>
            <w:r>
              <w:rPr>
                <w:rStyle w:val="BOLD"/>
              </w:rPr>
              <w:t>17.68</w:t>
            </w:r>
          </w:p>
        </w:tc>
      </w:tr>
      <w:tr w:rsidR="00EB6564" w14:paraId="15B9CE07" w14:textId="77777777">
        <w:trPr>
          <w:trHeight w:val="60"/>
        </w:trPr>
        <w:tc>
          <w:tcPr>
            <w:tcW w:w="4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132DACB" w14:textId="77777777" w:rsidR="00EB6564" w:rsidRDefault="00EB6564">
            <w:pPr>
              <w:pStyle w:val="06cTABLETEXT"/>
              <w:jc w:val="center"/>
            </w:pPr>
            <w:r>
              <w:rPr>
                <w:rStyle w:val="BOLD"/>
              </w:rPr>
              <w:t>D</w:t>
            </w:r>
          </w:p>
        </w:tc>
        <w:tc>
          <w:tcPr>
            <w:tcW w:w="12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17003C8B" w14:textId="77777777" w:rsidR="00EB6564" w:rsidRDefault="00EB6564">
            <w:pPr>
              <w:pStyle w:val="06cTABLETEXT"/>
            </w:pPr>
            <w:r>
              <w:rPr>
                <w:rStyle w:val="BOLD"/>
              </w:rPr>
              <w:t>Inorganic chemicals</w:t>
            </w:r>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F1F6D12" w14:textId="77777777" w:rsidR="00EB6564" w:rsidRDefault="00EB6564">
            <w:pPr>
              <w:pStyle w:val="06cTABLETEXT"/>
              <w:jc w:val="center"/>
            </w:pPr>
            <w:r>
              <w:t>N/A</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3A8494E" w14:textId="77777777" w:rsidR="00EB6564" w:rsidRDefault="00EB6564">
            <w:pPr>
              <w:pStyle w:val="06cTABLETEXT"/>
              <w:jc w:val="right"/>
            </w:pPr>
            <w:r>
              <w:t>16599.11</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A111E03" w14:textId="77777777" w:rsidR="00EB6564" w:rsidRDefault="00EB6564">
            <w:pPr>
              <w:pStyle w:val="06cTABLETEXT"/>
              <w:jc w:val="right"/>
            </w:pPr>
            <w:r>
              <w:t>5402.32</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DB9297E" w14:textId="77777777" w:rsidR="00EB6564" w:rsidRDefault="00EB6564">
            <w:pPr>
              <w:pStyle w:val="06cTABLETEXT"/>
              <w:jc w:val="right"/>
            </w:pPr>
            <w:r>
              <w:t>3421.33</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379766D" w14:textId="77777777" w:rsidR="00EB6564" w:rsidRDefault="00EB6564">
            <w:pPr>
              <w:pStyle w:val="06cTABLETEXT"/>
              <w:jc w:val="right"/>
            </w:pPr>
            <w:r>
              <w:t>915.48</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5C12184" w14:textId="77777777" w:rsidR="00EB6564" w:rsidRDefault="00EB6564">
            <w:pPr>
              <w:pStyle w:val="06cTABLETEXT"/>
              <w:jc w:val="right"/>
            </w:pPr>
            <w:r>
              <w:t> 0.000</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D2FB0B4" w14:textId="77777777" w:rsidR="00EB6564" w:rsidRDefault="00EB6564">
            <w:pPr>
              <w:pStyle w:val="06cTABLETEXT"/>
              <w:jc w:val="right"/>
            </w:pPr>
            <w:r>
              <w:t>446.45</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99AA482" w14:textId="77777777" w:rsidR="00EB6564" w:rsidRDefault="00EB6564">
            <w:pPr>
              <w:pStyle w:val="06cTABLETEXT"/>
              <w:jc w:val="right"/>
            </w:pPr>
            <w:r>
              <w:t>38.48</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CA5F521" w14:textId="77777777" w:rsidR="00EB6564" w:rsidRDefault="00EB6564">
            <w:pPr>
              <w:pStyle w:val="06cTABLETEXT"/>
              <w:jc w:val="right"/>
            </w:pPr>
            <w:r>
              <w:rPr>
                <w:rStyle w:val="BOLD"/>
              </w:rPr>
              <w:t>26823.17</w:t>
            </w:r>
          </w:p>
        </w:tc>
      </w:tr>
      <w:tr w:rsidR="00EB6564" w14:paraId="2061D7EC" w14:textId="77777777">
        <w:trPr>
          <w:trHeight w:val="60"/>
        </w:trPr>
        <w:tc>
          <w:tcPr>
            <w:tcW w:w="4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421B09F" w14:textId="77777777" w:rsidR="00EB6564" w:rsidRDefault="00EB6564">
            <w:pPr>
              <w:pStyle w:val="06cTABLETEXT"/>
              <w:jc w:val="center"/>
            </w:pPr>
            <w:r>
              <w:rPr>
                <w:rStyle w:val="BOLD"/>
              </w:rPr>
              <w:t>E</w:t>
            </w:r>
          </w:p>
        </w:tc>
        <w:tc>
          <w:tcPr>
            <w:tcW w:w="12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6B818193" w14:textId="77777777" w:rsidR="00EB6564" w:rsidRDefault="00EB6564">
            <w:pPr>
              <w:pStyle w:val="06cTABLETEXT"/>
            </w:pPr>
            <w:r>
              <w:rPr>
                <w:rStyle w:val="BOLD"/>
              </w:rPr>
              <w:t>Reactive chemicals</w:t>
            </w:r>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254DEFC" w14:textId="77777777" w:rsidR="00EB6564" w:rsidRDefault="00EB6564">
            <w:pPr>
              <w:pStyle w:val="06cTABLETEXT"/>
              <w:jc w:val="center"/>
            </w:pPr>
            <w:r>
              <w:t>N/A</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CFB49AD" w14:textId="77777777" w:rsidR="00EB6564" w:rsidRDefault="00EB6564">
            <w:pPr>
              <w:pStyle w:val="06cTABLETEXT"/>
              <w:jc w:val="right"/>
            </w:pPr>
            <w:r>
              <w:t>3.36</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F4673C5" w14:textId="77777777" w:rsidR="00EB6564" w:rsidRDefault="00EB6564">
            <w:pPr>
              <w:pStyle w:val="06cTABLETEXT"/>
              <w:jc w:val="right"/>
            </w:pPr>
            <w:r>
              <w:t>0.27</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CD44B92" w14:textId="77777777" w:rsidR="00EB6564" w:rsidRDefault="00EB6564">
            <w:pPr>
              <w:pStyle w:val="06cTABLETEXT"/>
              <w:jc w:val="right"/>
            </w:pPr>
            <w:r>
              <w:t> 0.00 </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763F563" w14:textId="77777777" w:rsidR="00EB6564" w:rsidRDefault="00EB6564">
            <w:pPr>
              <w:pStyle w:val="06cTABLETEXT"/>
              <w:jc w:val="right"/>
            </w:pPr>
            <w:r>
              <w:t>  0.00</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0C9862C" w14:textId="77777777" w:rsidR="00EB6564" w:rsidRDefault="00EB6564">
            <w:pPr>
              <w:pStyle w:val="06cTABLETEXT"/>
              <w:jc w:val="right"/>
            </w:pPr>
            <w:r>
              <w:t> 0.000</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E2D0A17" w14:textId="77777777" w:rsidR="00EB6564" w:rsidRDefault="00EB6564">
            <w:pPr>
              <w:pStyle w:val="06cTABLETEXT"/>
              <w:jc w:val="right"/>
            </w:pPr>
            <w:r>
              <w:t>0.28</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50E918D4" w14:textId="77777777" w:rsidR="00EB6564" w:rsidRDefault="00EB6564">
            <w:pPr>
              <w:pStyle w:val="06cTABLETEXT"/>
              <w:jc w:val="right"/>
            </w:pPr>
            <w:r>
              <w:t>  0.00</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96A5C41" w14:textId="77777777" w:rsidR="00EB6564" w:rsidRDefault="00EB6564">
            <w:pPr>
              <w:pStyle w:val="06cTABLETEXT"/>
              <w:jc w:val="right"/>
            </w:pPr>
            <w:r>
              <w:rPr>
                <w:rStyle w:val="BOLD"/>
              </w:rPr>
              <w:t>3.91</w:t>
            </w:r>
          </w:p>
        </w:tc>
      </w:tr>
      <w:tr w:rsidR="00EB6564" w14:paraId="6003648E" w14:textId="77777777">
        <w:trPr>
          <w:trHeight w:val="60"/>
        </w:trPr>
        <w:tc>
          <w:tcPr>
            <w:tcW w:w="4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4A535F3" w14:textId="77777777" w:rsidR="00EB6564" w:rsidRDefault="00EB6564">
            <w:pPr>
              <w:pStyle w:val="06cTABLETEXT"/>
              <w:jc w:val="center"/>
            </w:pPr>
            <w:r>
              <w:rPr>
                <w:rStyle w:val="BOLD"/>
              </w:rPr>
              <w:t>F</w:t>
            </w:r>
          </w:p>
        </w:tc>
        <w:tc>
          <w:tcPr>
            <w:tcW w:w="12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3113947A" w14:textId="77777777" w:rsidR="00EB6564" w:rsidRDefault="00EB6564">
            <w:pPr>
              <w:pStyle w:val="06cTABLETEXT"/>
            </w:pPr>
            <w:r>
              <w:rPr>
                <w:rStyle w:val="BOLD"/>
              </w:rPr>
              <w:t>Paints, resins, inks, organic sludges</w:t>
            </w:r>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733E70F" w14:textId="77777777" w:rsidR="00EB6564" w:rsidRDefault="00EB6564">
            <w:pPr>
              <w:pStyle w:val="06cTABLETEXT"/>
              <w:jc w:val="center"/>
            </w:pPr>
            <w:r>
              <w:t>N/A</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D340303" w14:textId="77777777" w:rsidR="00EB6564" w:rsidRDefault="00EB6564">
            <w:pPr>
              <w:pStyle w:val="06cTABLETEXT"/>
              <w:jc w:val="right"/>
            </w:pPr>
            <w:r>
              <w:t>1227.14</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F647EC1" w14:textId="77777777" w:rsidR="00EB6564" w:rsidRDefault="00EB6564">
            <w:pPr>
              <w:pStyle w:val="06cTABLETEXT"/>
              <w:jc w:val="right"/>
            </w:pPr>
            <w:r>
              <w:t>233.89</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5D5F84E8" w14:textId="77777777" w:rsidR="00EB6564" w:rsidRDefault="00EB6564">
            <w:pPr>
              <w:pStyle w:val="06cTABLETEXT"/>
              <w:jc w:val="right"/>
            </w:pPr>
            <w:r>
              <w:t>  0.00</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347AAD78" w14:textId="77777777" w:rsidR="00EB6564" w:rsidRDefault="00EB6564">
            <w:pPr>
              <w:pStyle w:val="06cTABLETEXT"/>
              <w:jc w:val="right"/>
            </w:pPr>
            <w:r>
              <w:t>  0.00</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15DB1BA" w14:textId="77777777" w:rsidR="00EB6564" w:rsidRDefault="00EB6564">
            <w:pPr>
              <w:pStyle w:val="06cTABLETEXT"/>
              <w:jc w:val="right"/>
            </w:pPr>
            <w:r>
              <w:t>16.5</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278244E" w14:textId="77777777" w:rsidR="00EB6564" w:rsidRDefault="00EB6564">
            <w:pPr>
              <w:pStyle w:val="06cTABLETEXT"/>
              <w:jc w:val="right"/>
            </w:pPr>
            <w:r>
              <w:t>67.02</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3615A837" w14:textId="77777777" w:rsidR="00EB6564" w:rsidRDefault="00EB6564">
            <w:pPr>
              <w:pStyle w:val="06cTABLETEXT"/>
              <w:jc w:val="right"/>
            </w:pPr>
            <w:r>
              <w:t>  0.00</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7E324B0" w14:textId="77777777" w:rsidR="00EB6564" w:rsidRDefault="00EB6564">
            <w:pPr>
              <w:pStyle w:val="06cTABLETEXT"/>
              <w:jc w:val="right"/>
            </w:pPr>
            <w:r>
              <w:rPr>
                <w:rStyle w:val="BOLD"/>
              </w:rPr>
              <w:t>1544.55</w:t>
            </w:r>
          </w:p>
        </w:tc>
      </w:tr>
      <w:tr w:rsidR="00EB6564" w14:paraId="394E5E47" w14:textId="77777777">
        <w:trPr>
          <w:trHeight w:val="60"/>
        </w:trPr>
        <w:tc>
          <w:tcPr>
            <w:tcW w:w="4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D3575B9" w14:textId="77777777" w:rsidR="00EB6564" w:rsidRDefault="00EB6564">
            <w:pPr>
              <w:pStyle w:val="06cTABLETEXT"/>
              <w:jc w:val="center"/>
            </w:pPr>
            <w:r>
              <w:rPr>
                <w:rStyle w:val="BOLD"/>
              </w:rPr>
              <w:t>G</w:t>
            </w:r>
          </w:p>
        </w:tc>
        <w:tc>
          <w:tcPr>
            <w:tcW w:w="12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06F227C2" w14:textId="77777777" w:rsidR="00EB6564" w:rsidRDefault="00EB6564">
            <w:pPr>
              <w:pStyle w:val="06cTABLETEXT"/>
            </w:pPr>
            <w:r>
              <w:rPr>
                <w:rStyle w:val="BOLD"/>
              </w:rPr>
              <w:t>Organic solvents</w:t>
            </w:r>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2EBE02C" w14:textId="77777777" w:rsidR="00EB6564" w:rsidRDefault="00EB6564">
            <w:pPr>
              <w:pStyle w:val="06cTABLETEXT"/>
              <w:jc w:val="center"/>
            </w:pPr>
            <w:r>
              <w:t>N/A</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E03AF47" w14:textId="77777777" w:rsidR="00EB6564" w:rsidRDefault="00EB6564">
            <w:pPr>
              <w:pStyle w:val="06cTABLETEXT"/>
              <w:jc w:val="right"/>
            </w:pPr>
            <w:r>
              <w:t>218.09</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E6838F1" w14:textId="77777777" w:rsidR="00EB6564" w:rsidRDefault="00EB6564">
            <w:pPr>
              <w:pStyle w:val="06cTABLETEXT"/>
              <w:jc w:val="right"/>
            </w:pPr>
            <w:r>
              <w:t>65.57</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F5D6306" w14:textId="77777777" w:rsidR="00EB6564" w:rsidRDefault="00EB6564">
            <w:pPr>
              <w:pStyle w:val="06cTABLETEXT"/>
              <w:jc w:val="right"/>
            </w:pPr>
            <w:r>
              <w:t>0.93</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CAC9F31" w14:textId="77777777" w:rsidR="00EB6564" w:rsidRDefault="00EB6564">
            <w:pPr>
              <w:pStyle w:val="06cTABLETEXT"/>
              <w:jc w:val="right"/>
            </w:pPr>
            <w:r>
              <w:t>23.24</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563F59C" w14:textId="77777777" w:rsidR="00EB6564" w:rsidRDefault="00EB6564">
            <w:pPr>
              <w:pStyle w:val="06cTABLETEXT"/>
              <w:jc w:val="right"/>
            </w:pPr>
            <w:r>
              <w:t>  0.00</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6D26792" w14:textId="77777777" w:rsidR="00EB6564" w:rsidRDefault="00EB6564">
            <w:pPr>
              <w:pStyle w:val="06cTABLETEXT"/>
              <w:jc w:val="right"/>
            </w:pPr>
            <w:r>
              <w:t>17</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0DC164C" w14:textId="77777777" w:rsidR="00EB6564" w:rsidRDefault="00EB6564">
            <w:pPr>
              <w:pStyle w:val="06cTABLETEXT"/>
              <w:jc w:val="right"/>
            </w:pPr>
            <w:r>
              <w:t>  0.00</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36501550" w14:textId="77777777" w:rsidR="00EB6564" w:rsidRDefault="00EB6564">
            <w:pPr>
              <w:pStyle w:val="06cTABLETEXT"/>
              <w:jc w:val="right"/>
            </w:pPr>
            <w:r>
              <w:rPr>
                <w:rStyle w:val="BOLD"/>
              </w:rPr>
              <w:t>324.83</w:t>
            </w:r>
          </w:p>
        </w:tc>
      </w:tr>
      <w:tr w:rsidR="00EB6564" w14:paraId="22AC6B51" w14:textId="77777777">
        <w:trPr>
          <w:trHeight w:val="60"/>
        </w:trPr>
        <w:tc>
          <w:tcPr>
            <w:tcW w:w="4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E8396D3" w14:textId="77777777" w:rsidR="00EB6564" w:rsidRDefault="00EB6564">
            <w:pPr>
              <w:pStyle w:val="06cTABLETEXT"/>
              <w:jc w:val="center"/>
            </w:pPr>
            <w:r>
              <w:rPr>
                <w:rStyle w:val="BOLD"/>
              </w:rPr>
              <w:t>H</w:t>
            </w:r>
          </w:p>
        </w:tc>
        <w:tc>
          <w:tcPr>
            <w:tcW w:w="12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693DC5A3" w14:textId="77777777" w:rsidR="00EB6564" w:rsidRDefault="00EB6564">
            <w:pPr>
              <w:pStyle w:val="06cTABLETEXT"/>
            </w:pPr>
            <w:r>
              <w:rPr>
                <w:rStyle w:val="BOLD"/>
              </w:rPr>
              <w:t>Pesticides</w:t>
            </w:r>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1D3E5C5" w14:textId="77777777" w:rsidR="00EB6564" w:rsidRDefault="00EB6564">
            <w:pPr>
              <w:pStyle w:val="06cTABLETEXT"/>
              <w:jc w:val="center"/>
            </w:pPr>
            <w:r>
              <w:t xml:space="preserve">N/A </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39226B18" w14:textId="77777777" w:rsidR="00EB6564" w:rsidRDefault="00EB6564">
            <w:pPr>
              <w:pStyle w:val="06cTABLETEXT"/>
              <w:jc w:val="right"/>
            </w:pPr>
            <w:r>
              <w:t>0.84</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87337DB" w14:textId="77777777" w:rsidR="00EB6564" w:rsidRDefault="00EB6564">
            <w:pPr>
              <w:pStyle w:val="06cTABLETEXT"/>
              <w:jc w:val="right"/>
            </w:pPr>
            <w:r>
              <w:t>6.87</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732CFFB" w14:textId="77777777" w:rsidR="00EB6564" w:rsidRDefault="00EB6564">
            <w:pPr>
              <w:pStyle w:val="06cTABLETEXT"/>
              <w:jc w:val="right"/>
            </w:pPr>
            <w:r>
              <w:t> 0.00</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361C119" w14:textId="77777777" w:rsidR="00EB6564" w:rsidRDefault="00EB6564">
            <w:pPr>
              <w:pStyle w:val="06cTABLETEXT"/>
              <w:jc w:val="right"/>
            </w:pPr>
            <w:r>
              <w:t> 0.00</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839D219" w14:textId="77777777" w:rsidR="00EB6564" w:rsidRDefault="00EB6564">
            <w:pPr>
              <w:pStyle w:val="06cTABLETEXT"/>
              <w:jc w:val="right"/>
            </w:pPr>
            <w:r>
              <w:t>  0.00</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D3DBFDB" w14:textId="77777777" w:rsidR="00EB6564" w:rsidRDefault="00EB6564">
            <w:pPr>
              <w:pStyle w:val="06cTABLETEXT"/>
              <w:jc w:val="right"/>
            </w:pPr>
            <w:r>
              <w:t>0.64</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34F605EF" w14:textId="77777777" w:rsidR="00EB6564" w:rsidRDefault="00EB6564">
            <w:pPr>
              <w:pStyle w:val="06cTABLETEXT"/>
              <w:jc w:val="right"/>
            </w:pPr>
            <w:r>
              <w:t>  0.00</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5D4E5F57" w14:textId="77777777" w:rsidR="00EB6564" w:rsidRDefault="00EB6564">
            <w:pPr>
              <w:pStyle w:val="06cTABLETEXT"/>
              <w:jc w:val="right"/>
            </w:pPr>
            <w:r>
              <w:rPr>
                <w:rStyle w:val="BOLD"/>
              </w:rPr>
              <w:t>8.35</w:t>
            </w:r>
          </w:p>
        </w:tc>
      </w:tr>
      <w:tr w:rsidR="00EB6564" w14:paraId="2DCB9944" w14:textId="77777777">
        <w:trPr>
          <w:trHeight w:val="60"/>
        </w:trPr>
        <w:tc>
          <w:tcPr>
            <w:tcW w:w="4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B9DCCAE" w14:textId="77777777" w:rsidR="00EB6564" w:rsidRDefault="00EB6564">
            <w:pPr>
              <w:pStyle w:val="06cTABLETEXT"/>
              <w:jc w:val="center"/>
            </w:pPr>
            <w:r>
              <w:rPr>
                <w:rStyle w:val="BOLD"/>
              </w:rPr>
              <w:t>J</w:t>
            </w:r>
          </w:p>
        </w:tc>
        <w:tc>
          <w:tcPr>
            <w:tcW w:w="12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7FC20945" w14:textId="77777777" w:rsidR="00EB6564" w:rsidRDefault="00EB6564">
            <w:pPr>
              <w:pStyle w:val="06cTABLETEXT"/>
            </w:pPr>
            <w:r>
              <w:rPr>
                <w:rStyle w:val="BOLD"/>
              </w:rPr>
              <w:t>Oils</w:t>
            </w:r>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1EAA901" w14:textId="77777777" w:rsidR="00EB6564" w:rsidRDefault="00EB6564">
            <w:pPr>
              <w:pStyle w:val="06cTABLETEXT"/>
              <w:jc w:val="center"/>
            </w:pPr>
            <w:r>
              <w:t>N/A</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32627ED4" w14:textId="77777777" w:rsidR="00EB6564" w:rsidRDefault="00EB6564">
            <w:pPr>
              <w:pStyle w:val="06cTABLETEXT"/>
              <w:jc w:val="right"/>
            </w:pPr>
            <w:r>
              <w:t>1503.31</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7A86156" w14:textId="77777777" w:rsidR="00EB6564" w:rsidRDefault="00EB6564">
            <w:pPr>
              <w:pStyle w:val="06cTABLETEXT"/>
              <w:jc w:val="right"/>
            </w:pPr>
            <w:r>
              <w:t>139.88</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1AADD4F" w14:textId="77777777" w:rsidR="00EB6564" w:rsidRDefault="00EB6564">
            <w:pPr>
              <w:pStyle w:val="06cTABLETEXT"/>
              <w:jc w:val="right"/>
            </w:pPr>
            <w:r>
              <w:t>61.14</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2F8FAF6" w14:textId="77777777" w:rsidR="00EB6564" w:rsidRDefault="00EB6564">
            <w:pPr>
              <w:pStyle w:val="06cTABLETEXT"/>
              <w:jc w:val="right"/>
            </w:pPr>
            <w:r>
              <w:t>26.64</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54C09259" w14:textId="77777777" w:rsidR="00EB6564" w:rsidRDefault="00EB6564">
            <w:pPr>
              <w:pStyle w:val="06cTABLETEXT"/>
              <w:jc w:val="right"/>
            </w:pPr>
            <w:r>
              <w:t>71.56</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ABB3838" w14:textId="77777777" w:rsidR="00EB6564" w:rsidRDefault="00EB6564">
            <w:pPr>
              <w:pStyle w:val="06cTABLETEXT"/>
              <w:jc w:val="right"/>
            </w:pPr>
            <w:r>
              <w:t>3359.32</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B68BF04" w14:textId="77777777" w:rsidR="00EB6564" w:rsidRDefault="00EB6564">
            <w:pPr>
              <w:pStyle w:val="06cTABLETEXT"/>
              <w:jc w:val="right"/>
            </w:pPr>
            <w:r>
              <w:t>6.35</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C74F443" w14:textId="77777777" w:rsidR="00EB6564" w:rsidRDefault="00EB6564">
            <w:pPr>
              <w:pStyle w:val="06cTABLETEXT"/>
              <w:jc w:val="right"/>
            </w:pPr>
            <w:r>
              <w:rPr>
                <w:rStyle w:val="BOLD"/>
              </w:rPr>
              <w:t>5168.20</w:t>
            </w:r>
          </w:p>
        </w:tc>
      </w:tr>
      <w:tr w:rsidR="00EB6564" w14:paraId="25BFF25E" w14:textId="77777777">
        <w:trPr>
          <w:trHeight w:val="60"/>
        </w:trPr>
        <w:tc>
          <w:tcPr>
            <w:tcW w:w="4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6C380F8" w14:textId="77777777" w:rsidR="00EB6564" w:rsidRDefault="00EB6564">
            <w:pPr>
              <w:pStyle w:val="06cTABLETEXT"/>
              <w:jc w:val="center"/>
            </w:pPr>
            <w:r>
              <w:rPr>
                <w:rStyle w:val="BOLD"/>
              </w:rPr>
              <w:t>K</w:t>
            </w:r>
          </w:p>
        </w:tc>
        <w:tc>
          <w:tcPr>
            <w:tcW w:w="12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45379DEF" w14:textId="77777777" w:rsidR="00EB6564" w:rsidRDefault="00EB6564">
            <w:pPr>
              <w:pStyle w:val="06cTABLETEXT"/>
            </w:pPr>
            <w:r>
              <w:rPr>
                <w:rStyle w:val="BOLD"/>
              </w:rPr>
              <w:t>Putrescible/organic wastes</w:t>
            </w:r>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1B2ACC6" w14:textId="77777777" w:rsidR="00EB6564" w:rsidRDefault="00EB6564">
            <w:pPr>
              <w:pStyle w:val="06cTABLETEXT"/>
              <w:jc w:val="center"/>
            </w:pPr>
            <w:r>
              <w:t>N/A</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3E9ADE54" w14:textId="77777777" w:rsidR="00EB6564" w:rsidRDefault="00EB6564">
            <w:pPr>
              <w:pStyle w:val="06cTABLETEXT"/>
              <w:jc w:val="right"/>
            </w:pPr>
            <w:r>
              <w:t>1656.82</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56501169" w14:textId="77777777" w:rsidR="00EB6564" w:rsidRDefault="00EB6564">
            <w:pPr>
              <w:pStyle w:val="06cTABLETEXT"/>
              <w:jc w:val="right"/>
            </w:pPr>
            <w:r>
              <w:t>0.86</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58B8D245" w14:textId="77777777" w:rsidR="00EB6564" w:rsidRDefault="00EB6564">
            <w:pPr>
              <w:pStyle w:val="06cTABLETEXT"/>
              <w:jc w:val="right"/>
            </w:pPr>
            <w:r>
              <w:t>  0.00</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56774D6" w14:textId="77777777" w:rsidR="00EB6564" w:rsidRDefault="00EB6564">
            <w:pPr>
              <w:pStyle w:val="06cTABLETEXT"/>
              <w:jc w:val="right"/>
            </w:pPr>
            <w:r>
              <w:t>  0.00</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CFA126E" w14:textId="77777777" w:rsidR="00EB6564" w:rsidRDefault="00EB6564">
            <w:pPr>
              <w:pStyle w:val="06cTABLETEXT"/>
              <w:jc w:val="right"/>
            </w:pPr>
            <w:r>
              <w:t>  0.00</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0A1D3E4" w14:textId="77777777" w:rsidR="00EB6564" w:rsidRDefault="00EB6564">
            <w:pPr>
              <w:pStyle w:val="06cTABLETEXT"/>
              <w:jc w:val="right"/>
            </w:pPr>
            <w:r>
              <w:t>5822.22</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B4A81B5" w14:textId="77777777" w:rsidR="00EB6564" w:rsidRDefault="00EB6564">
            <w:pPr>
              <w:pStyle w:val="06cTABLETEXT"/>
              <w:jc w:val="right"/>
            </w:pPr>
            <w:r>
              <w:t> 0.00</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45ED937" w14:textId="77777777" w:rsidR="00EB6564" w:rsidRDefault="00EB6564">
            <w:pPr>
              <w:pStyle w:val="06cTABLETEXT"/>
              <w:jc w:val="right"/>
            </w:pPr>
            <w:r>
              <w:rPr>
                <w:rStyle w:val="BOLD"/>
              </w:rPr>
              <w:t>7479.90</w:t>
            </w:r>
          </w:p>
        </w:tc>
      </w:tr>
      <w:tr w:rsidR="00EB6564" w14:paraId="781D4B5F" w14:textId="77777777">
        <w:trPr>
          <w:trHeight w:val="60"/>
        </w:trPr>
        <w:tc>
          <w:tcPr>
            <w:tcW w:w="4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FC1BC64" w14:textId="77777777" w:rsidR="00EB6564" w:rsidRDefault="00EB6564">
            <w:pPr>
              <w:pStyle w:val="06cTABLETEXT"/>
              <w:jc w:val="center"/>
            </w:pPr>
            <w:r>
              <w:rPr>
                <w:rStyle w:val="BOLD"/>
              </w:rPr>
              <w:lastRenderedPageBreak/>
              <w:t>L</w:t>
            </w:r>
          </w:p>
        </w:tc>
        <w:tc>
          <w:tcPr>
            <w:tcW w:w="12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566523AA" w14:textId="77777777" w:rsidR="00EB6564" w:rsidRDefault="00EB6564">
            <w:pPr>
              <w:pStyle w:val="06cTABLETEXT"/>
            </w:pPr>
            <w:r>
              <w:rPr>
                <w:rStyle w:val="BOLD"/>
              </w:rPr>
              <w:t xml:space="preserve">Industrial </w:t>
            </w:r>
            <w:proofErr w:type="spellStart"/>
            <w:r>
              <w:rPr>
                <w:rStyle w:val="BOLD"/>
              </w:rPr>
              <w:t>washwater</w:t>
            </w:r>
            <w:proofErr w:type="spellEnd"/>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1161AB6" w14:textId="77777777" w:rsidR="00EB6564" w:rsidRDefault="00EB6564">
            <w:pPr>
              <w:pStyle w:val="06cTABLETEXT"/>
              <w:jc w:val="center"/>
            </w:pPr>
            <w:r>
              <w:t>N/A</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80B6573" w14:textId="77777777" w:rsidR="00EB6564" w:rsidRDefault="00EB6564">
            <w:pPr>
              <w:pStyle w:val="06cTABLETEXT"/>
              <w:jc w:val="right"/>
            </w:pPr>
            <w:r>
              <w:t>  0.00</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83FC27E" w14:textId="77777777" w:rsidR="00EB6564" w:rsidRDefault="00EB6564">
            <w:pPr>
              <w:pStyle w:val="06cTABLETEXT"/>
              <w:jc w:val="right"/>
            </w:pPr>
            <w:r>
              <w:t>  0.00</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1155FA6" w14:textId="77777777" w:rsidR="00EB6564" w:rsidRDefault="00EB6564">
            <w:pPr>
              <w:pStyle w:val="06cTABLETEXT"/>
              <w:jc w:val="right"/>
            </w:pPr>
            <w:r>
              <w:t>  0.00</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C033127" w14:textId="77777777" w:rsidR="00EB6564" w:rsidRDefault="00EB6564">
            <w:pPr>
              <w:pStyle w:val="06cTABLETEXT"/>
              <w:jc w:val="right"/>
            </w:pPr>
            <w:r>
              <w:t>  0.00</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51819ACE" w14:textId="77777777" w:rsidR="00EB6564" w:rsidRDefault="00EB6564">
            <w:pPr>
              <w:pStyle w:val="06cTABLETEXT"/>
              <w:jc w:val="right"/>
            </w:pPr>
            <w:r>
              <w:t> 0.00</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41CB191" w14:textId="77777777" w:rsidR="00EB6564" w:rsidRDefault="00EB6564">
            <w:pPr>
              <w:pStyle w:val="06cTABLETEXT"/>
              <w:jc w:val="right"/>
            </w:pPr>
            <w:r>
              <w:t>  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BD4F4A0" w14:textId="77777777" w:rsidR="00EB6564" w:rsidRDefault="00EB6564">
            <w:pPr>
              <w:pStyle w:val="06cTABLETEXT"/>
              <w:jc w:val="right"/>
            </w:pPr>
            <w:r>
              <w:t> 0.00</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3B955CD" w14:textId="77777777" w:rsidR="00EB6564" w:rsidRDefault="00EB6564">
            <w:pPr>
              <w:pStyle w:val="06cTABLETEXT"/>
              <w:jc w:val="right"/>
            </w:pPr>
            <w:r>
              <w:rPr>
                <w:rStyle w:val="BOLD"/>
              </w:rPr>
              <w:t> 0.00</w:t>
            </w:r>
          </w:p>
        </w:tc>
      </w:tr>
      <w:tr w:rsidR="00EB6564" w14:paraId="74D8405D" w14:textId="77777777">
        <w:trPr>
          <w:trHeight w:val="60"/>
        </w:trPr>
        <w:tc>
          <w:tcPr>
            <w:tcW w:w="4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6E17AAB" w14:textId="77777777" w:rsidR="00EB6564" w:rsidRDefault="00EB6564">
            <w:pPr>
              <w:pStyle w:val="06cTABLETEXT"/>
              <w:jc w:val="center"/>
            </w:pPr>
            <w:r>
              <w:rPr>
                <w:rStyle w:val="BOLD"/>
              </w:rPr>
              <w:t>M</w:t>
            </w:r>
          </w:p>
        </w:tc>
        <w:tc>
          <w:tcPr>
            <w:tcW w:w="12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632BAF09" w14:textId="77777777" w:rsidR="00EB6564" w:rsidRDefault="00EB6564">
            <w:pPr>
              <w:pStyle w:val="06cTABLETEXT"/>
            </w:pPr>
            <w:r>
              <w:rPr>
                <w:rStyle w:val="BOLD"/>
              </w:rPr>
              <w:t>Organic chemicals</w:t>
            </w:r>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DE6DFF6" w14:textId="77777777" w:rsidR="00EB6564" w:rsidRDefault="00EB6564">
            <w:pPr>
              <w:pStyle w:val="06cTABLETEXT"/>
              <w:jc w:val="center"/>
            </w:pPr>
            <w:r>
              <w:t>N/A</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3D2AA53A" w14:textId="77777777" w:rsidR="00EB6564" w:rsidRDefault="00EB6564">
            <w:pPr>
              <w:pStyle w:val="06cTABLETEXT"/>
              <w:jc w:val="right"/>
            </w:pPr>
            <w:r>
              <w:t>101.42</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8117924" w14:textId="77777777" w:rsidR="00EB6564" w:rsidRDefault="00EB6564">
            <w:pPr>
              <w:pStyle w:val="06cTABLETEXT"/>
              <w:jc w:val="right"/>
            </w:pPr>
            <w:r>
              <w:t>526.26</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161101A" w14:textId="77777777" w:rsidR="00EB6564" w:rsidRDefault="00EB6564">
            <w:pPr>
              <w:pStyle w:val="06cTABLETEXT"/>
              <w:jc w:val="right"/>
            </w:pPr>
            <w:r>
              <w:t>6.63</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3B38DDC" w14:textId="77777777" w:rsidR="00EB6564" w:rsidRDefault="00EB6564">
            <w:pPr>
              <w:pStyle w:val="06cTABLETEXT"/>
              <w:jc w:val="right"/>
            </w:pPr>
            <w:r>
              <w:t> 0.00</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5A5617A6" w14:textId="77777777" w:rsidR="00EB6564" w:rsidRDefault="00EB6564">
            <w:pPr>
              <w:pStyle w:val="06cTABLETEXT"/>
              <w:jc w:val="right"/>
            </w:pPr>
            <w:r>
              <w:t>5.06</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33D61645" w14:textId="77777777" w:rsidR="00EB6564" w:rsidRDefault="00EB6564">
            <w:pPr>
              <w:pStyle w:val="06cTABLETEXT"/>
              <w:jc w:val="right"/>
            </w:pPr>
            <w:r>
              <w:t>33.3</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37211C2D" w14:textId="77777777" w:rsidR="00EB6564" w:rsidRDefault="00EB6564">
            <w:pPr>
              <w:pStyle w:val="06cTABLETEXT"/>
              <w:jc w:val="right"/>
            </w:pPr>
            <w:r>
              <w:t>  0.00</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C42AC4A" w14:textId="77777777" w:rsidR="00EB6564" w:rsidRDefault="00EB6564">
            <w:pPr>
              <w:pStyle w:val="06cTABLETEXT"/>
              <w:jc w:val="right"/>
            </w:pPr>
            <w:r>
              <w:rPr>
                <w:rStyle w:val="BOLD"/>
              </w:rPr>
              <w:t>672.67</w:t>
            </w:r>
          </w:p>
        </w:tc>
      </w:tr>
      <w:tr w:rsidR="00EB6564" w14:paraId="341968F5" w14:textId="77777777">
        <w:trPr>
          <w:trHeight w:val="60"/>
        </w:trPr>
        <w:tc>
          <w:tcPr>
            <w:tcW w:w="4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72A1371" w14:textId="77777777" w:rsidR="00EB6564" w:rsidRDefault="00EB6564">
            <w:pPr>
              <w:pStyle w:val="06cTABLETEXT"/>
              <w:jc w:val="center"/>
            </w:pPr>
            <w:r>
              <w:rPr>
                <w:rStyle w:val="BOLD"/>
              </w:rPr>
              <w:t>N</w:t>
            </w:r>
          </w:p>
        </w:tc>
        <w:tc>
          <w:tcPr>
            <w:tcW w:w="12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1438A002" w14:textId="77777777" w:rsidR="00EB6564" w:rsidRDefault="00EB6564">
            <w:pPr>
              <w:pStyle w:val="06cTABLETEXT"/>
            </w:pPr>
            <w:r>
              <w:rPr>
                <w:rStyle w:val="BOLD"/>
              </w:rPr>
              <w:t>Soil/sludge</w:t>
            </w:r>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B5F2AEA" w14:textId="77777777" w:rsidR="00EB6564" w:rsidRDefault="00EB6564">
            <w:pPr>
              <w:pStyle w:val="06cTABLETEXT"/>
              <w:jc w:val="center"/>
            </w:pPr>
            <w:r>
              <w:t>N/A</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CFE4A11" w14:textId="77777777" w:rsidR="00EB6564" w:rsidRDefault="00EB6564">
            <w:pPr>
              <w:pStyle w:val="06cTABLETEXT"/>
              <w:jc w:val="right"/>
            </w:pPr>
            <w:r>
              <w:t>783.37</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26C6010" w14:textId="77777777" w:rsidR="00EB6564" w:rsidRDefault="00EB6564">
            <w:pPr>
              <w:pStyle w:val="06cTABLETEXT"/>
              <w:jc w:val="right"/>
            </w:pPr>
            <w:r>
              <w:t>220.73</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2AE499D" w14:textId="77777777" w:rsidR="00EB6564" w:rsidRDefault="00EB6564">
            <w:pPr>
              <w:pStyle w:val="06cTABLETEXT"/>
              <w:jc w:val="right"/>
            </w:pPr>
            <w:r>
              <w:t>3.08</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334AD2FE" w14:textId="77777777" w:rsidR="00EB6564" w:rsidRDefault="00EB6564">
            <w:pPr>
              <w:pStyle w:val="06cTABLETEXT"/>
              <w:jc w:val="right"/>
            </w:pPr>
            <w:r>
              <w:t>8.59</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588D34A3" w14:textId="77777777" w:rsidR="00EB6564" w:rsidRDefault="00EB6564">
            <w:pPr>
              <w:pStyle w:val="06cTABLETEXT"/>
              <w:jc w:val="right"/>
            </w:pPr>
            <w:r>
              <w:t> 0.00</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3C292D4D" w14:textId="77777777" w:rsidR="00EB6564" w:rsidRDefault="00EB6564">
            <w:pPr>
              <w:pStyle w:val="06cTABLETEXT"/>
              <w:jc w:val="right"/>
            </w:pPr>
            <w:r>
              <w:t>128.78</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2BBC5E2" w14:textId="77777777" w:rsidR="00EB6564" w:rsidRDefault="00EB6564">
            <w:pPr>
              <w:pStyle w:val="06cTABLETEXT"/>
              <w:jc w:val="right"/>
            </w:pPr>
            <w:r>
              <w:t>1.82</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8A31996" w14:textId="77777777" w:rsidR="00EB6564" w:rsidRDefault="00EB6564">
            <w:pPr>
              <w:pStyle w:val="06cTABLETEXT"/>
              <w:jc w:val="right"/>
            </w:pPr>
            <w:r>
              <w:rPr>
                <w:rStyle w:val="BOLD"/>
              </w:rPr>
              <w:t>1146.37</w:t>
            </w:r>
          </w:p>
        </w:tc>
      </w:tr>
      <w:tr w:rsidR="00EB6564" w14:paraId="4AA5491E" w14:textId="77777777">
        <w:trPr>
          <w:trHeight w:val="631"/>
        </w:trPr>
        <w:tc>
          <w:tcPr>
            <w:tcW w:w="4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DDC5432" w14:textId="77777777" w:rsidR="00EB6564" w:rsidRDefault="00EB6564">
            <w:pPr>
              <w:pStyle w:val="06cTABLETEXT"/>
              <w:jc w:val="center"/>
            </w:pPr>
            <w:r>
              <w:rPr>
                <w:rStyle w:val="BOLD"/>
              </w:rPr>
              <w:t>R</w:t>
            </w:r>
          </w:p>
        </w:tc>
        <w:tc>
          <w:tcPr>
            <w:tcW w:w="12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1896F029" w14:textId="77777777" w:rsidR="00EB6564" w:rsidRDefault="00EB6564">
            <w:pPr>
              <w:pStyle w:val="06cTABLETEXT"/>
            </w:pPr>
            <w:r>
              <w:rPr>
                <w:rStyle w:val="BOLD"/>
              </w:rPr>
              <w:t>Clinical and Pharmaceutical</w:t>
            </w:r>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188213E" w14:textId="77777777" w:rsidR="00EB6564" w:rsidRDefault="00EB6564">
            <w:pPr>
              <w:pStyle w:val="06cTABLETEXT"/>
              <w:jc w:val="center"/>
            </w:pPr>
            <w:r>
              <w:t>N/A</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E704B40" w14:textId="77777777" w:rsidR="00EB6564" w:rsidRDefault="00EB6564">
            <w:pPr>
              <w:pStyle w:val="06cTABLETEXT"/>
              <w:jc w:val="right"/>
            </w:pPr>
            <w:r>
              <w:t>1.54</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5039651" w14:textId="77777777" w:rsidR="00EB6564" w:rsidRDefault="00EB6564">
            <w:pPr>
              <w:pStyle w:val="06cTABLETEXT"/>
              <w:jc w:val="right"/>
            </w:pPr>
            <w:r>
              <w:t>195.42</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5AA6083" w14:textId="77777777" w:rsidR="00EB6564" w:rsidRDefault="00EB6564">
            <w:pPr>
              <w:pStyle w:val="06cTABLETEXT"/>
              <w:jc w:val="right"/>
            </w:pPr>
            <w:r>
              <w:t>  0.00</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4457F8C" w14:textId="77777777" w:rsidR="00EB6564" w:rsidRDefault="00EB6564">
            <w:pPr>
              <w:pStyle w:val="06cTABLETEXT"/>
              <w:jc w:val="right"/>
            </w:pPr>
            <w:r>
              <w:t> 0.00</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93ADE60" w14:textId="77777777" w:rsidR="00EB6564" w:rsidRDefault="00EB6564">
            <w:pPr>
              <w:pStyle w:val="06cTABLETEXT"/>
              <w:jc w:val="right"/>
            </w:pPr>
            <w:r>
              <w:t>  0.00</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271CB6A" w14:textId="77777777" w:rsidR="00EB6564" w:rsidRDefault="00EB6564">
            <w:pPr>
              <w:pStyle w:val="06cTABLETEXT"/>
              <w:jc w:val="right"/>
            </w:pPr>
            <w:r>
              <w:t>294.76</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295605F" w14:textId="77777777" w:rsidR="00EB6564" w:rsidRDefault="00EB6564">
            <w:pPr>
              <w:pStyle w:val="06cTABLETEXT"/>
              <w:jc w:val="right"/>
            </w:pPr>
            <w:r>
              <w:t>  0.00</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79F0591" w14:textId="77777777" w:rsidR="00EB6564" w:rsidRDefault="00EB6564">
            <w:pPr>
              <w:pStyle w:val="06cTABLETEXT"/>
              <w:jc w:val="right"/>
            </w:pPr>
            <w:r>
              <w:rPr>
                <w:rStyle w:val="BOLD"/>
              </w:rPr>
              <w:t>491.72</w:t>
            </w:r>
          </w:p>
        </w:tc>
      </w:tr>
      <w:tr w:rsidR="00EB6564" w14:paraId="335C31C9" w14:textId="77777777">
        <w:trPr>
          <w:trHeight w:val="60"/>
        </w:trPr>
        <w:tc>
          <w:tcPr>
            <w:tcW w:w="4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1F2DBA4" w14:textId="77777777" w:rsidR="00EB6564" w:rsidRDefault="00EB6564">
            <w:pPr>
              <w:pStyle w:val="06cTABLETEXT"/>
              <w:jc w:val="center"/>
            </w:pPr>
            <w:r>
              <w:rPr>
                <w:rStyle w:val="BOLD"/>
              </w:rPr>
              <w:t>T</w:t>
            </w:r>
          </w:p>
        </w:tc>
        <w:tc>
          <w:tcPr>
            <w:tcW w:w="123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1CE0F0F5" w14:textId="77777777" w:rsidR="00EB6564" w:rsidRDefault="00EB6564">
            <w:pPr>
              <w:pStyle w:val="06cTABLETEXT"/>
            </w:pPr>
            <w:proofErr w:type="spellStart"/>
            <w:r>
              <w:rPr>
                <w:rStyle w:val="BOLD"/>
              </w:rPr>
              <w:t>Misc</w:t>
            </w:r>
            <w:proofErr w:type="spellEnd"/>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C889A54" w14:textId="77777777" w:rsidR="00EB6564" w:rsidRDefault="00EB6564">
            <w:pPr>
              <w:pStyle w:val="06cTABLETEXT"/>
              <w:jc w:val="center"/>
            </w:pPr>
            <w:r>
              <w:t>N/A</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F95729E" w14:textId="77777777" w:rsidR="00EB6564" w:rsidRDefault="00EB6564">
            <w:pPr>
              <w:pStyle w:val="06cTABLETEXT"/>
              <w:jc w:val="right"/>
            </w:pPr>
            <w:r>
              <w:t>328.89</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35AD2AB" w14:textId="77777777" w:rsidR="00EB6564" w:rsidRDefault="00EB6564">
            <w:pPr>
              <w:pStyle w:val="06cTABLETEXT"/>
              <w:jc w:val="right"/>
            </w:pPr>
            <w:r>
              <w:t>107.44</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E50B79A" w14:textId="77777777" w:rsidR="00EB6564" w:rsidRDefault="00EB6564">
            <w:pPr>
              <w:pStyle w:val="06cTABLETEXT"/>
              <w:jc w:val="right"/>
            </w:pPr>
            <w:r>
              <w:t>1.96</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9A03B61" w14:textId="77777777" w:rsidR="00EB6564" w:rsidRDefault="00EB6564">
            <w:pPr>
              <w:pStyle w:val="06cTABLETEXT"/>
              <w:jc w:val="right"/>
            </w:pPr>
            <w:r>
              <w:t>  0.00</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312C711" w14:textId="77777777" w:rsidR="00EB6564" w:rsidRDefault="00EB6564">
            <w:pPr>
              <w:pStyle w:val="06cTABLETEXT"/>
              <w:jc w:val="right"/>
            </w:pPr>
            <w:r>
              <w:t>  0.00</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26B8DF3" w14:textId="77777777" w:rsidR="00EB6564" w:rsidRDefault="00EB6564">
            <w:pPr>
              <w:pStyle w:val="06cTABLETEXT"/>
              <w:jc w:val="right"/>
            </w:pPr>
            <w:r>
              <w:t>210.53</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133174A7" w14:textId="77777777" w:rsidR="00EB6564" w:rsidRDefault="00EB6564">
            <w:pPr>
              <w:pStyle w:val="06cTABLETEXT"/>
              <w:jc w:val="right"/>
            </w:pPr>
            <w:r>
              <w:t>  0.00</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B54E82F" w14:textId="77777777" w:rsidR="00EB6564" w:rsidRDefault="00EB6564">
            <w:pPr>
              <w:pStyle w:val="06cTABLETEXT"/>
              <w:jc w:val="right"/>
            </w:pPr>
            <w:r>
              <w:rPr>
                <w:rStyle w:val="BOLD"/>
              </w:rPr>
              <w:t>648.82</w:t>
            </w:r>
          </w:p>
        </w:tc>
      </w:tr>
      <w:tr w:rsidR="00EB6564" w14:paraId="3C03C064" w14:textId="77777777">
        <w:trPr>
          <w:trHeight w:val="60"/>
        </w:trPr>
        <w:tc>
          <w:tcPr>
            <w:tcW w:w="1707"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170" w:type="dxa"/>
              <w:bottom w:w="85" w:type="dxa"/>
              <w:right w:w="0" w:type="dxa"/>
            </w:tcMar>
            <w:vAlign w:val="center"/>
          </w:tcPr>
          <w:p w14:paraId="72EEB645" w14:textId="77777777" w:rsidR="00EB6564" w:rsidRDefault="00EB6564">
            <w:pPr>
              <w:pStyle w:val="06cTABLETEXT"/>
            </w:pPr>
            <w:r>
              <w:rPr>
                <w:rStyle w:val="BOLD"/>
              </w:rPr>
              <w:t>TOTAL</w:t>
            </w:r>
          </w:p>
        </w:tc>
        <w:tc>
          <w:tcPr>
            <w:tcW w:w="5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AD3757E" w14:textId="77777777" w:rsidR="00EB6564" w:rsidRDefault="00EB6564">
            <w:pPr>
              <w:pStyle w:val="06cTABLETEXT"/>
              <w:jc w:val="center"/>
            </w:pPr>
            <w:r>
              <w:rPr>
                <w:rStyle w:val="BOLD"/>
              </w:rPr>
              <w:t>N/A</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D4F4980" w14:textId="77777777" w:rsidR="00EB6564" w:rsidRDefault="00EB6564">
            <w:pPr>
              <w:pStyle w:val="06cTABLETEXT"/>
              <w:jc w:val="right"/>
            </w:pPr>
            <w:r>
              <w:rPr>
                <w:rStyle w:val="BOLD"/>
              </w:rPr>
              <w:t>44117.66</w:t>
            </w:r>
          </w:p>
        </w:tc>
        <w:tc>
          <w:tcPr>
            <w:tcW w:w="66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55C38E76" w14:textId="77777777" w:rsidR="00EB6564" w:rsidRDefault="00EB6564">
            <w:pPr>
              <w:pStyle w:val="06cTABLETEXT"/>
              <w:jc w:val="right"/>
            </w:pPr>
            <w:r>
              <w:rPr>
                <w:rStyle w:val="BOLD"/>
              </w:rPr>
              <w:t>6930.12</w:t>
            </w:r>
          </w:p>
        </w:tc>
        <w:tc>
          <w:tcPr>
            <w:tcW w:w="68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A3D3256" w14:textId="77777777" w:rsidR="00EB6564" w:rsidRDefault="00EB6564">
            <w:pPr>
              <w:pStyle w:val="06cTABLETEXT"/>
              <w:jc w:val="right"/>
            </w:pPr>
            <w:r>
              <w:rPr>
                <w:rStyle w:val="BOLD"/>
              </w:rPr>
              <w:t>3499.76</w:t>
            </w:r>
          </w:p>
        </w:tc>
        <w:tc>
          <w:tcPr>
            <w:tcW w:w="6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8C0F58B" w14:textId="77777777" w:rsidR="00EB6564" w:rsidRDefault="00EB6564">
            <w:pPr>
              <w:pStyle w:val="06cTABLETEXT"/>
              <w:jc w:val="right"/>
            </w:pPr>
            <w:r>
              <w:rPr>
                <w:rStyle w:val="BOLD"/>
              </w:rPr>
              <w:t>972.95</w:t>
            </w:r>
          </w:p>
        </w:tc>
        <w:tc>
          <w:tcPr>
            <w:tcW w:w="5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D98A958" w14:textId="77777777" w:rsidR="00EB6564" w:rsidRDefault="00EB6564">
            <w:pPr>
              <w:pStyle w:val="06cTABLETEXT"/>
              <w:jc w:val="right"/>
            </w:pPr>
            <w:r>
              <w:rPr>
                <w:rStyle w:val="BOLD"/>
              </w:rPr>
              <w:t>93.12</w:t>
            </w:r>
          </w:p>
        </w:tc>
        <w:tc>
          <w:tcPr>
            <w:tcW w:w="7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34A55243" w14:textId="77777777" w:rsidR="00EB6564" w:rsidRDefault="00EB6564">
            <w:pPr>
              <w:pStyle w:val="06cTABLETEXT"/>
              <w:jc w:val="right"/>
            </w:pPr>
            <w:r>
              <w:rPr>
                <w:rStyle w:val="BOLD"/>
              </w:rPr>
              <w:t>10381.32</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5519E25" w14:textId="77777777" w:rsidR="00EB6564" w:rsidRDefault="00EB6564">
            <w:pPr>
              <w:pStyle w:val="06cTABLETEXT"/>
              <w:jc w:val="right"/>
            </w:pPr>
            <w:r>
              <w:rPr>
                <w:rStyle w:val="BOLD"/>
              </w:rPr>
              <w:t>51.14</w:t>
            </w:r>
          </w:p>
        </w:tc>
        <w:tc>
          <w:tcPr>
            <w:tcW w:w="7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72CC80E" w14:textId="77777777" w:rsidR="00EB6564" w:rsidRDefault="00EB6564">
            <w:pPr>
              <w:pStyle w:val="06cTABLETEXT"/>
              <w:jc w:val="right"/>
            </w:pPr>
            <w:r>
              <w:rPr>
                <w:rStyle w:val="BOLD"/>
              </w:rPr>
              <w:t>66046.07</w:t>
            </w:r>
          </w:p>
        </w:tc>
      </w:tr>
    </w:tbl>
    <w:p w14:paraId="11AC0FB1" w14:textId="77777777" w:rsidR="00EB6564" w:rsidRDefault="00EB6564" w:rsidP="00EB6564">
      <w:pPr>
        <w:pStyle w:val="06TABLEHEADING"/>
      </w:pPr>
      <w:r>
        <w:t>Table 3: Discrepancies in movements of controlled waste into NSW for the period 1 July 2018 to 30 June 2019—percentage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441"/>
        <w:gridCol w:w="741"/>
        <w:gridCol w:w="742"/>
        <w:gridCol w:w="741"/>
        <w:gridCol w:w="742"/>
        <w:gridCol w:w="741"/>
        <w:gridCol w:w="742"/>
        <w:gridCol w:w="741"/>
        <w:gridCol w:w="790"/>
      </w:tblGrid>
      <w:tr w:rsidR="00EB6564" w14:paraId="4E448167" w14:textId="77777777">
        <w:trPr>
          <w:trHeight w:val="60"/>
          <w:tblHeader/>
        </w:trPr>
        <w:tc>
          <w:tcPr>
            <w:tcW w:w="144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0E2A98F" w14:textId="77777777" w:rsidR="00EB6564" w:rsidRDefault="00EB6564">
            <w:pPr>
              <w:pStyle w:val="06bTABLEHEADERROW"/>
            </w:pPr>
            <w:r>
              <w:t>Discrepancy Type</w:t>
            </w:r>
          </w:p>
        </w:tc>
        <w:tc>
          <w:tcPr>
            <w:tcW w:w="74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28F8586" w14:textId="77777777" w:rsidR="00EB6564" w:rsidRDefault="00EB6564">
            <w:pPr>
              <w:pStyle w:val="06bTABLEHEADERROW"/>
              <w:jc w:val="center"/>
            </w:pPr>
            <w:r>
              <w:t>Vic</w:t>
            </w:r>
          </w:p>
        </w:tc>
        <w:tc>
          <w:tcPr>
            <w:tcW w:w="74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70256D3" w14:textId="77777777" w:rsidR="00EB6564" w:rsidRDefault="00EB6564">
            <w:pPr>
              <w:pStyle w:val="06bTABLEHEADERROW"/>
              <w:jc w:val="center"/>
            </w:pPr>
            <w:r>
              <w:t>Qld</w:t>
            </w:r>
          </w:p>
        </w:tc>
        <w:tc>
          <w:tcPr>
            <w:tcW w:w="74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FC99AC4" w14:textId="77777777" w:rsidR="00EB6564" w:rsidRDefault="00EB6564">
            <w:pPr>
              <w:pStyle w:val="06bTABLEHEADERROW"/>
              <w:jc w:val="center"/>
            </w:pPr>
            <w:r>
              <w:t>WA</w:t>
            </w:r>
          </w:p>
        </w:tc>
        <w:tc>
          <w:tcPr>
            <w:tcW w:w="74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443414C" w14:textId="77777777" w:rsidR="00EB6564" w:rsidRDefault="00EB6564">
            <w:pPr>
              <w:pStyle w:val="06bTABLEHEADERROW"/>
              <w:jc w:val="center"/>
            </w:pPr>
            <w:r>
              <w:t>SA</w:t>
            </w:r>
          </w:p>
        </w:tc>
        <w:tc>
          <w:tcPr>
            <w:tcW w:w="74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32CD042" w14:textId="77777777" w:rsidR="00EB6564" w:rsidRDefault="00EB6564">
            <w:pPr>
              <w:pStyle w:val="06bTABLEHEADERROW"/>
              <w:jc w:val="center"/>
            </w:pPr>
            <w:r>
              <w:t>Tas</w:t>
            </w:r>
          </w:p>
        </w:tc>
        <w:tc>
          <w:tcPr>
            <w:tcW w:w="74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93E510A" w14:textId="77777777" w:rsidR="00EB6564" w:rsidRDefault="00EB6564">
            <w:pPr>
              <w:pStyle w:val="06bTABLEHEADERROW"/>
              <w:jc w:val="center"/>
            </w:pPr>
            <w:r>
              <w:t>ACT</w:t>
            </w:r>
          </w:p>
        </w:tc>
        <w:tc>
          <w:tcPr>
            <w:tcW w:w="74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6B7B709" w14:textId="77777777" w:rsidR="00EB6564" w:rsidRDefault="00EB6564">
            <w:pPr>
              <w:pStyle w:val="06bTABLEHEADERROW"/>
              <w:jc w:val="center"/>
            </w:pPr>
            <w:r>
              <w:t>NT</w:t>
            </w:r>
          </w:p>
        </w:tc>
        <w:tc>
          <w:tcPr>
            <w:tcW w:w="790"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60F5BC45" w14:textId="77777777" w:rsidR="00EB6564" w:rsidRDefault="00EB6564">
            <w:pPr>
              <w:pStyle w:val="06bTABLEHEADERROW"/>
              <w:jc w:val="center"/>
            </w:pPr>
            <w:r>
              <w:t>Ext Terr *</w:t>
            </w:r>
          </w:p>
        </w:tc>
      </w:tr>
      <w:tr w:rsidR="00EB6564" w14:paraId="7A1AB4A2" w14:textId="77777777">
        <w:trPr>
          <w:trHeight w:val="60"/>
        </w:trPr>
        <w:tc>
          <w:tcPr>
            <w:tcW w:w="14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251A32" w14:textId="77777777" w:rsidR="00EB6564" w:rsidRDefault="00EB6564">
            <w:pPr>
              <w:pStyle w:val="06cTABLETEXT"/>
            </w:pPr>
            <w:r>
              <w:rPr>
                <w:rStyle w:val="BOLD"/>
              </w:rPr>
              <w:t>Consignment non-arrival</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6AB878" w14:textId="77777777" w:rsidR="00EB6564" w:rsidRDefault="00EB6564">
            <w:pPr>
              <w:pStyle w:val="06cTABLETEXT"/>
              <w:jc w:val="center"/>
            </w:pPr>
            <w:r>
              <w:t>N/A</w:t>
            </w:r>
          </w:p>
        </w:tc>
        <w:tc>
          <w:tcPr>
            <w:tcW w:w="7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833B84B" w14:textId="77777777" w:rsidR="00EB6564" w:rsidRDefault="00EB6564">
            <w:pPr>
              <w:pStyle w:val="06cTABLETEXT"/>
              <w:jc w:val="center"/>
            </w:pPr>
            <w:r>
              <w:t>N/A</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3321A3E" w14:textId="77777777" w:rsidR="00EB6564" w:rsidRDefault="00EB6564">
            <w:pPr>
              <w:pStyle w:val="06cTABLETEXT"/>
              <w:jc w:val="center"/>
            </w:pPr>
            <w:r>
              <w:t>N/A</w:t>
            </w:r>
          </w:p>
        </w:tc>
        <w:tc>
          <w:tcPr>
            <w:tcW w:w="7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25A63F" w14:textId="77777777" w:rsidR="00EB6564" w:rsidRDefault="00EB6564">
            <w:pPr>
              <w:pStyle w:val="06cTABLETEXT"/>
              <w:jc w:val="center"/>
            </w:pPr>
            <w:r>
              <w:t>N/A</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367A41E" w14:textId="77777777" w:rsidR="00EB6564" w:rsidRDefault="00EB6564">
            <w:pPr>
              <w:pStyle w:val="06cTABLETEXT"/>
              <w:jc w:val="center"/>
            </w:pPr>
            <w:r>
              <w:t>N/A</w:t>
            </w:r>
          </w:p>
        </w:tc>
        <w:tc>
          <w:tcPr>
            <w:tcW w:w="7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0FD597" w14:textId="77777777" w:rsidR="00EB6564" w:rsidRDefault="00EB6564">
            <w:pPr>
              <w:pStyle w:val="06cTABLETEXT"/>
              <w:jc w:val="center"/>
            </w:pPr>
            <w:r>
              <w:t>N/A</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81A84C" w14:textId="77777777" w:rsidR="00EB6564" w:rsidRDefault="00EB6564">
            <w:pPr>
              <w:pStyle w:val="06cTABLETEXT"/>
              <w:jc w:val="center"/>
            </w:pPr>
            <w:r>
              <w:t>N/A</w:t>
            </w:r>
          </w:p>
        </w:tc>
        <w:tc>
          <w:tcPr>
            <w:tcW w:w="7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522260E" w14:textId="77777777" w:rsidR="00EB6564" w:rsidRDefault="00EB6564">
            <w:pPr>
              <w:pStyle w:val="06cTABLETEXT"/>
              <w:jc w:val="center"/>
            </w:pPr>
            <w:r>
              <w:t>N/A</w:t>
            </w:r>
          </w:p>
        </w:tc>
      </w:tr>
      <w:tr w:rsidR="00EB6564" w14:paraId="3746FE21" w14:textId="77777777">
        <w:trPr>
          <w:trHeight w:val="60"/>
        </w:trPr>
        <w:tc>
          <w:tcPr>
            <w:tcW w:w="14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90AAFA" w14:textId="77777777" w:rsidR="00EB6564" w:rsidRDefault="00EB6564">
            <w:pPr>
              <w:pStyle w:val="06cTABLETEXT"/>
            </w:pPr>
            <w:r>
              <w:rPr>
                <w:rStyle w:val="BOLD"/>
              </w:rPr>
              <w:t>Transport without authorisation</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FC2A09" w14:textId="77777777" w:rsidR="00EB6564" w:rsidRDefault="00EB6564">
            <w:pPr>
              <w:pStyle w:val="06cTABLETEXT"/>
              <w:jc w:val="center"/>
            </w:pPr>
            <w:r>
              <w:t>N/A</w:t>
            </w:r>
          </w:p>
        </w:tc>
        <w:tc>
          <w:tcPr>
            <w:tcW w:w="7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E586CB" w14:textId="77777777" w:rsidR="00EB6564" w:rsidRDefault="00EB6564">
            <w:pPr>
              <w:pStyle w:val="06cTABLETEXT"/>
              <w:jc w:val="center"/>
            </w:pPr>
            <w:r>
              <w:t>N/A</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70E652" w14:textId="77777777" w:rsidR="00EB6564" w:rsidRDefault="00EB6564">
            <w:pPr>
              <w:pStyle w:val="06cTABLETEXT"/>
              <w:jc w:val="center"/>
            </w:pPr>
            <w:r>
              <w:t>N/A</w:t>
            </w:r>
          </w:p>
        </w:tc>
        <w:tc>
          <w:tcPr>
            <w:tcW w:w="7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40CA0D" w14:textId="77777777" w:rsidR="00EB6564" w:rsidRDefault="00EB6564">
            <w:pPr>
              <w:pStyle w:val="06cTABLETEXT"/>
              <w:jc w:val="center"/>
            </w:pPr>
            <w:r>
              <w:t>N/A</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3945514" w14:textId="77777777" w:rsidR="00EB6564" w:rsidRDefault="00EB6564">
            <w:pPr>
              <w:pStyle w:val="06cTABLETEXT"/>
              <w:jc w:val="center"/>
            </w:pPr>
            <w:r>
              <w:t>N/A</w:t>
            </w:r>
          </w:p>
        </w:tc>
        <w:tc>
          <w:tcPr>
            <w:tcW w:w="7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909997" w14:textId="77777777" w:rsidR="00EB6564" w:rsidRDefault="00EB6564">
            <w:pPr>
              <w:pStyle w:val="06cTABLETEXT"/>
              <w:jc w:val="center"/>
            </w:pPr>
            <w:r>
              <w:t>N/A</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60E79C" w14:textId="77777777" w:rsidR="00EB6564" w:rsidRDefault="00EB6564">
            <w:pPr>
              <w:pStyle w:val="06cTABLETEXT"/>
              <w:jc w:val="center"/>
            </w:pPr>
            <w:r>
              <w:t>N/A</w:t>
            </w:r>
          </w:p>
        </w:tc>
        <w:tc>
          <w:tcPr>
            <w:tcW w:w="7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AA21686" w14:textId="77777777" w:rsidR="00EB6564" w:rsidRDefault="00EB6564">
            <w:pPr>
              <w:pStyle w:val="06cTABLETEXT"/>
              <w:jc w:val="center"/>
            </w:pPr>
            <w:r>
              <w:t>N/A</w:t>
            </w:r>
          </w:p>
        </w:tc>
      </w:tr>
      <w:tr w:rsidR="00EB6564" w14:paraId="210ED9C9" w14:textId="77777777">
        <w:trPr>
          <w:trHeight w:val="60"/>
        </w:trPr>
        <w:tc>
          <w:tcPr>
            <w:tcW w:w="14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8FFDBF" w14:textId="77777777" w:rsidR="00EB6564" w:rsidRDefault="00EB6564">
            <w:pPr>
              <w:pStyle w:val="06cTABLETEXT"/>
            </w:pPr>
            <w:r>
              <w:rPr>
                <w:rStyle w:val="BOLD"/>
              </w:rPr>
              <w:t>Non-matching documentation</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066658" w14:textId="77777777" w:rsidR="00EB6564" w:rsidRDefault="00EB6564">
            <w:pPr>
              <w:pStyle w:val="06cTABLETEXT"/>
              <w:jc w:val="center"/>
            </w:pPr>
            <w:r>
              <w:t>N/A</w:t>
            </w:r>
          </w:p>
        </w:tc>
        <w:tc>
          <w:tcPr>
            <w:tcW w:w="7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9135A1" w14:textId="77777777" w:rsidR="00EB6564" w:rsidRDefault="00EB6564">
            <w:pPr>
              <w:pStyle w:val="06cTABLETEXT"/>
              <w:jc w:val="center"/>
            </w:pPr>
            <w:r>
              <w:t>N/A</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C33E67" w14:textId="77777777" w:rsidR="00EB6564" w:rsidRDefault="00EB6564">
            <w:pPr>
              <w:pStyle w:val="06cTABLETEXT"/>
              <w:jc w:val="center"/>
            </w:pPr>
            <w:r>
              <w:t>N/A</w:t>
            </w:r>
          </w:p>
        </w:tc>
        <w:tc>
          <w:tcPr>
            <w:tcW w:w="7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3DB1E3" w14:textId="77777777" w:rsidR="00EB6564" w:rsidRDefault="00EB6564">
            <w:pPr>
              <w:pStyle w:val="06cTABLETEXT"/>
              <w:jc w:val="center"/>
            </w:pPr>
            <w:r>
              <w:t>N/A</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DE1B59" w14:textId="77777777" w:rsidR="00EB6564" w:rsidRDefault="00EB6564">
            <w:pPr>
              <w:pStyle w:val="06cTABLETEXT"/>
              <w:jc w:val="center"/>
            </w:pPr>
            <w:r>
              <w:t>N/A</w:t>
            </w:r>
          </w:p>
        </w:tc>
        <w:tc>
          <w:tcPr>
            <w:tcW w:w="7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CBDC8E" w14:textId="77777777" w:rsidR="00EB6564" w:rsidRDefault="00EB6564">
            <w:pPr>
              <w:pStyle w:val="06cTABLETEXT"/>
              <w:jc w:val="center"/>
            </w:pPr>
            <w:r>
              <w:t>N/A</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D90867" w14:textId="77777777" w:rsidR="00EB6564" w:rsidRDefault="00EB6564">
            <w:pPr>
              <w:pStyle w:val="06cTABLETEXT"/>
              <w:jc w:val="center"/>
            </w:pPr>
            <w:r>
              <w:t>N/A</w:t>
            </w:r>
          </w:p>
        </w:tc>
        <w:tc>
          <w:tcPr>
            <w:tcW w:w="7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E2448F0" w14:textId="77777777" w:rsidR="00EB6564" w:rsidRDefault="00EB6564">
            <w:pPr>
              <w:pStyle w:val="06cTABLETEXT"/>
              <w:jc w:val="center"/>
            </w:pPr>
            <w:r>
              <w:t>N/A</w:t>
            </w:r>
          </w:p>
        </w:tc>
      </w:tr>
      <w:tr w:rsidR="00EB6564" w14:paraId="24AD1826" w14:textId="77777777">
        <w:trPr>
          <w:trHeight w:val="290"/>
        </w:trPr>
        <w:tc>
          <w:tcPr>
            <w:tcW w:w="14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C5A925" w14:textId="77777777" w:rsidR="00EB6564" w:rsidRDefault="00EB6564">
            <w:pPr>
              <w:pStyle w:val="06cTABLETEXT"/>
            </w:pPr>
            <w:r>
              <w:rPr>
                <w:rStyle w:val="BOLD"/>
              </w:rPr>
              <w:t>Waste data</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F6C1F7" w14:textId="77777777" w:rsidR="00EB6564" w:rsidRDefault="00EB6564">
            <w:pPr>
              <w:pStyle w:val="06cTABLETEXT"/>
              <w:jc w:val="center"/>
            </w:pPr>
            <w:r>
              <w:t>N/A</w:t>
            </w:r>
          </w:p>
        </w:tc>
        <w:tc>
          <w:tcPr>
            <w:tcW w:w="7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37BEC2E" w14:textId="77777777" w:rsidR="00EB6564" w:rsidRDefault="00EB6564">
            <w:pPr>
              <w:pStyle w:val="06cTABLETEXT"/>
              <w:jc w:val="center"/>
            </w:pPr>
            <w:r>
              <w:t>N/A</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4209D8B" w14:textId="77777777" w:rsidR="00EB6564" w:rsidRDefault="00EB6564">
            <w:pPr>
              <w:pStyle w:val="06cTABLETEXT"/>
              <w:jc w:val="center"/>
            </w:pPr>
            <w:r>
              <w:t>N/A</w:t>
            </w:r>
          </w:p>
        </w:tc>
        <w:tc>
          <w:tcPr>
            <w:tcW w:w="7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48A881" w14:textId="77777777" w:rsidR="00EB6564" w:rsidRDefault="00EB6564">
            <w:pPr>
              <w:pStyle w:val="06cTABLETEXT"/>
              <w:jc w:val="center"/>
            </w:pPr>
            <w:r>
              <w:t>N/A</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750986" w14:textId="77777777" w:rsidR="00EB6564" w:rsidRDefault="00EB6564">
            <w:pPr>
              <w:pStyle w:val="06cTABLETEXT"/>
              <w:jc w:val="center"/>
            </w:pPr>
            <w:r>
              <w:t>N/A</w:t>
            </w:r>
          </w:p>
        </w:tc>
        <w:tc>
          <w:tcPr>
            <w:tcW w:w="7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FB170D" w14:textId="77777777" w:rsidR="00EB6564" w:rsidRDefault="00EB6564">
            <w:pPr>
              <w:pStyle w:val="06cTABLETEXT"/>
              <w:jc w:val="center"/>
            </w:pPr>
            <w:r>
              <w:t>N/A</w:t>
            </w:r>
          </w:p>
        </w:tc>
        <w:tc>
          <w:tcPr>
            <w:tcW w:w="74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AFF823" w14:textId="77777777" w:rsidR="00EB6564" w:rsidRDefault="00EB6564">
            <w:pPr>
              <w:pStyle w:val="06cTABLETEXT"/>
              <w:jc w:val="center"/>
            </w:pPr>
            <w:r>
              <w:t>N/A</w:t>
            </w:r>
          </w:p>
        </w:tc>
        <w:tc>
          <w:tcPr>
            <w:tcW w:w="7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4CF02D9" w14:textId="77777777" w:rsidR="00EB6564" w:rsidRDefault="00EB6564">
            <w:pPr>
              <w:pStyle w:val="06cTABLETEXT"/>
              <w:jc w:val="center"/>
            </w:pPr>
            <w:r>
              <w:t>N/A</w:t>
            </w:r>
          </w:p>
        </w:tc>
      </w:tr>
    </w:tbl>
    <w:p w14:paraId="2D5B02B0" w14:textId="77777777" w:rsidR="00EB6564" w:rsidRDefault="00EB6564" w:rsidP="00EB6564">
      <w:pPr>
        <w:pStyle w:val="07FOOTNOTES"/>
      </w:pPr>
      <w:r>
        <w:t>*</w:t>
      </w:r>
      <w:r>
        <w:tab/>
        <w:t>Information regarding external territories (Ext Terr) has only been provided since the reporting year 2009–10.</w:t>
      </w:r>
    </w:p>
    <w:p w14:paraId="13ACC38A" w14:textId="77777777" w:rsidR="00EB6564" w:rsidRDefault="00EB6564" w:rsidP="00EB6564">
      <w:pPr>
        <w:pStyle w:val="06TABLEHEADING"/>
      </w:pPr>
      <w:r>
        <w:t>Table 4: Number of movements of controlled waste into NSW for the period 1 July 2018 to 30 June 2019</w:t>
      </w:r>
    </w:p>
    <w:tbl>
      <w:tblPr>
        <w:tblW w:w="0" w:type="auto"/>
        <w:tblInd w:w="-5" w:type="dxa"/>
        <w:tblLayout w:type="fixed"/>
        <w:tblCellMar>
          <w:left w:w="0" w:type="dxa"/>
          <w:right w:w="0" w:type="dxa"/>
        </w:tblCellMar>
        <w:tblLook w:val="0000" w:firstRow="0" w:lastRow="0" w:firstColumn="0" w:lastColumn="0" w:noHBand="0" w:noVBand="0"/>
      </w:tblPr>
      <w:tblGrid>
        <w:gridCol w:w="824"/>
        <w:gridCol w:w="824"/>
        <w:gridCol w:w="824"/>
        <w:gridCol w:w="824"/>
        <w:gridCol w:w="824"/>
        <w:gridCol w:w="825"/>
        <w:gridCol w:w="824"/>
        <w:gridCol w:w="824"/>
        <w:gridCol w:w="824"/>
      </w:tblGrid>
      <w:tr w:rsidR="00EB6564" w14:paraId="4C2F89D5" w14:textId="77777777">
        <w:trPr>
          <w:trHeight w:val="60"/>
          <w:tblHeader/>
        </w:trPr>
        <w:tc>
          <w:tcPr>
            <w:tcW w:w="82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5D647E4" w14:textId="77777777" w:rsidR="00EB6564" w:rsidRDefault="00EB6564">
            <w:pPr>
              <w:pStyle w:val="06bTABLEHEADERROW"/>
              <w:jc w:val="center"/>
            </w:pPr>
            <w:r>
              <w:t>Vic</w:t>
            </w:r>
          </w:p>
        </w:tc>
        <w:tc>
          <w:tcPr>
            <w:tcW w:w="82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890EFF6" w14:textId="77777777" w:rsidR="00EB6564" w:rsidRDefault="00EB6564">
            <w:pPr>
              <w:pStyle w:val="06bTABLEHEADERROW"/>
              <w:jc w:val="center"/>
            </w:pPr>
            <w:r>
              <w:t>Qld</w:t>
            </w:r>
          </w:p>
        </w:tc>
        <w:tc>
          <w:tcPr>
            <w:tcW w:w="82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B528D0E" w14:textId="77777777" w:rsidR="00EB6564" w:rsidRDefault="00EB6564">
            <w:pPr>
              <w:pStyle w:val="06bTABLEHEADERROW"/>
              <w:jc w:val="center"/>
            </w:pPr>
            <w:r>
              <w:t>WA</w:t>
            </w:r>
          </w:p>
        </w:tc>
        <w:tc>
          <w:tcPr>
            <w:tcW w:w="82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8FA2003" w14:textId="77777777" w:rsidR="00EB6564" w:rsidRDefault="00EB6564">
            <w:pPr>
              <w:pStyle w:val="06bTABLEHEADERROW"/>
              <w:jc w:val="center"/>
            </w:pPr>
            <w:r>
              <w:t>SA</w:t>
            </w:r>
          </w:p>
        </w:tc>
        <w:tc>
          <w:tcPr>
            <w:tcW w:w="82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EAAE955" w14:textId="77777777" w:rsidR="00EB6564" w:rsidRDefault="00EB6564">
            <w:pPr>
              <w:pStyle w:val="06bTABLEHEADERROW"/>
              <w:jc w:val="center"/>
            </w:pPr>
            <w:r>
              <w:t>Tas</w:t>
            </w:r>
          </w:p>
        </w:tc>
        <w:tc>
          <w:tcPr>
            <w:tcW w:w="82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DC63E57" w14:textId="77777777" w:rsidR="00EB6564" w:rsidRDefault="00EB6564">
            <w:pPr>
              <w:pStyle w:val="06bTABLEHEADERROW"/>
              <w:jc w:val="center"/>
            </w:pPr>
            <w:r>
              <w:t>ACT</w:t>
            </w:r>
          </w:p>
        </w:tc>
        <w:tc>
          <w:tcPr>
            <w:tcW w:w="82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9526EFC" w14:textId="77777777" w:rsidR="00EB6564" w:rsidRDefault="00EB6564">
            <w:pPr>
              <w:pStyle w:val="06bTABLEHEADERROW"/>
              <w:jc w:val="center"/>
            </w:pPr>
            <w:r>
              <w:t>NT</w:t>
            </w:r>
          </w:p>
        </w:tc>
        <w:tc>
          <w:tcPr>
            <w:tcW w:w="824"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6A78C283" w14:textId="77777777" w:rsidR="00EB6564" w:rsidRDefault="00EB6564">
            <w:pPr>
              <w:pStyle w:val="06bTABLEHEADERROW"/>
              <w:jc w:val="center"/>
            </w:pPr>
            <w:r>
              <w:t>Ext Terr*</w:t>
            </w:r>
          </w:p>
        </w:tc>
        <w:tc>
          <w:tcPr>
            <w:tcW w:w="82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5CB1D4B" w14:textId="77777777" w:rsidR="00EB6564" w:rsidRDefault="00EB6564">
            <w:pPr>
              <w:pStyle w:val="06bTABLEHEADERROW"/>
              <w:jc w:val="center"/>
            </w:pPr>
            <w:r>
              <w:t>Total</w:t>
            </w:r>
          </w:p>
        </w:tc>
      </w:tr>
      <w:tr w:rsidR="00EB6564" w14:paraId="1D9E930A" w14:textId="77777777">
        <w:trPr>
          <w:trHeight w:val="60"/>
        </w:trPr>
        <w:tc>
          <w:tcPr>
            <w:tcW w:w="8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6C78413" w14:textId="77777777" w:rsidR="00EB6564" w:rsidRDefault="00EB6564">
            <w:pPr>
              <w:pStyle w:val="06cTABLETEXT"/>
              <w:jc w:val="center"/>
            </w:pPr>
            <w:r>
              <w:t>2140</w:t>
            </w:r>
          </w:p>
        </w:tc>
        <w:tc>
          <w:tcPr>
            <w:tcW w:w="8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22A29F" w14:textId="77777777" w:rsidR="00EB6564" w:rsidRDefault="00EB6564">
            <w:pPr>
              <w:pStyle w:val="06cTABLETEXT"/>
              <w:jc w:val="center"/>
            </w:pPr>
            <w:r>
              <w:t>521</w:t>
            </w:r>
          </w:p>
        </w:tc>
        <w:tc>
          <w:tcPr>
            <w:tcW w:w="8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C57FCF" w14:textId="77777777" w:rsidR="00EB6564" w:rsidRDefault="00EB6564">
            <w:pPr>
              <w:pStyle w:val="06cTABLETEXT"/>
              <w:jc w:val="center"/>
            </w:pPr>
            <w:r>
              <w:t>289</w:t>
            </w:r>
          </w:p>
        </w:tc>
        <w:tc>
          <w:tcPr>
            <w:tcW w:w="8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C4FE11" w14:textId="77777777" w:rsidR="00EB6564" w:rsidRDefault="00EB6564">
            <w:pPr>
              <w:pStyle w:val="06cTABLETEXT"/>
              <w:jc w:val="center"/>
            </w:pPr>
            <w:r>
              <w:t>50</w:t>
            </w:r>
          </w:p>
        </w:tc>
        <w:tc>
          <w:tcPr>
            <w:tcW w:w="8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553B229" w14:textId="77777777" w:rsidR="00EB6564" w:rsidRDefault="00EB6564">
            <w:pPr>
              <w:pStyle w:val="06cTABLETEXT"/>
              <w:jc w:val="center"/>
            </w:pPr>
            <w:r>
              <w:t>6</w:t>
            </w:r>
          </w:p>
        </w:tc>
        <w:tc>
          <w:tcPr>
            <w:tcW w:w="8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E69C85" w14:textId="77777777" w:rsidR="00EB6564" w:rsidRDefault="00EB6564">
            <w:pPr>
              <w:pStyle w:val="06cTABLETEXT"/>
              <w:jc w:val="center"/>
            </w:pPr>
            <w:r>
              <w:t>1617</w:t>
            </w:r>
          </w:p>
        </w:tc>
        <w:tc>
          <w:tcPr>
            <w:tcW w:w="8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0F7B0C" w14:textId="77777777" w:rsidR="00EB6564" w:rsidRDefault="00EB6564">
            <w:pPr>
              <w:pStyle w:val="06cTABLETEXT"/>
              <w:jc w:val="center"/>
            </w:pPr>
            <w:r>
              <w:t>8</w:t>
            </w:r>
          </w:p>
        </w:tc>
        <w:tc>
          <w:tcPr>
            <w:tcW w:w="8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F0684F" w14:textId="77777777" w:rsidR="00EB6564" w:rsidRDefault="00EB6564">
            <w:pPr>
              <w:pStyle w:val="06cTABLETEXT"/>
              <w:jc w:val="center"/>
            </w:pPr>
            <w:r>
              <w:t>0</w:t>
            </w:r>
          </w:p>
        </w:tc>
        <w:tc>
          <w:tcPr>
            <w:tcW w:w="82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DE5638" w14:textId="77777777" w:rsidR="00EB6564" w:rsidRDefault="00EB6564">
            <w:pPr>
              <w:pStyle w:val="06cTABLETEXT"/>
              <w:jc w:val="center"/>
            </w:pPr>
            <w:r>
              <w:t>4631</w:t>
            </w:r>
          </w:p>
        </w:tc>
      </w:tr>
    </w:tbl>
    <w:p w14:paraId="0CE7E96F" w14:textId="77777777" w:rsidR="00EB6564" w:rsidRDefault="00EB6564" w:rsidP="00EB6564">
      <w:pPr>
        <w:pStyle w:val="07FOOTNOTES"/>
      </w:pPr>
      <w:r>
        <w:t>*</w:t>
      </w:r>
      <w:r>
        <w:tab/>
        <w:t>Information regarding external territories (Ext Terr) has only been provided since the reporting year 2009–10.</w:t>
      </w:r>
    </w:p>
    <w:p w14:paraId="37F2EE5D" w14:textId="77777777" w:rsidR="00EB6564" w:rsidRPr="009408AB" w:rsidRDefault="00EB6564" w:rsidP="00CB0DA6">
      <w:pPr>
        <w:pStyle w:val="Heading2"/>
      </w:pPr>
      <w:bookmarkStart w:id="57" w:name="_Toc58254411"/>
      <w:r w:rsidRPr="009408AB">
        <w:t>Victoria</w:t>
      </w:r>
      <w:bookmarkEnd w:id="57"/>
    </w:p>
    <w:p w14:paraId="7DAF319C" w14:textId="77777777" w:rsidR="00EB6564" w:rsidRDefault="00EB6564" w:rsidP="00430022">
      <w:pPr>
        <w:pStyle w:val="05BODYTEXT"/>
        <w:keepNext/>
        <w:spacing w:line="240" w:lineRule="auto"/>
        <w:rPr>
          <w:rStyle w:val="ITALIC"/>
        </w:rPr>
      </w:pPr>
      <w:r>
        <w:rPr>
          <w:rStyle w:val="ITALIC"/>
        </w:rPr>
        <w:t xml:space="preserve">Report to the NEPC on the implementation of the National Environment Protection (Movement of Controlled Waste between States and Territories) Measure for Victoria by the Hon Lily </w:t>
      </w:r>
      <w:proofErr w:type="spellStart"/>
      <w:r>
        <w:rPr>
          <w:rStyle w:val="ITALIC"/>
        </w:rPr>
        <w:t>D’Ambrosio</w:t>
      </w:r>
      <w:proofErr w:type="spellEnd"/>
      <w:r>
        <w:rPr>
          <w:rStyle w:val="ITALIC"/>
        </w:rPr>
        <w:t>, Minister for Energy, Environment and Climate Change for the reporting year ended 30 June 2019.</w:t>
      </w:r>
    </w:p>
    <w:p w14:paraId="450F26FB" w14:textId="77777777" w:rsidR="00EB6564" w:rsidRDefault="00EB6564" w:rsidP="00EB6564">
      <w:pPr>
        <w:pStyle w:val="02HEADING2"/>
      </w:pPr>
      <w:r>
        <w:t>Part 1—Implementation of the NEPM and any significant issues</w:t>
      </w:r>
    </w:p>
    <w:p w14:paraId="71574804" w14:textId="77777777" w:rsidR="00EB6564" w:rsidRDefault="00EB6564" w:rsidP="00EB6564">
      <w:pPr>
        <w:pStyle w:val="05BODYTEXT"/>
      </w:pPr>
      <w:r>
        <w:t xml:space="preserve">The NEPM is implemented in Victoria by the Waste Management Policy (Movement of Controlled Waste between States and Territories). There continues to be consultation between the state and territory agencies, via an Implementation Working Group established under the NEPM agreement. </w:t>
      </w:r>
    </w:p>
    <w:p w14:paraId="3C72C3AE" w14:textId="77777777" w:rsidR="00EB6564" w:rsidRDefault="00EB6564" w:rsidP="00EB6564">
      <w:pPr>
        <w:pStyle w:val="05BODYTEXT"/>
      </w:pPr>
      <w:r>
        <w:t xml:space="preserve">The Implementation Working Group is proposing to strengthen and harmonise the regulation and tracking of controlled waste movements in Australia, work being led by EPA NSW. EPA Victoria is in active discussions with EPA NSW. </w:t>
      </w:r>
    </w:p>
    <w:p w14:paraId="19C9B85D" w14:textId="77777777" w:rsidR="00EB6564" w:rsidRDefault="00EB6564" w:rsidP="00EB6564">
      <w:pPr>
        <w:pStyle w:val="02HEADING2"/>
      </w:pPr>
      <w:r>
        <w:lastRenderedPageBreak/>
        <w:t>Part 2—Assessment of NEPM effectiveness</w:t>
      </w:r>
    </w:p>
    <w:p w14:paraId="6AB28C91" w14:textId="77777777" w:rsidR="00EB6564" w:rsidRDefault="00EB6564" w:rsidP="00EB6564">
      <w:pPr>
        <w:pStyle w:val="05BODYTEXT"/>
      </w:pPr>
      <w:r>
        <w:t xml:space="preserve">In the 2018-19 reporting period, Victoria issued 639 authorisations to move waste to another state or territory. This is an increase of 53% approvals from the previous year. Most authorisations were for solvents sent to resource recovery, and PFAS and clinical waste sent to treatment. EPA Victoria also reviewed the administration procedures for authorisation assessments. As of the 1 July 2019, authorisations have been altered so that only one waste code can be listed in each authorisation. </w:t>
      </w:r>
    </w:p>
    <w:p w14:paraId="5EC78D23" w14:textId="77777777" w:rsidR="00EB6564" w:rsidRDefault="00EB6564" w:rsidP="00EB6564">
      <w:pPr>
        <w:pStyle w:val="05BODYTEXT"/>
      </w:pPr>
      <w:r>
        <w:t>The total amount of controlled waste that was brought into Victoria during the reporting year was 53,465 tonnes. This was an increase of 14,079 tonnes from the amount reported in 2017-18.</w:t>
      </w:r>
    </w:p>
    <w:p w14:paraId="287E5839" w14:textId="77777777" w:rsidR="00EB6564" w:rsidRDefault="00EB6564" w:rsidP="00EB6564">
      <w:pPr>
        <w:pStyle w:val="05BODYTEXT"/>
      </w:pPr>
      <w:r>
        <w:t xml:space="preserve">Inorganic chemicals remain the largest percentage of the total tonnage transported to Victoria in 2018-19. The inorganic chemicals waste stream, consisting of metallic constituents, accounted for 35% of the total volume in 2018-19. </w:t>
      </w:r>
    </w:p>
    <w:p w14:paraId="120B5AC0" w14:textId="77777777" w:rsidR="00EB6564" w:rsidRDefault="00EB6564" w:rsidP="00EB6564">
      <w:pPr>
        <w:pStyle w:val="05BODYTEXT"/>
      </w:pPr>
      <w:r>
        <w:t>Due to the continuing implementation of EPA’s new integrated information management system, the data for discrepancies in movements of controlled waste into Victoria in 2018-19 (refer to table 3 below) remains unavailable at the time of reporting. EPA is on track for these to be available for 20/21 reporting.</w:t>
      </w:r>
    </w:p>
    <w:p w14:paraId="58A53BA2" w14:textId="77777777" w:rsidR="00EB6564" w:rsidRDefault="00EB6564" w:rsidP="00EB6564">
      <w:pPr>
        <w:pStyle w:val="05BODYTEXT"/>
      </w:pPr>
      <w:r>
        <w:t>In 2018-2019, EPA Victoria focused on the phasing out of carbon copy paper waste transport certificates used to track waste within Victoria and from 1 July 2019 mandated the use of the existing electronic waste transport certificate system. Interstate movement of waste is still conducted with paper certificates. EPA Victoria also focused on designing new subordinate legislation and a new waste tracking electronic solution, both of which will come into effect to align with commencement of Victoria’s new environmental protection laws. This subordinate legislation has been designed to be better aligned to the NEPM waste codes. It is proposed that the new waste tracking electronic solution will include the movement of controlled waste into and out of Victoria. Victoria will continue to work with our counterparts in other states.</w:t>
      </w:r>
    </w:p>
    <w:p w14:paraId="55EDA56B" w14:textId="77777777" w:rsidR="00EB6564" w:rsidRDefault="00EB6564" w:rsidP="00EB6564">
      <w:pPr>
        <w:pStyle w:val="06TABLEHEADING"/>
      </w:pPr>
      <w:r>
        <w:t>Table 1: Number of consignment authorisations issued by Victoria</w:t>
      </w:r>
    </w:p>
    <w:tbl>
      <w:tblPr>
        <w:tblW w:w="0" w:type="auto"/>
        <w:tblInd w:w="-5" w:type="dxa"/>
        <w:tblLayout w:type="fixed"/>
        <w:tblCellMar>
          <w:left w:w="0" w:type="dxa"/>
          <w:right w:w="0" w:type="dxa"/>
        </w:tblCellMar>
        <w:tblLook w:val="0000" w:firstRow="0" w:lastRow="0" w:firstColumn="0" w:lastColumn="0" w:noHBand="0" w:noVBand="0"/>
      </w:tblPr>
      <w:tblGrid>
        <w:gridCol w:w="3703"/>
        <w:gridCol w:w="3704"/>
      </w:tblGrid>
      <w:tr w:rsidR="00EB6564" w14:paraId="13692CDD" w14:textId="77777777">
        <w:trPr>
          <w:trHeight w:val="60"/>
          <w:tblHeader/>
        </w:trPr>
        <w:tc>
          <w:tcPr>
            <w:tcW w:w="370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8EFE579" w14:textId="77777777" w:rsidR="00EB6564" w:rsidRDefault="00EB6564">
            <w:pPr>
              <w:pStyle w:val="06bTABLEHEADERROW"/>
              <w:jc w:val="center"/>
            </w:pPr>
            <w:r>
              <w:t>Reporting Year</w:t>
            </w:r>
          </w:p>
        </w:tc>
        <w:tc>
          <w:tcPr>
            <w:tcW w:w="370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6430024" w14:textId="77777777" w:rsidR="00EB6564" w:rsidRDefault="00EB6564">
            <w:pPr>
              <w:pStyle w:val="06bTABLEHEADERROW"/>
              <w:jc w:val="center"/>
            </w:pPr>
            <w:r>
              <w:t xml:space="preserve">Consignment authorisations issued </w:t>
            </w:r>
          </w:p>
        </w:tc>
      </w:tr>
      <w:tr w:rsidR="00EB6564" w14:paraId="353C8D53"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4EACE36" w14:textId="77777777" w:rsidR="00EB6564" w:rsidRDefault="00EB6564">
            <w:pPr>
              <w:pStyle w:val="06cTABLETEXT"/>
              <w:jc w:val="center"/>
            </w:pPr>
            <w:r>
              <w:t>2017–18</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F5C2BB" w14:textId="77777777" w:rsidR="00EB6564" w:rsidRDefault="00EB6564">
            <w:pPr>
              <w:pStyle w:val="06cTABLETEXT"/>
              <w:jc w:val="center"/>
            </w:pPr>
            <w:r>
              <w:t>416</w:t>
            </w:r>
          </w:p>
        </w:tc>
      </w:tr>
      <w:tr w:rsidR="00EB6564" w14:paraId="180DA204"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0679B3" w14:textId="77777777" w:rsidR="00EB6564" w:rsidRDefault="00EB6564">
            <w:pPr>
              <w:pStyle w:val="06cTABLETEXT"/>
              <w:jc w:val="center"/>
            </w:pPr>
            <w:r>
              <w:t>2018–19</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677ABFB" w14:textId="77777777" w:rsidR="00EB6564" w:rsidRDefault="00EB6564">
            <w:pPr>
              <w:pStyle w:val="06cTABLETEXT"/>
              <w:jc w:val="center"/>
            </w:pPr>
            <w:r>
              <w:t>639</w:t>
            </w:r>
          </w:p>
        </w:tc>
      </w:tr>
    </w:tbl>
    <w:p w14:paraId="5E0D2128" w14:textId="77777777" w:rsidR="00EB6564" w:rsidRDefault="00EB6564" w:rsidP="00EB6564">
      <w:pPr>
        <w:pStyle w:val="05BODYTEXT"/>
      </w:pPr>
    </w:p>
    <w:p w14:paraId="6A49FA28" w14:textId="77777777" w:rsidR="00EB6564" w:rsidRDefault="00EB6564" w:rsidP="00EB6564">
      <w:pPr>
        <w:pStyle w:val="06TABLEHEADING"/>
      </w:pPr>
      <w:r>
        <w:t>Table 2: Quantity of controlled waste into Victoria for the period 1 July 2018 to 30 June 2019—tonnes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307"/>
        <w:gridCol w:w="1275"/>
        <w:gridCol w:w="595"/>
        <w:gridCol w:w="595"/>
        <w:gridCol w:w="595"/>
        <w:gridCol w:w="595"/>
        <w:gridCol w:w="594"/>
        <w:gridCol w:w="595"/>
        <w:gridCol w:w="595"/>
        <w:gridCol w:w="595"/>
        <w:gridCol w:w="594"/>
        <w:gridCol w:w="595"/>
      </w:tblGrid>
      <w:tr w:rsidR="00EB6564" w14:paraId="67256998" w14:textId="77777777">
        <w:trPr>
          <w:trHeight w:val="60"/>
          <w:tblHeader/>
        </w:trPr>
        <w:tc>
          <w:tcPr>
            <w:tcW w:w="1582" w:type="dxa"/>
            <w:gridSpan w:val="2"/>
            <w:vMerge w:val="restart"/>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30ECEA3" w14:textId="77777777" w:rsidR="00EB6564" w:rsidRDefault="00EB6564">
            <w:pPr>
              <w:pStyle w:val="06bTABLEHEADERROW"/>
            </w:pPr>
            <w:r>
              <w:t>Waste type</w:t>
            </w:r>
          </w:p>
        </w:tc>
        <w:tc>
          <w:tcPr>
            <w:tcW w:w="5353" w:type="dxa"/>
            <w:gridSpan w:val="9"/>
            <w:tcBorders>
              <w:top w:val="single" w:sz="4" w:space="0" w:color="FFFFFF"/>
              <w:left w:val="single" w:sz="4" w:space="0" w:color="FFFFFF"/>
              <w:bottom w:val="single" w:sz="4" w:space="0" w:color="FFFFFF"/>
              <w:right w:val="single" w:sz="4" w:space="0" w:color="FFFFFF"/>
            </w:tcBorders>
            <w:shd w:val="solid" w:color="000000" w:fill="auto"/>
            <w:tcMar>
              <w:top w:w="85" w:type="dxa"/>
              <w:left w:w="0" w:type="dxa"/>
              <w:bottom w:w="85" w:type="dxa"/>
              <w:right w:w="0" w:type="dxa"/>
            </w:tcMar>
            <w:vAlign w:val="bottom"/>
          </w:tcPr>
          <w:p w14:paraId="5A1A1197" w14:textId="77777777" w:rsidR="00EB6564" w:rsidRDefault="00EB6564">
            <w:pPr>
              <w:pStyle w:val="06bTABLEHEADERROW"/>
              <w:jc w:val="center"/>
            </w:pPr>
            <w:r>
              <w:t>QTY (TONNE)</w:t>
            </w:r>
          </w:p>
        </w:tc>
        <w:tc>
          <w:tcPr>
            <w:tcW w:w="595"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3521A78C" w14:textId="77777777" w:rsidR="00EB6564" w:rsidRDefault="00EB6564">
            <w:pPr>
              <w:pStyle w:val="NoParagraphStyle"/>
              <w:spacing w:line="240" w:lineRule="auto"/>
              <w:textAlignment w:val="auto"/>
              <w:rPr>
                <w:rFonts w:ascii="Calibri" w:hAnsi="Calibri" w:cs="Calibri"/>
                <w:color w:val="auto"/>
              </w:rPr>
            </w:pPr>
          </w:p>
        </w:tc>
      </w:tr>
      <w:tr w:rsidR="00EB6564" w14:paraId="1B311368" w14:textId="77777777">
        <w:trPr>
          <w:trHeight w:val="60"/>
          <w:tblHeader/>
        </w:trPr>
        <w:tc>
          <w:tcPr>
            <w:tcW w:w="1582" w:type="dxa"/>
            <w:gridSpan w:val="2"/>
            <w:vMerge/>
            <w:tcBorders>
              <w:top w:val="single" w:sz="8" w:space="0" w:color="FFFFFF"/>
              <w:left w:val="single" w:sz="4" w:space="0" w:color="FFFFFF"/>
              <w:bottom w:val="single" w:sz="8" w:space="0" w:color="FFFFFF"/>
              <w:right w:val="single" w:sz="4" w:space="0" w:color="FFFFFF"/>
            </w:tcBorders>
          </w:tcPr>
          <w:p w14:paraId="2150CDDA" w14:textId="77777777" w:rsidR="00EB6564" w:rsidRDefault="00EB6564">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3F5F1AC" w14:textId="77777777" w:rsidR="00EB6564" w:rsidRDefault="00EB6564">
            <w:pPr>
              <w:pStyle w:val="06bTABLEHEADERROW"/>
              <w:jc w:val="center"/>
            </w:pPr>
            <w:r>
              <w:t>NSW</w:t>
            </w:r>
          </w:p>
        </w:tc>
        <w:tc>
          <w:tcPr>
            <w:tcW w:w="59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D452647" w14:textId="77777777" w:rsidR="00EB6564" w:rsidRDefault="00EB6564">
            <w:pPr>
              <w:pStyle w:val="06bTABLEHEADERROW"/>
              <w:jc w:val="center"/>
            </w:pPr>
            <w:r>
              <w:t>Vic</w:t>
            </w:r>
          </w:p>
        </w:tc>
        <w:tc>
          <w:tcPr>
            <w:tcW w:w="59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0DA66FB" w14:textId="77777777" w:rsidR="00EB6564" w:rsidRDefault="00EB6564">
            <w:pPr>
              <w:pStyle w:val="06bTABLEHEADERROW"/>
              <w:jc w:val="center"/>
            </w:pPr>
            <w:r>
              <w:t>Qld</w:t>
            </w:r>
          </w:p>
        </w:tc>
        <w:tc>
          <w:tcPr>
            <w:tcW w:w="59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5AD8852" w14:textId="77777777" w:rsidR="00EB6564" w:rsidRDefault="00EB6564">
            <w:pPr>
              <w:pStyle w:val="06bTABLEHEADERROW"/>
              <w:jc w:val="center"/>
            </w:pPr>
            <w:r>
              <w:t>WA</w:t>
            </w:r>
          </w:p>
        </w:tc>
        <w:tc>
          <w:tcPr>
            <w:tcW w:w="5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D538329" w14:textId="77777777" w:rsidR="00EB6564" w:rsidRDefault="00EB6564">
            <w:pPr>
              <w:pStyle w:val="06bTABLEHEADERROW"/>
              <w:jc w:val="center"/>
            </w:pPr>
            <w:r>
              <w:t>SA</w:t>
            </w:r>
          </w:p>
        </w:tc>
        <w:tc>
          <w:tcPr>
            <w:tcW w:w="59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7DB9FC6" w14:textId="77777777" w:rsidR="00EB6564" w:rsidRDefault="00EB6564">
            <w:pPr>
              <w:pStyle w:val="06bTABLEHEADERROW"/>
              <w:jc w:val="center"/>
            </w:pPr>
            <w:r>
              <w:t>Tas</w:t>
            </w:r>
          </w:p>
        </w:tc>
        <w:tc>
          <w:tcPr>
            <w:tcW w:w="59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F8D4DA3" w14:textId="77777777" w:rsidR="00EB6564" w:rsidRDefault="00EB6564">
            <w:pPr>
              <w:pStyle w:val="06bTABLEHEADERROW"/>
              <w:jc w:val="center"/>
            </w:pPr>
            <w:r>
              <w:t>ACT</w:t>
            </w:r>
          </w:p>
        </w:tc>
        <w:tc>
          <w:tcPr>
            <w:tcW w:w="59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AE856D6" w14:textId="77777777" w:rsidR="00EB6564" w:rsidRDefault="00EB6564">
            <w:pPr>
              <w:pStyle w:val="06bTABLEHEADERROW"/>
              <w:jc w:val="center"/>
            </w:pPr>
            <w:r>
              <w:t>NT</w:t>
            </w:r>
          </w:p>
        </w:tc>
        <w:tc>
          <w:tcPr>
            <w:tcW w:w="594"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5E580384" w14:textId="77777777" w:rsidR="00EB6564" w:rsidRDefault="00EB6564">
            <w:pPr>
              <w:pStyle w:val="06bTABLEHEADERROW"/>
              <w:jc w:val="center"/>
            </w:pPr>
            <w:r>
              <w:t>Total</w:t>
            </w:r>
          </w:p>
        </w:tc>
        <w:tc>
          <w:tcPr>
            <w:tcW w:w="595"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718BCC7F" w14:textId="77777777" w:rsidR="00EB6564" w:rsidRDefault="00EB6564">
            <w:pPr>
              <w:pStyle w:val="06bTABLEHEADERROW"/>
              <w:jc w:val="center"/>
            </w:pPr>
            <w:r>
              <w:rPr>
                <w:rStyle w:val="BOLD"/>
                <w:b/>
                <w:bCs/>
              </w:rPr>
              <w:t>Percent (%)</w:t>
            </w:r>
          </w:p>
        </w:tc>
      </w:tr>
      <w:tr w:rsidR="00EB6564" w14:paraId="02F07409"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4C24C94" w14:textId="77777777" w:rsidR="00EB6564" w:rsidRDefault="00EB6564">
            <w:pPr>
              <w:pStyle w:val="06cTABLETEXT"/>
              <w:jc w:val="center"/>
            </w:pPr>
            <w:r>
              <w:rPr>
                <w:rStyle w:val="BOLD"/>
              </w:rPr>
              <w:t>A</w:t>
            </w:r>
          </w:p>
        </w:tc>
        <w:tc>
          <w:tcPr>
            <w:tcW w:w="12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00B4C3" w14:textId="77777777" w:rsidR="00EB6564" w:rsidRDefault="00EB6564">
            <w:pPr>
              <w:pStyle w:val="06cTABLETEXT"/>
            </w:pPr>
            <w:r>
              <w:rPr>
                <w:rStyle w:val="BOLD"/>
              </w:rPr>
              <w:t>Plating &amp; heat treatment</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F23855D"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C0299D" w14:textId="77777777" w:rsidR="00EB6564" w:rsidRDefault="00EB6564">
            <w:pPr>
              <w:pStyle w:val="06cTABLETEXT"/>
              <w:jc w:val="center"/>
            </w:pPr>
            <w:r>
              <w:rPr>
                <w:caps/>
              </w:rP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70923EF"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4B44EA3" w14:textId="77777777" w:rsidR="00EB6564" w:rsidRDefault="00EB6564">
            <w:pPr>
              <w:pStyle w:val="06cTABLETEXT"/>
              <w:jc w:val="center"/>
            </w:pPr>
            <w:r>
              <w:t>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4396948"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988AD1E"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B66606C"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18DC0E9" w14:textId="77777777" w:rsidR="00EB6564" w:rsidRDefault="00EB6564">
            <w:pPr>
              <w:pStyle w:val="06cTABLETEXT"/>
              <w:jc w:val="center"/>
            </w:pPr>
            <w:r>
              <w:t>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62E94E4"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412DE8C" w14:textId="77777777" w:rsidR="00EB6564" w:rsidRDefault="00EB6564">
            <w:pPr>
              <w:pStyle w:val="06cTABLETEXT"/>
              <w:jc w:val="center"/>
            </w:pPr>
            <w:r>
              <w:rPr>
                <w:rStyle w:val="BOLD"/>
              </w:rPr>
              <w:t>0</w:t>
            </w:r>
          </w:p>
        </w:tc>
      </w:tr>
      <w:tr w:rsidR="00EB6564" w14:paraId="0D88B6DC"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DA02235" w14:textId="77777777" w:rsidR="00EB6564" w:rsidRDefault="00EB6564">
            <w:pPr>
              <w:pStyle w:val="06cTABLETEXT"/>
              <w:jc w:val="center"/>
            </w:pPr>
            <w:r>
              <w:rPr>
                <w:rStyle w:val="BOLD"/>
              </w:rPr>
              <w:t>B</w:t>
            </w:r>
          </w:p>
        </w:tc>
        <w:tc>
          <w:tcPr>
            <w:tcW w:w="12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34D3A26" w14:textId="77777777" w:rsidR="00EB6564" w:rsidRDefault="00EB6564">
            <w:pPr>
              <w:pStyle w:val="06cTABLETEXT"/>
            </w:pPr>
            <w:r>
              <w:rPr>
                <w:rStyle w:val="BOLD"/>
              </w:rPr>
              <w:t>Acids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4BCAE0E" w14:textId="77777777" w:rsidR="00EB6564" w:rsidRDefault="00EB6564">
            <w:pPr>
              <w:pStyle w:val="06cTABLETEXT"/>
              <w:jc w:val="center"/>
            </w:pPr>
            <w:r>
              <w:t xml:space="preserve"> 264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56E184A" w14:textId="77777777" w:rsidR="00EB6564" w:rsidRDefault="00EB6564">
            <w:pPr>
              <w:pStyle w:val="06cTABLETEXT"/>
              <w:jc w:val="center"/>
            </w:pPr>
            <w:r>
              <w:rPr>
                <w:caps/>
              </w:rP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BA6BA7B" w14:textId="77777777" w:rsidR="00EB6564" w:rsidRDefault="00EB6564">
            <w:pPr>
              <w:pStyle w:val="06cTABLETEXT"/>
              <w:jc w:val="center"/>
            </w:pPr>
            <w:r>
              <w:t xml:space="preserve"> 3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64CD43A" w14:textId="77777777" w:rsidR="00EB6564" w:rsidRDefault="00EB6564">
            <w:pPr>
              <w:pStyle w:val="06cTABLETEXT"/>
              <w:jc w:val="center"/>
            </w:pPr>
            <w:r>
              <w:t>6</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C76A337" w14:textId="77777777" w:rsidR="00EB6564" w:rsidRDefault="00EB6564">
            <w:pPr>
              <w:pStyle w:val="06cTABLETEXT"/>
              <w:jc w:val="center"/>
            </w:pPr>
            <w:r>
              <w:t>151</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E604F44"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FCDDF30"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7F7F51B" w14:textId="77777777" w:rsidR="00EB6564" w:rsidRDefault="00EB6564">
            <w:pPr>
              <w:pStyle w:val="06cTABLETEXT"/>
              <w:jc w:val="center"/>
            </w:pPr>
            <w:r>
              <w:t>21</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E82B6EB" w14:textId="77777777" w:rsidR="00EB6564" w:rsidRDefault="00EB6564">
            <w:pPr>
              <w:pStyle w:val="06cTABLETEXT"/>
              <w:jc w:val="center"/>
            </w:pPr>
            <w:r>
              <w:t>445</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7B0325C" w14:textId="77777777" w:rsidR="00EB6564" w:rsidRDefault="00EB6564">
            <w:pPr>
              <w:pStyle w:val="06cTABLETEXT"/>
              <w:jc w:val="center"/>
            </w:pPr>
            <w:r>
              <w:rPr>
                <w:rStyle w:val="BOLD"/>
              </w:rPr>
              <w:t>1</w:t>
            </w:r>
          </w:p>
        </w:tc>
      </w:tr>
      <w:tr w:rsidR="00EB6564" w14:paraId="058E6397"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0DBDBAE" w14:textId="77777777" w:rsidR="00EB6564" w:rsidRDefault="00EB6564">
            <w:pPr>
              <w:pStyle w:val="06cTABLETEXT"/>
              <w:jc w:val="center"/>
            </w:pPr>
            <w:r>
              <w:rPr>
                <w:rStyle w:val="BOLD"/>
              </w:rPr>
              <w:t>C</w:t>
            </w:r>
          </w:p>
        </w:tc>
        <w:tc>
          <w:tcPr>
            <w:tcW w:w="12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87802C" w14:textId="77777777" w:rsidR="00EB6564" w:rsidRDefault="00EB6564">
            <w:pPr>
              <w:pStyle w:val="06cTABLETEXT"/>
            </w:pPr>
            <w:r>
              <w:rPr>
                <w:rStyle w:val="BOLD"/>
              </w:rPr>
              <w:t>Alkalis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24CE947" w14:textId="77777777" w:rsidR="00EB6564" w:rsidRDefault="00EB6564">
            <w:pPr>
              <w:pStyle w:val="06cTABLETEXT"/>
              <w:jc w:val="center"/>
            </w:pPr>
            <w:r>
              <w:t xml:space="preserve"> 285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B9E4C12" w14:textId="77777777" w:rsidR="00EB6564" w:rsidRDefault="00EB6564">
            <w:pPr>
              <w:pStyle w:val="06cTABLETEXT"/>
              <w:jc w:val="center"/>
            </w:pPr>
            <w:r>
              <w:rPr>
                <w:caps/>
              </w:rP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2D90B01" w14:textId="77777777" w:rsidR="00EB6564" w:rsidRDefault="00EB6564">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B88159B" w14:textId="77777777" w:rsidR="00EB6564" w:rsidRDefault="00EB6564">
            <w:pPr>
              <w:pStyle w:val="06cTABLETEXT"/>
              <w:jc w:val="center"/>
            </w:pPr>
            <w:r>
              <w:t>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EB1B8E4"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30EFE15"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136641D"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EAB895F" w14:textId="77777777" w:rsidR="00EB6564" w:rsidRDefault="00EB6564">
            <w:pPr>
              <w:pStyle w:val="06cTABLETEXT"/>
              <w:jc w:val="center"/>
            </w:pPr>
            <w:r>
              <w:t>922</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5C1DD61" w14:textId="77777777" w:rsidR="00EB6564" w:rsidRDefault="00EB6564">
            <w:pPr>
              <w:pStyle w:val="06cTABLETEXT"/>
              <w:jc w:val="center"/>
            </w:pPr>
            <w:r>
              <w:t>1207</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95679DF" w14:textId="77777777" w:rsidR="00EB6564" w:rsidRDefault="00EB6564">
            <w:pPr>
              <w:pStyle w:val="06cTABLETEXT"/>
              <w:jc w:val="center"/>
            </w:pPr>
            <w:r>
              <w:rPr>
                <w:rStyle w:val="BOLD"/>
              </w:rPr>
              <w:t>2</w:t>
            </w:r>
          </w:p>
        </w:tc>
      </w:tr>
      <w:tr w:rsidR="00EB6564" w14:paraId="4F505DB6"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28F49D5" w14:textId="77777777" w:rsidR="00EB6564" w:rsidRDefault="00EB6564">
            <w:pPr>
              <w:pStyle w:val="06cTABLETEXT"/>
              <w:jc w:val="center"/>
            </w:pPr>
            <w:r>
              <w:rPr>
                <w:rStyle w:val="BOLD"/>
              </w:rPr>
              <w:t>D</w:t>
            </w:r>
          </w:p>
        </w:tc>
        <w:tc>
          <w:tcPr>
            <w:tcW w:w="12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105024" w14:textId="77777777" w:rsidR="00EB6564" w:rsidRDefault="00EB6564">
            <w:pPr>
              <w:pStyle w:val="06cTABLETEXT"/>
            </w:pPr>
            <w:r>
              <w:rPr>
                <w:rStyle w:val="BOLD"/>
              </w:rPr>
              <w:t>Inorganic chemicals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2DF2DCD" w14:textId="77777777" w:rsidR="00EB6564" w:rsidRDefault="00EB6564">
            <w:pPr>
              <w:pStyle w:val="06cTABLETEXT"/>
              <w:jc w:val="center"/>
            </w:pPr>
            <w:r>
              <w:t xml:space="preserve"> 2,645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6ECD834" w14:textId="77777777" w:rsidR="00EB6564" w:rsidRDefault="00EB6564">
            <w:pPr>
              <w:pStyle w:val="06cTABLETEXT"/>
              <w:jc w:val="center"/>
            </w:pPr>
            <w:r>
              <w:rPr>
                <w:caps/>
              </w:rP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72F2EB7" w14:textId="77777777" w:rsidR="00EB6564" w:rsidRDefault="00EB6564">
            <w:pPr>
              <w:pStyle w:val="06cTABLETEXT"/>
              <w:jc w:val="center"/>
            </w:pPr>
            <w:r>
              <w:t xml:space="preserve"> 73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81FE491" w14:textId="77777777" w:rsidR="00EB6564" w:rsidRDefault="00EB6564">
            <w:pPr>
              <w:pStyle w:val="06cTABLETEXT"/>
              <w:jc w:val="center"/>
            </w:pPr>
            <w:r>
              <w:t>13231</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A907075" w14:textId="77777777" w:rsidR="00EB6564" w:rsidRDefault="00EB6564">
            <w:pPr>
              <w:pStyle w:val="06cTABLETEXT"/>
              <w:jc w:val="center"/>
            </w:pPr>
            <w:r>
              <w:t>1336</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23713EA" w14:textId="77777777" w:rsidR="00EB6564" w:rsidRDefault="00EB6564">
            <w:pPr>
              <w:pStyle w:val="06cTABLETEXT"/>
              <w:jc w:val="center"/>
            </w:pPr>
            <w:r>
              <w:t>1315</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603E8ED"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F0B9BC0" w14:textId="77777777" w:rsidR="00EB6564" w:rsidRDefault="00EB6564">
            <w:pPr>
              <w:pStyle w:val="06cTABLETEXT"/>
              <w:jc w:val="center"/>
            </w:pPr>
            <w:r>
              <w:t>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B62CB73" w14:textId="77777777" w:rsidR="00EB6564" w:rsidRDefault="00EB6564">
            <w:pPr>
              <w:pStyle w:val="06cTABLETEXT"/>
              <w:jc w:val="center"/>
            </w:pPr>
            <w:r>
              <w:t>18600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823C52F" w14:textId="77777777" w:rsidR="00EB6564" w:rsidRDefault="00EB6564">
            <w:pPr>
              <w:pStyle w:val="06cTABLETEXT"/>
              <w:jc w:val="center"/>
            </w:pPr>
            <w:r>
              <w:rPr>
                <w:rStyle w:val="BOLD"/>
              </w:rPr>
              <w:t>35</w:t>
            </w:r>
          </w:p>
        </w:tc>
      </w:tr>
      <w:tr w:rsidR="00EB6564" w14:paraId="57D14C64"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927ED73" w14:textId="77777777" w:rsidR="00EB6564" w:rsidRDefault="00EB6564">
            <w:pPr>
              <w:pStyle w:val="06cTABLETEXT"/>
              <w:jc w:val="center"/>
            </w:pPr>
            <w:r>
              <w:rPr>
                <w:rStyle w:val="BOLD"/>
              </w:rPr>
              <w:t>E</w:t>
            </w:r>
          </w:p>
        </w:tc>
        <w:tc>
          <w:tcPr>
            <w:tcW w:w="12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CD48EA" w14:textId="77777777" w:rsidR="00EB6564" w:rsidRDefault="00EB6564">
            <w:pPr>
              <w:pStyle w:val="06cTABLETEXT"/>
            </w:pPr>
            <w:r>
              <w:rPr>
                <w:rStyle w:val="BOLD"/>
              </w:rPr>
              <w:t>Reactive chemicals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D7327AD" w14:textId="77777777" w:rsidR="00EB6564" w:rsidRDefault="00EB6564">
            <w:pPr>
              <w:pStyle w:val="06cTABLETEXT"/>
              <w:jc w:val="center"/>
            </w:pPr>
            <w:r>
              <w:t xml:space="preserve"> 5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C5FCA1" w14:textId="77777777" w:rsidR="00EB6564" w:rsidRDefault="00EB6564">
            <w:pPr>
              <w:pStyle w:val="06cTABLETEXT"/>
              <w:jc w:val="center"/>
            </w:pPr>
            <w:r>
              <w:rPr>
                <w:caps/>
              </w:rP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7796BBB" w14:textId="77777777" w:rsidR="00EB6564" w:rsidRDefault="00EB6564">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826A41A" w14:textId="77777777" w:rsidR="00EB6564" w:rsidRDefault="00EB6564">
            <w:pPr>
              <w:pStyle w:val="06cTABLETEXT"/>
              <w:jc w:val="center"/>
            </w:pPr>
            <w:r>
              <w:t> </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D7231A4" w14:textId="77777777" w:rsidR="00EB6564" w:rsidRDefault="00EB6564">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0E74342"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30C1D5B"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2CF18DC" w14:textId="77777777" w:rsidR="00EB6564" w:rsidRDefault="00EB6564">
            <w:pPr>
              <w:pStyle w:val="06cTABLETEXT"/>
              <w:jc w:val="center"/>
            </w:pPr>
            <w:r>
              <w:t>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DF95982" w14:textId="77777777" w:rsidR="00EB6564" w:rsidRDefault="00EB6564">
            <w:pPr>
              <w:pStyle w:val="06cTABLETEXT"/>
              <w:jc w:val="center"/>
            </w:pPr>
            <w:r>
              <w:t>5</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1EBA2CC" w14:textId="77777777" w:rsidR="00EB6564" w:rsidRDefault="00EB6564">
            <w:pPr>
              <w:pStyle w:val="06cTABLETEXT"/>
              <w:jc w:val="center"/>
            </w:pPr>
            <w:r>
              <w:rPr>
                <w:rStyle w:val="BOLD"/>
              </w:rPr>
              <w:t>0</w:t>
            </w:r>
          </w:p>
        </w:tc>
      </w:tr>
      <w:tr w:rsidR="00EB6564" w14:paraId="0717EC28"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36C81D5" w14:textId="77777777" w:rsidR="00EB6564" w:rsidRDefault="00EB6564">
            <w:pPr>
              <w:pStyle w:val="06cTABLETEXT"/>
              <w:jc w:val="center"/>
            </w:pPr>
            <w:r>
              <w:rPr>
                <w:rStyle w:val="BOLD"/>
              </w:rPr>
              <w:t>F</w:t>
            </w:r>
          </w:p>
        </w:tc>
        <w:tc>
          <w:tcPr>
            <w:tcW w:w="12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4BD7244" w14:textId="77777777" w:rsidR="00EB6564" w:rsidRDefault="00EB6564">
            <w:pPr>
              <w:pStyle w:val="06cTABLETEXT"/>
            </w:pPr>
            <w:r>
              <w:rPr>
                <w:rStyle w:val="BOLD"/>
              </w:rPr>
              <w:t>Paints, resins, inks, organic sludges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2D562C9" w14:textId="77777777" w:rsidR="00EB6564" w:rsidRDefault="00EB6564">
            <w:pPr>
              <w:pStyle w:val="06cTABLETEXT"/>
              <w:jc w:val="center"/>
            </w:pPr>
            <w:r>
              <w:t xml:space="preserve"> 2,688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3B88D2" w14:textId="77777777" w:rsidR="00EB6564" w:rsidRDefault="00EB6564">
            <w:pPr>
              <w:pStyle w:val="06cTABLETEXT"/>
              <w:jc w:val="center"/>
            </w:pPr>
            <w:r>
              <w:rPr>
                <w:caps/>
              </w:rP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9FCA4EC" w14:textId="77777777" w:rsidR="00EB6564" w:rsidRDefault="00EB6564">
            <w:pPr>
              <w:pStyle w:val="06cTABLETEXT"/>
              <w:jc w:val="center"/>
            </w:pPr>
            <w:r>
              <w:t xml:space="preserve"> 1,213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C4FDA43" w14:textId="77777777" w:rsidR="00EB6564" w:rsidRDefault="00EB6564">
            <w:pPr>
              <w:pStyle w:val="06cTABLETEXT"/>
              <w:jc w:val="center"/>
            </w:pPr>
            <w:r>
              <w:t>20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E74FEBA" w14:textId="77777777" w:rsidR="00EB6564" w:rsidRDefault="00EB6564">
            <w:pPr>
              <w:pStyle w:val="06cTABLETEXT"/>
              <w:jc w:val="center"/>
            </w:pPr>
            <w:r>
              <w:t>621</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95CFCDD" w14:textId="77777777" w:rsidR="00EB6564" w:rsidRDefault="00EB6564">
            <w:pPr>
              <w:pStyle w:val="06cTABLETEXT"/>
              <w:jc w:val="center"/>
            </w:pPr>
            <w:r>
              <w:t>55</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F5D7536"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F668B08" w14:textId="77777777" w:rsidR="00EB6564" w:rsidRDefault="00EB6564">
            <w:pPr>
              <w:pStyle w:val="06cTABLETEXT"/>
              <w:jc w:val="center"/>
            </w:pPr>
            <w:r>
              <w:t>25</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BF099D5" w14:textId="77777777" w:rsidR="00EB6564" w:rsidRDefault="00EB6564">
            <w:pPr>
              <w:pStyle w:val="06cTABLETEXT"/>
              <w:jc w:val="center"/>
            </w:pPr>
            <w:r>
              <w:t>4622</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84A57D1" w14:textId="77777777" w:rsidR="00EB6564" w:rsidRDefault="00EB6564">
            <w:pPr>
              <w:pStyle w:val="06cTABLETEXT"/>
              <w:jc w:val="center"/>
            </w:pPr>
            <w:r>
              <w:rPr>
                <w:rStyle w:val="BOLD"/>
              </w:rPr>
              <w:t>9</w:t>
            </w:r>
          </w:p>
        </w:tc>
      </w:tr>
      <w:tr w:rsidR="00EB6564" w14:paraId="70D2B557"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BCB7E58" w14:textId="77777777" w:rsidR="00EB6564" w:rsidRDefault="00EB6564">
            <w:pPr>
              <w:pStyle w:val="06cTABLETEXT"/>
              <w:jc w:val="center"/>
            </w:pPr>
            <w:r>
              <w:rPr>
                <w:rStyle w:val="BOLD"/>
              </w:rPr>
              <w:t>G</w:t>
            </w:r>
          </w:p>
        </w:tc>
        <w:tc>
          <w:tcPr>
            <w:tcW w:w="12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BAB836" w14:textId="77777777" w:rsidR="00EB6564" w:rsidRDefault="00EB6564">
            <w:pPr>
              <w:pStyle w:val="06cTABLETEXT"/>
            </w:pPr>
            <w:r>
              <w:rPr>
                <w:rStyle w:val="BOLD"/>
              </w:rPr>
              <w:t>Organic solvents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E39929B" w14:textId="77777777" w:rsidR="00EB6564" w:rsidRDefault="00EB6564">
            <w:pPr>
              <w:pStyle w:val="06cTABLETEXT"/>
              <w:jc w:val="center"/>
            </w:pPr>
            <w:r>
              <w:t xml:space="preserve"> 929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1BA3DD9" w14:textId="77777777" w:rsidR="00EB6564" w:rsidRDefault="00EB6564">
            <w:pPr>
              <w:pStyle w:val="06cTABLETEXT"/>
              <w:jc w:val="center"/>
            </w:pPr>
            <w:r>
              <w:rPr>
                <w:caps/>
              </w:rP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0E352EB" w14:textId="77777777" w:rsidR="00EB6564" w:rsidRDefault="00EB6564">
            <w:pPr>
              <w:pStyle w:val="06cTABLETEXT"/>
              <w:jc w:val="center"/>
            </w:pPr>
            <w:r>
              <w:t xml:space="preserve"> 284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BF0FE35" w14:textId="77777777" w:rsidR="00EB6564" w:rsidRDefault="00EB6564">
            <w:pPr>
              <w:pStyle w:val="06cTABLETEXT"/>
              <w:jc w:val="center"/>
            </w:pPr>
            <w:r>
              <w:t>103</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754F2E6" w14:textId="77777777" w:rsidR="00EB6564" w:rsidRDefault="00EB6564">
            <w:pPr>
              <w:pStyle w:val="06cTABLETEXT"/>
              <w:jc w:val="center"/>
            </w:pPr>
            <w:r>
              <w:t>175</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0F72B82" w14:textId="77777777" w:rsidR="00EB6564" w:rsidRDefault="00EB6564">
            <w:pPr>
              <w:pStyle w:val="06cTABLETEXT"/>
              <w:jc w:val="center"/>
            </w:pPr>
            <w:r>
              <w:t>96</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54CFEC8"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5D70F5A" w14:textId="77777777" w:rsidR="00EB6564" w:rsidRDefault="00EB6564">
            <w:pPr>
              <w:pStyle w:val="06cTABLETEXT"/>
              <w:jc w:val="center"/>
            </w:pPr>
            <w:r>
              <w:t>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674E197" w14:textId="77777777" w:rsidR="00EB6564" w:rsidRDefault="00EB6564">
            <w:pPr>
              <w:pStyle w:val="06cTABLETEXT"/>
              <w:jc w:val="center"/>
            </w:pPr>
            <w:r>
              <w:t>1587</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CFF14ED" w14:textId="77777777" w:rsidR="00EB6564" w:rsidRDefault="00EB6564">
            <w:pPr>
              <w:pStyle w:val="06cTABLETEXT"/>
              <w:jc w:val="center"/>
            </w:pPr>
            <w:r>
              <w:rPr>
                <w:rStyle w:val="BOLD"/>
              </w:rPr>
              <w:t>3</w:t>
            </w:r>
          </w:p>
        </w:tc>
      </w:tr>
      <w:tr w:rsidR="00EB6564" w14:paraId="40E90CDC"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E83C45D" w14:textId="77777777" w:rsidR="00EB6564" w:rsidRDefault="00EB6564">
            <w:pPr>
              <w:pStyle w:val="06cTABLETEXT"/>
              <w:jc w:val="center"/>
            </w:pPr>
            <w:r>
              <w:rPr>
                <w:rStyle w:val="BOLD"/>
              </w:rPr>
              <w:t>H</w:t>
            </w:r>
          </w:p>
        </w:tc>
        <w:tc>
          <w:tcPr>
            <w:tcW w:w="12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110412" w14:textId="77777777" w:rsidR="00EB6564" w:rsidRDefault="00EB6564">
            <w:pPr>
              <w:pStyle w:val="06cTABLETEXT"/>
            </w:pPr>
            <w:r>
              <w:rPr>
                <w:rStyle w:val="BOLD"/>
              </w:rPr>
              <w:t>Pesticides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7D5E9AD" w14:textId="77777777" w:rsidR="00EB6564" w:rsidRDefault="00EB6564">
            <w:pPr>
              <w:pStyle w:val="06cTABLETEXT"/>
              <w:jc w:val="center"/>
            </w:pPr>
            <w:r>
              <w:t xml:space="preserve"> 68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726219" w14:textId="77777777" w:rsidR="00EB6564" w:rsidRDefault="00EB6564">
            <w:pPr>
              <w:pStyle w:val="06cTABLETEXT"/>
              <w:jc w:val="center"/>
            </w:pPr>
            <w:r>
              <w:rPr>
                <w:caps/>
              </w:rP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32A2ECD" w14:textId="77777777" w:rsidR="00EB6564" w:rsidRDefault="00EB6564">
            <w:pPr>
              <w:pStyle w:val="06cTABLETEXT"/>
              <w:jc w:val="center"/>
            </w:pPr>
            <w:r>
              <w:t xml:space="preserve"> 59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4524085" w14:textId="77777777" w:rsidR="00EB6564" w:rsidRDefault="00EB6564">
            <w:pPr>
              <w:pStyle w:val="06cTABLETEXT"/>
              <w:jc w:val="center"/>
            </w:pPr>
            <w:r>
              <w:t>360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2820430" w14:textId="77777777" w:rsidR="00EB6564" w:rsidRDefault="00EB6564">
            <w:pPr>
              <w:pStyle w:val="06cTABLETEXT"/>
              <w:jc w:val="center"/>
            </w:pPr>
            <w:r>
              <w:t>13</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0E75F0E"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7369012"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34209A4" w14:textId="77777777" w:rsidR="00EB6564" w:rsidRDefault="00EB6564">
            <w:pPr>
              <w:pStyle w:val="06cTABLETEXT"/>
              <w:jc w:val="center"/>
            </w:pPr>
            <w:r>
              <w:t>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77878E0" w14:textId="77777777" w:rsidR="00EB6564" w:rsidRDefault="00EB6564">
            <w:pPr>
              <w:pStyle w:val="06cTABLETEXT"/>
              <w:jc w:val="center"/>
            </w:pPr>
            <w:r>
              <w:t>500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3C1E7DF" w14:textId="77777777" w:rsidR="00EB6564" w:rsidRDefault="00EB6564">
            <w:pPr>
              <w:pStyle w:val="06cTABLETEXT"/>
              <w:jc w:val="center"/>
            </w:pPr>
            <w:r>
              <w:rPr>
                <w:rStyle w:val="BOLD"/>
              </w:rPr>
              <w:t>1</w:t>
            </w:r>
          </w:p>
        </w:tc>
      </w:tr>
      <w:tr w:rsidR="00EB6564" w14:paraId="7BEB9A26"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79F2C43" w14:textId="77777777" w:rsidR="00EB6564" w:rsidRDefault="00EB6564">
            <w:pPr>
              <w:pStyle w:val="06cTABLETEXT"/>
              <w:jc w:val="center"/>
            </w:pPr>
            <w:r>
              <w:rPr>
                <w:rStyle w:val="BOLD"/>
              </w:rPr>
              <w:lastRenderedPageBreak/>
              <w:t>J</w:t>
            </w:r>
          </w:p>
        </w:tc>
        <w:tc>
          <w:tcPr>
            <w:tcW w:w="12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71E619" w14:textId="77777777" w:rsidR="00EB6564" w:rsidRDefault="00EB6564">
            <w:pPr>
              <w:pStyle w:val="06cTABLETEXT"/>
            </w:pPr>
            <w:r>
              <w:rPr>
                <w:rStyle w:val="BOLD"/>
              </w:rPr>
              <w:t>Oils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C952C2A" w14:textId="77777777" w:rsidR="00EB6564" w:rsidRDefault="00EB6564">
            <w:pPr>
              <w:pStyle w:val="06cTABLETEXT"/>
              <w:jc w:val="center"/>
            </w:pPr>
            <w:r>
              <w:t xml:space="preserve"> 1,275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CC345B" w14:textId="77777777" w:rsidR="00EB6564" w:rsidRDefault="00EB6564">
            <w:pPr>
              <w:pStyle w:val="06cTABLETEXT"/>
              <w:jc w:val="center"/>
            </w:pPr>
            <w:r>
              <w:rPr>
                <w:caps/>
              </w:rP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2014C85" w14:textId="77777777" w:rsidR="00EB6564" w:rsidRDefault="00EB6564">
            <w:pPr>
              <w:pStyle w:val="06cTABLETEXT"/>
              <w:jc w:val="center"/>
            </w:pPr>
            <w:r>
              <w:t xml:space="preserve"> 199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6E14C68" w14:textId="77777777" w:rsidR="00EB6564" w:rsidRDefault="00EB6564">
            <w:pPr>
              <w:pStyle w:val="06cTABLETEXT"/>
              <w:jc w:val="center"/>
            </w:pPr>
            <w:r>
              <w:t>12</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C3CED35" w14:textId="77777777" w:rsidR="00EB6564" w:rsidRDefault="00EB6564">
            <w:pPr>
              <w:pStyle w:val="06cTABLETEXT"/>
              <w:jc w:val="center"/>
            </w:pPr>
            <w:r>
              <w:t>67</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864AFF0" w14:textId="77777777" w:rsidR="00EB6564" w:rsidRDefault="00EB6564">
            <w:pPr>
              <w:pStyle w:val="06cTABLETEXT"/>
              <w:jc w:val="center"/>
            </w:pPr>
            <w:r>
              <w:t>44</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9BE3C6A"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220AA97" w14:textId="77777777" w:rsidR="00EB6564" w:rsidRDefault="00EB6564">
            <w:pPr>
              <w:pStyle w:val="06cTABLETEXT"/>
              <w:jc w:val="center"/>
            </w:pPr>
            <w:r>
              <w:t>83</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A3D34E6" w14:textId="77777777" w:rsidR="00EB6564" w:rsidRDefault="00EB6564">
            <w:pPr>
              <w:pStyle w:val="06cTABLETEXT"/>
              <w:jc w:val="center"/>
            </w:pPr>
            <w:r>
              <w:t>1680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92357CA" w14:textId="77777777" w:rsidR="00EB6564" w:rsidRDefault="00EB6564">
            <w:pPr>
              <w:pStyle w:val="06cTABLETEXT"/>
              <w:jc w:val="center"/>
            </w:pPr>
            <w:r>
              <w:rPr>
                <w:rStyle w:val="BOLD"/>
              </w:rPr>
              <w:t>3</w:t>
            </w:r>
          </w:p>
        </w:tc>
      </w:tr>
      <w:tr w:rsidR="00EB6564" w14:paraId="643D3CE4"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885A5BC" w14:textId="77777777" w:rsidR="00EB6564" w:rsidRDefault="00EB6564">
            <w:pPr>
              <w:pStyle w:val="06cTABLETEXT"/>
              <w:jc w:val="center"/>
            </w:pPr>
            <w:r>
              <w:rPr>
                <w:rStyle w:val="BOLD"/>
              </w:rPr>
              <w:t>K</w:t>
            </w:r>
          </w:p>
        </w:tc>
        <w:tc>
          <w:tcPr>
            <w:tcW w:w="12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33CF93" w14:textId="77777777" w:rsidR="00EB6564" w:rsidRDefault="00EB6564">
            <w:pPr>
              <w:pStyle w:val="06cTABLETEXT"/>
            </w:pPr>
            <w:r>
              <w:rPr>
                <w:rStyle w:val="BOLD"/>
              </w:rPr>
              <w:t>Putrescible/organic waste</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0AF0FAD" w14:textId="77777777" w:rsidR="00EB6564" w:rsidRDefault="00EB6564">
            <w:pPr>
              <w:pStyle w:val="06cTABLETEXT"/>
              <w:jc w:val="center"/>
            </w:pPr>
            <w:r>
              <w:t xml:space="preserve"> 1,316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F90816" w14:textId="77777777" w:rsidR="00EB6564" w:rsidRDefault="00EB6564">
            <w:pPr>
              <w:pStyle w:val="06cTABLETEXT"/>
              <w:jc w:val="center"/>
            </w:pPr>
            <w:r>
              <w:rPr>
                <w:caps/>
              </w:rP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AB7FC39" w14:textId="77777777" w:rsidR="00EB6564" w:rsidRDefault="00EB6564">
            <w:pPr>
              <w:pStyle w:val="06cTABLETEXT"/>
              <w:jc w:val="center"/>
            </w:pPr>
            <w:r>
              <w:t xml:space="preserve"> 20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F53F471" w14:textId="77777777" w:rsidR="00EB6564" w:rsidRDefault="00EB6564">
            <w:pPr>
              <w:pStyle w:val="06cTABLETEXT"/>
              <w:jc w:val="center"/>
            </w:pPr>
            <w:r>
              <w:t>37</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2D575CF"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215491D"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5A298E1"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9CFC42E" w14:textId="77777777" w:rsidR="00EB6564" w:rsidRDefault="00EB6564">
            <w:pPr>
              <w:pStyle w:val="06cTABLETEXT"/>
              <w:jc w:val="center"/>
            </w:pPr>
            <w:r>
              <w:t>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2A60DBF" w14:textId="77777777" w:rsidR="00EB6564" w:rsidRDefault="00EB6564">
            <w:pPr>
              <w:pStyle w:val="06cTABLETEXT"/>
              <w:jc w:val="center"/>
            </w:pPr>
            <w:r>
              <w:t>1373</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76A4DF4" w14:textId="77777777" w:rsidR="00EB6564" w:rsidRDefault="00EB6564">
            <w:pPr>
              <w:pStyle w:val="06cTABLETEXT"/>
              <w:jc w:val="center"/>
            </w:pPr>
            <w:r>
              <w:rPr>
                <w:rStyle w:val="BOLD"/>
              </w:rPr>
              <w:t>3</w:t>
            </w:r>
          </w:p>
        </w:tc>
      </w:tr>
      <w:tr w:rsidR="00EB6564" w14:paraId="628BEF99"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C55D9F6" w14:textId="77777777" w:rsidR="00EB6564" w:rsidRDefault="00EB6564">
            <w:pPr>
              <w:pStyle w:val="06cTABLETEXT"/>
              <w:jc w:val="center"/>
            </w:pPr>
            <w:r>
              <w:rPr>
                <w:rStyle w:val="BOLD"/>
              </w:rPr>
              <w:t>L</w:t>
            </w:r>
          </w:p>
        </w:tc>
        <w:tc>
          <w:tcPr>
            <w:tcW w:w="12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49771C2" w14:textId="77777777" w:rsidR="00EB6564" w:rsidRDefault="00EB6564">
            <w:pPr>
              <w:pStyle w:val="06cTABLETEXT"/>
            </w:pPr>
            <w:r>
              <w:rPr>
                <w:rStyle w:val="BOLD"/>
              </w:rPr>
              <w:t xml:space="preserve">Industrial </w:t>
            </w:r>
            <w:proofErr w:type="spellStart"/>
            <w:r>
              <w:rPr>
                <w:rStyle w:val="BOLD"/>
              </w:rPr>
              <w:t>washwater</w:t>
            </w:r>
            <w:proofErr w:type="spellEnd"/>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0F3EC93" w14:textId="77777777" w:rsidR="00EB6564" w:rsidRDefault="00EB6564">
            <w:pPr>
              <w:pStyle w:val="06cTABLETEXT"/>
              <w:jc w:val="center"/>
            </w:pPr>
            <w:r>
              <w:t xml:space="preserve"> 2,808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C7C016" w14:textId="77777777" w:rsidR="00EB6564" w:rsidRDefault="00EB6564">
            <w:pPr>
              <w:pStyle w:val="06cTABLETEXT"/>
              <w:jc w:val="center"/>
            </w:pPr>
            <w:r>
              <w:rPr>
                <w:caps/>
              </w:rP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220C90E" w14:textId="77777777" w:rsidR="00EB6564" w:rsidRDefault="00EB6564">
            <w:pPr>
              <w:pStyle w:val="06cTABLETEXT"/>
              <w:jc w:val="center"/>
            </w:pPr>
            <w:r>
              <w:t xml:space="preserve"> 105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ECE1FB6" w14:textId="77777777" w:rsidR="00EB6564" w:rsidRDefault="00EB6564">
            <w:pPr>
              <w:pStyle w:val="06cTABLETEXT"/>
              <w:jc w:val="center"/>
            </w:pPr>
            <w:r>
              <w:t>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4A36C3F" w14:textId="77777777" w:rsidR="00EB6564" w:rsidRDefault="00EB6564">
            <w:pPr>
              <w:pStyle w:val="06cTABLETEXT"/>
              <w:jc w:val="center"/>
            </w:pPr>
            <w:r>
              <w:t>690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C7C92B7" w14:textId="77777777" w:rsidR="00EB6564" w:rsidRDefault="00EB6564">
            <w:pPr>
              <w:pStyle w:val="06cTABLETEXT"/>
              <w:jc w:val="center"/>
            </w:pPr>
            <w:r>
              <w:t>96</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2154AA1"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5DCB54A" w14:textId="77777777" w:rsidR="00EB6564" w:rsidRDefault="00EB6564">
            <w:pPr>
              <w:pStyle w:val="06cTABLETEXT"/>
              <w:jc w:val="center"/>
            </w:pPr>
            <w:r>
              <w:t>425</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F23B792" w14:textId="77777777" w:rsidR="00EB6564" w:rsidRDefault="00EB6564">
            <w:pPr>
              <w:pStyle w:val="06cTABLETEXT"/>
              <w:jc w:val="center"/>
            </w:pPr>
            <w:r>
              <w:t>4124</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8460DCA" w14:textId="77777777" w:rsidR="00EB6564" w:rsidRDefault="00EB6564">
            <w:pPr>
              <w:pStyle w:val="06cTABLETEXT"/>
              <w:jc w:val="center"/>
            </w:pPr>
            <w:r>
              <w:rPr>
                <w:rStyle w:val="BOLD"/>
              </w:rPr>
              <w:t>8</w:t>
            </w:r>
          </w:p>
        </w:tc>
      </w:tr>
      <w:tr w:rsidR="00EB6564" w14:paraId="4134F667"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D73AC08" w14:textId="77777777" w:rsidR="00EB6564" w:rsidRDefault="00EB6564">
            <w:pPr>
              <w:pStyle w:val="06cTABLETEXT"/>
              <w:jc w:val="center"/>
            </w:pPr>
            <w:r>
              <w:rPr>
                <w:rStyle w:val="BOLD"/>
              </w:rPr>
              <w:t>M</w:t>
            </w:r>
          </w:p>
        </w:tc>
        <w:tc>
          <w:tcPr>
            <w:tcW w:w="12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9B7484" w14:textId="77777777" w:rsidR="00EB6564" w:rsidRDefault="00EB6564">
            <w:pPr>
              <w:pStyle w:val="06cTABLETEXT"/>
            </w:pPr>
            <w:r>
              <w:rPr>
                <w:rStyle w:val="BOLD"/>
              </w:rPr>
              <w:t>Organic chemicals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BD1BBF9" w14:textId="77777777" w:rsidR="00EB6564" w:rsidRDefault="00EB6564">
            <w:pPr>
              <w:pStyle w:val="06cTABLETEXT"/>
              <w:jc w:val="center"/>
            </w:pPr>
            <w:r>
              <w:t xml:space="preserve"> 678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253F5C" w14:textId="77777777" w:rsidR="00EB6564" w:rsidRDefault="00EB6564">
            <w:pPr>
              <w:pStyle w:val="06cTABLETEXT"/>
              <w:jc w:val="center"/>
            </w:pPr>
            <w:r>
              <w:rPr>
                <w:caps/>
              </w:rP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7FC88A8" w14:textId="77777777" w:rsidR="00EB6564" w:rsidRDefault="00EB6564">
            <w:pPr>
              <w:pStyle w:val="06cTABLETEXT"/>
              <w:jc w:val="center"/>
            </w:pPr>
            <w:r>
              <w:t xml:space="preserve"> 1,022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E1385E0" w14:textId="77777777" w:rsidR="00EB6564" w:rsidRDefault="00EB6564">
            <w:pPr>
              <w:pStyle w:val="06cTABLETEXT"/>
              <w:jc w:val="center"/>
            </w:pPr>
            <w:r>
              <w:t>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E03AB21" w14:textId="77777777" w:rsidR="00EB6564" w:rsidRDefault="00EB6564">
            <w:pPr>
              <w:pStyle w:val="06cTABLETEXT"/>
              <w:jc w:val="center"/>
            </w:pPr>
            <w:r>
              <w:t>494</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DC8F924" w14:textId="77777777" w:rsidR="00EB6564" w:rsidRDefault="00EB6564">
            <w:pPr>
              <w:pStyle w:val="06cTABLETEXT"/>
              <w:jc w:val="center"/>
            </w:pPr>
            <w:r>
              <w:t>50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20A9FFD"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CA87272" w14:textId="77777777" w:rsidR="00EB6564" w:rsidRDefault="00EB6564">
            <w:pPr>
              <w:pStyle w:val="06cTABLETEXT"/>
              <w:jc w:val="center"/>
            </w:pPr>
            <w:r>
              <w:t>187</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53B4879" w14:textId="77777777" w:rsidR="00EB6564" w:rsidRDefault="00EB6564">
            <w:pPr>
              <w:pStyle w:val="06cTABLETEXT"/>
              <w:jc w:val="center"/>
            </w:pPr>
            <w:r>
              <w:t>2431</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E580140" w14:textId="77777777" w:rsidR="00EB6564" w:rsidRDefault="00EB6564">
            <w:pPr>
              <w:pStyle w:val="06cTABLETEXT"/>
              <w:jc w:val="center"/>
            </w:pPr>
            <w:r>
              <w:rPr>
                <w:rStyle w:val="BOLD"/>
              </w:rPr>
              <w:t>5</w:t>
            </w:r>
          </w:p>
        </w:tc>
      </w:tr>
      <w:tr w:rsidR="00EB6564" w14:paraId="6E55B874"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7DD9487" w14:textId="77777777" w:rsidR="00EB6564" w:rsidRDefault="00EB6564">
            <w:pPr>
              <w:pStyle w:val="06cTABLETEXT"/>
              <w:jc w:val="center"/>
            </w:pPr>
            <w:r>
              <w:rPr>
                <w:rStyle w:val="BOLD"/>
              </w:rPr>
              <w:t>N</w:t>
            </w:r>
          </w:p>
        </w:tc>
        <w:tc>
          <w:tcPr>
            <w:tcW w:w="12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97C0FA" w14:textId="77777777" w:rsidR="00EB6564" w:rsidRDefault="00EB6564">
            <w:pPr>
              <w:pStyle w:val="06cTABLETEXT"/>
            </w:pPr>
            <w:r>
              <w:rPr>
                <w:rStyle w:val="BOLD"/>
              </w:rPr>
              <w:t>Soil/sludge</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AD33108" w14:textId="77777777" w:rsidR="00EB6564" w:rsidRDefault="00EB6564">
            <w:pPr>
              <w:pStyle w:val="06cTABLETEXT"/>
              <w:jc w:val="center"/>
            </w:pPr>
            <w:r>
              <w:t xml:space="preserve"> 7,471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0CBD47" w14:textId="77777777" w:rsidR="00EB6564" w:rsidRDefault="00EB6564">
            <w:pPr>
              <w:pStyle w:val="06cTABLETEXT"/>
              <w:jc w:val="center"/>
            </w:pPr>
            <w:r>
              <w:rPr>
                <w:caps/>
              </w:rP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AC5F734" w14:textId="77777777" w:rsidR="00EB6564" w:rsidRDefault="00EB6564">
            <w:pPr>
              <w:pStyle w:val="06cTABLETEXT"/>
              <w:jc w:val="center"/>
            </w:pPr>
            <w:r>
              <w:t xml:space="preserve"> 153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7A95864" w14:textId="77777777" w:rsidR="00EB6564" w:rsidRDefault="00EB6564">
            <w:pPr>
              <w:pStyle w:val="06cTABLETEXT"/>
              <w:jc w:val="center"/>
            </w:pPr>
            <w:r>
              <w:t>7</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6B0BE48" w14:textId="77777777" w:rsidR="00EB6564" w:rsidRDefault="00EB6564">
            <w:pPr>
              <w:pStyle w:val="06cTABLETEXT"/>
              <w:jc w:val="center"/>
            </w:pPr>
            <w:r>
              <w:t>116</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580B4B5" w14:textId="77777777" w:rsidR="00EB6564" w:rsidRDefault="00EB6564">
            <w:pPr>
              <w:pStyle w:val="06cTABLETEXT"/>
              <w:jc w:val="center"/>
            </w:pPr>
            <w:r>
              <w:t>53</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5A17AF6"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EF72F44" w14:textId="77777777" w:rsidR="00EB6564" w:rsidRDefault="00EB6564">
            <w:pPr>
              <w:pStyle w:val="06cTABLETEXT"/>
              <w:jc w:val="center"/>
            </w:pPr>
            <w:r>
              <w:t>73</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BDD463A" w14:textId="77777777" w:rsidR="00EB6564" w:rsidRDefault="00EB6564">
            <w:pPr>
              <w:pStyle w:val="06cTABLETEXT"/>
              <w:jc w:val="center"/>
            </w:pPr>
            <w:r>
              <w:t>7873</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2DC0919" w14:textId="77777777" w:rsidR="00EB6564" w:rsidRDefault="00EB6564">
            <w:pPr>
              <w:pStyle w:val="06cTABLETEXT"/>
              <w:jc w:val="center"/>
            </w:pPr>
            <w:r>
              <w:rPr>
                <w:rStyle w:val="BOLD"/>
              </w:rPr>
              <w:t>15</w:t>
            </w:r>
          </w:p>
        </w:tc>
      </w:tr>
      <w:tr w:rsidR="00EB6564" w14:paraId="63F4E14C"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9923911" w14:textId="77777777" w:rsidR="00EB6564" w:rsidRDefault="00EB6564">
            <w:pPr>
              <w:pStyle w:val="06cTABLETEXT"/>
              <w:jc w:val="center"/>
            </w:pPr>
            <w:r>
              <w:rPr>
                <w:rStyle w:val="BOLD"/>
              </w:rPr>
              <w:t>R</w:t>
            </w:r>
          </w:p>
        </w:tc>
        <w:tc>
          <w:tcPr>
            <w:tcW w:w="12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A435FE" w14:textId="77777777" w:rsidR="00EB6564" w:rsidRDefault="00EB6564">
            <w:pPr>
              <w:pStyle w:val="06cTABLETEXT"/>
            </w:pPr>
            <w:r>
              <w:rPr>
                <w:rStyle w:val="BOLD"/>
              </w:rPr>
              <w:t>Clinical/pharmaceutical</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BB80B92" w14:textId="77777777" w:rsidR="00EB6564" w:rsidRDefault="00EB6564">
            <w:pPr>
              <w:pStyle w:val="06cTABLETEXT"/>
              <w:jc w:val="center"/>
            </w:pPr>
            <w:r>
              <w:t xml:space="preserve"> 528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A09FA6" w14:textId="77777777" w:rsidR="00EB6564" w:rsidRDefault="00EB6564">
            <w:pPr>
              <w:pStyle w:val="06cTABLETEXT"/>
              <w:jc w:val="center"/>
            </w:pPr>
            <w:r>
              <w:rPr>
                <w:caps/>
              </w:rP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319ABAC" w14:textId="77777777" w:rsidR="00EB6564" w:rsidRDefault="00EB6564">
            <w:pPr>
              <w:pStyle w:val="06cTABLETEXT"/>
              <w:jc w:val="center"/>
            </w:pPr>
            <w:r>
              <w:t xml:space="preserve"> 62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ADBD5CD" w14:textId="77777777" w:rsidR="00EB6564" w:rsidRDefault="00EB6564">
            <w:pPr>
              <w:pStyle w:val="06cTABLETEXT"/>
              <w:jc w:val="center"/>
            </w:pPr>
            <w:r>
              <w:t>253</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EA5FE1B" w14:textId="77777777" w:rsidR="00EB6564" w:rsidRDefault="00EB6564">
            <w:pPr>
              <w:pStyle w:val="06cTABLETEXT"/>
              <w:jc w:val="center"/>
            </w:pPr>
            <w:r>
              <w:t>337</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112031C" w14:textId="77777777" w:rsidR="00EB6564" w:rsidRDefault="00EB6564">
            <w:pPr>
              <w:pStyle w:val="06cTABLETEXT"/>
              <w:jc w:val="center"/>
            </w:pPr>
            <w:r>
              <w:t>7</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B0E36F2"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B5E995D" w14:textId="77777777" w:rsidR="00EB6564" w:rsidRDefault="00EB6564">
            <w:pPr>
              <w:pStyle w:val="06cTABLETEXT"/>
              <w:jc w:val="center"/>
            </w:pPr>
            <w:r>
              <w:t>12</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72E4826" w14:textId="77777777" w:rsidR="00EB6564" w:rsidRDefault="00EB6564">
            <w:pPr>
              <w:pStyle w:val="06cTABLETEXT"/>
              <w:jc w:val="center"/>
            </w:pPr>
            <w:r>
              <w:t>1199</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5929899" w14:textId="77777777" w:rsidR="00EB6564" w:rsidRDefault="00EB6564">
            <w:pPr>
              <w:pStyle w:val="06cTABLETEXT"/>
              <w:jc w:val="center"/>
            </w:pPr>
            <w:r>
              <w:rPr>
                <w:rStyle w:val="BOLD"/>
              </w:rPr>
              <w:t>2</w:t>
            </w:r>
          </w:p>
        </w:tc>
      </w:tr>
      <w:tr w:rsidR="00EB6564" w14:paraId="4F1FC43D"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47417E5" w14:textId="77777777" w:rsidR="00EB6564" w:rsidRDefault="00EB6564">
            <w:pPr>
              <w:pStyle w:val="06cTABLETEXT"/>
              <w:jc w:val="center"/>
            </w:pPr>
            <w:r>
              <w:rPr>
                <w:rStyle w:val="BOLD"/>
              </w:rPr>
              <w:t>T</w:t>
            </w:r>
          </w:p>
        </w:tc>
        <w:tc>
          <w:tcPr>
            <w:tcW w:w="127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4C58CA0" w14:textId="77777777" w:rsidR="00EB6564" w:rsidRDefault="00EB6564">
            <w:pPr>
              <w:pStyle w:val="06cTABLETEXT"/>
            </w:pPr>
            <w:r>
              <w:rPr>
                <w:rStyle w:val="BOLD"/>
              </w:rPr>
              <w:t>Misc.</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9B0A733" w14:textId="77777777" w:rsidR="00EB6564" w:rsidRDefault="00EB6564">
            <w:pPr>
              <w:pStyle w:val="06cTABLETEXT"/>
              <w:jc w:val="center"/>
            </w:pPr>
            <w:r>
              <w:t xml:space="preserve"> 5,672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0B1789" w14:textId="77777777" w:rsidR="00EB6564" w:rsidRDefault="00EB6564">
            <w:pPr>
              <w:pStyle w:val="06cTABLETEXT"/>
              <w:jc w:val="center"/>
            </w:pPr>
            <w:r>
              <w:rPr>
                <w:caps/>
              </w:rP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992AB9A" w14:textId="77777777" w:rsidR="00EB6564" w:rsidRDefault="00EB6564">
            <w:pPr>
              <w:pStyle w:val="06cTABLETEXT"/>
              <w:jc w:val="center"/>
            </w:pPr>
            <w:r>
              <w:t xml:space="preserve"> 0 </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ACDFBB3" w14:textId="77777777" w:rsidR="00EB6564" w:rsidRDefault="00EB6564">
            <w:pPr>
              <w:pStyle w:val="06cTABLETEXT"/>
              <w:jc w:val="center"/>
            </w:pPr>
            <w:r>
              <w:t>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B3DEA2D" w14:textId="77777777" w:rsidR="00EB6564" w:rsidRDefault="00EB6564">
            <w:pPr>
              <w:pStyle w:val="06cTABLETEXT"/>
              <w:jc w:val="center"/>
            </w:pPr>
            <w:r>
              <w:t>2130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14DACC5" w14:textId="77777777" w:rsidR="00EB6564" w:rsidRDefault="00EB6564">
            <w:pPr>
              <w:pStyle w:val="06cTABLETEXT"/>
              <w:jc w:val="center"/>
            </w:pPr>
            <w:r>
              <w:t>6</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BE9D509" w14:textId="77777777" w:rsidR="00EB6564" w:rsidRDefault="00EB6564">
            <w:pPr>
              <w:pStyle w:val="06cTABLETEXT"/>
              <w:jc w:val="center"/>
            </w:pPr>
            <w:r>
              <w:t>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49EA173" w14:textId="77777777" w:rsidR="00EB6564" w:rsidRDefault="00EB6564">
            <w:pPr>
              <w:pStyle w:val="06cTABLETEXT"/>
              <w:jc w:val="center"/>
            </w:pPr>
            <w:r>
              <w:t>11</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4A470D3" w14:textId="77777777" w:rsidR="00EB6564" w:rsidRDefault="00EB6564">
            <w:pPr>
              <w:pStyle w:val="06cTABLETEXT"/>
              <w:jc w:val="center"/>
            </w:pPr>
            <w:r>
              <w:t>7819</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3892365" w14:textId="77777777" w:rsidR="00EB6564" w:rsidRDefault="00EB6564">
            <w:pPr>
              <w:pStyle w:val="06cTABLETEXT"/>
              <w:jc w:val="center"/>
            </w:pPr>
            <w:r>
              <w:rPr>
                <w:rStyle w:val="BOLD"/>
              </w:rPr>
              <w:t>15</w:t>
            </w:r>
          </w:p>
        </w:tc>
      </w:tr>
      <w:tr w:rsidR="00EB6564" w14:paraId="04461CC0" w14:textId="77777777">
        <w:trPr>
          <w:trHeight w:val="60"/>
        </w:trPr>
        <w:tc>
          <w:tcPr>
            <w:tcW w:w="307" w:type="dxa"/>
            <w:tcBorders>
              <w:top w:val="single" w:sz="4" w:space="0" w:color="FFFFFF"/>
              <w:left w:val="single" w:sz="4" w:space="0" w:color="FFFFFF"/>
              <w:bottom w:val="single" w:sz="4" w:space="0" w:color="FFFFFF"/>
              <w:right w:val="single" w:sz="4" w:space="0" w:color="FFFFFF"/>
            </w:tcBorders>
            <w:shd w:val="solid" w:color="FFFFFF" w:fill="auto"/>
            <w:tcMar>
              <w:top w:w="85" w:type="dxa"/>
              <w:left w:w="0" w:type="dxa"/>
              <w:bottom w:w="85" w:type="dxa"/>
              <w:right w:w="0" w:type="dxa"/>
            </w:tcMar>
            <w:vAlign w:val="center"/>
          </w:tcPr>
          <w:p w14:paraId="10B83D3E" w14:textId="77777777" w:rsidR="00EB6564" w:rsidRDefault="00EB6564">
            <w:pPr>
              <w:pStyle w:val="NoParagraphStyle"/>
              <w:spacing w:line="240" w:lineRule="auto"/>
              <w:textAlignment w:val="auto"/>
              <w:rPr>
                <w:rFonts w:ascii="Calibri" w:hAnsi="Calibri" w:cs="Calibri"/>
                <w:color w:val="auto"/>
              </w:rPr>
            </w:pPr>
          </w:p>
        </w:tc>
        <w:tc>
          <w:tcPr>
            <w:tcW w:w="1275" w:type="dxa"/>
            <w:tcBorders>
              <w:top w:val="single" w:sz="4" w:space="0" w:color="FFFFFF"/>
              <w:left w:val="single" w:sz="4" w:space="0" w:color="FFFFFF"/>
              <w:bottom w:val="single" w:sz="4" w:space="0" w:color="FFFFFF"/>
              <w:right w:val="single" w:sz="4" w:space="0" w:color="FFFFFF"/>
            </w:tcBorders>
            <w:shd w:val="solid" w:color="FFFFFF" w:fill="auto"/>
            <w:tcMar>
              <w:top w:w="85" w:type="dxa"/>
              <w:left w:w="85" w:type="dxa"/>
              <w:bottom w:w="85" w:type="dxa"/>
              <w:right w:w="85" w:type="dxa"/>
            </w:tcMar>
            <w:vAlign w:val="center"/>
          </w:tcPr>
          <w:p w14:paraId="07122847" w14:textId="77777777" w:rsidR="00EB6564" w:rsidRDefault="00EB6564">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FFFFF" w:fill="auto"/>
            <w:tcMar>
              <w:top w:w="85" w:type="dxa"/>
              <w:left w:w="0" w:type="dxa"/>
              <w:bottom w:w="85" w:type="dxa"/>
              <w:right w:w="0" w:type="dxa"/>
            </w:tcMar>
            <w:vAlign w:val="center"/>
          </w:tcPr>
          <w:p w14:paraId="5E9FDA79" w14:textId="77777777" w:rsidR="00EB6564" w:rsidRDefault="00EB6564">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FFFFF" w:fill="auto"/>
            <w:tcMar>
              <w:top w:w="85" w:type="dxa"/>
              <w:left w:w="0" w:type="dxa"/>
              <w:bottom w:w="85" w:type="dxa"/>
              <w:right w:w="0" w:type="dxa"/>
            </w:tcMar>
            <w:vAlign w:val="center"/>
          </w:tcPr>
          <w:p w14:paraId="358D3404" w14:textId="77777777" w:rsidR="00EB6564" w:rsidRDefault="00EB6564">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FFFFF" w:fill="auto"/>
            <w:tcMar>
              <w:top w:w="85" w:type="dxa"/>
              <w:left w:w="0" w:type="dxa"/>
              <w:bottom w:w="85" w:type="dxa"/>
              <w:right w:w="0" w:type="dxa"/>
            </w:tcMar>
            <w:vAlign w:val="center"/>
          </w:tcPr>
          <w:p w14:paraId="0511520D" w14:textId="77777777" w:rsidR="00EB6564" w:rsidRDefault="00EB6564">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FFFFF" w:fill="auto"/>
            <w:tcMar>
              <w:top w:w="85" w:type="dxa"/>
              <w:left w:w="0" w:type="dxa"/>
              <w:bottom w:w="85" w:type="dxa"/>
              <w:right w:w="0" w:type="dxa"/>
            </w:tcMar>
            <w:vAlign w:val="center"/>
          </w:tcPr>
          <w:p w14:paraId="048572FA" w14:textId="77777777" w:rsidR="00EB6564" w:rsidRDefault="00EB6564">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FFFFF" w:fill="auto"/>
            <w:tcMar>
              <w:top w:w="85" w:type="dxa"/>
              <w:left w:w="0" w:type="dxa"/>
              <w:bottom w:w="85" w:type="dxa"/>
              <w:right w:w="0" w:type="dxa"/>
            </w:tcMar>
            <w:vAlign w:val="center"/>
          </w:tcPr>
          <w:p w14:paraId="0E98816B" w14:textId="77777777" w:rsidR="00EB6564" w:rsidRDefault="00EB6564">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FFFFF" w:fill="auto"/>
            <w:tcMar>
              <w:top w:w="85" w:type="dxa"/>
              <w:left w:w="0" w:type="dxa"/>
              <w:bottom w:w="85" w:type="dxa"/>
              <w:right w:w="0" w:type="dxa"/>
            </w:tcMar>
            <w:vAlign w:val="center"/>
          </w:tcPr>
          <w:p w14:paraId="0BA999E0" w14:textId="77777777" w:rsidR="00EB6564" w:rsidRDefault="00EB6564">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FFFFF" w:fill="auto"/>
            <w:tcMar>
              <w:top w:w="85" w:type="dxa"/>
              <w:left w:w="0" w:type="dxa"/>
              <w:bottom w:w="85" w:type="dxa"/>
              <w:right w:w="0" w:type="dxa"/>
            </w:tcMar>
            <w:vAlign w:val="center"/>
          </w:tcPr>
          <w:p w14:paraId="0480DC1A" w14:textId="77777777" w:rsidR="00EB6564" w:rsidRDefault="00EB6564">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E888DFC" w14:textId="77777777" w:rsidR="00EB6564" w:rsidRDefault="00EB6564">
            <w:pPr>
              <w:pStyle w:val="06cTABLETEXT"/>
              <w:jc w:val="center"/>
            </w:pPr>
            <w:r>
              <w:rPr>
                <w:rStyle w:val="BOLD"/>
              </w:rPr>
              <w:t>TOTAL</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7BBF3C2" w14:textId="77777777" w:rsidR="00EB6564" w:rsidRDefault="00EB6564">
            <w:pPr>
              <w:pStyle w:val="06cTABLETEXT"/>
              <w:jc w:val="center"/>
            </w:pPr>
            <w:r>
              <w:rPr>
                <w:rStyle w:val="BOLD"/>
              </w:rPr>
              <w:t>53465</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08332F1" w14:textId="77777777" w:rsidR="00EB6564" w:rsidRDefault="00EB6564">
            <w:pPr>
              <w:pStyle w:val="06cTABLETEXT"/>
              <w:jc w:val="center"/>
            </w:pPr>
            <w:r>
              <w:rPr>
                <w:rStyle w:val="BOLD"/>
              </w:rPr>
              <w:t>100</w:t>
            </w:r>
          </w:p>
        </w:tc>
      </w:tr>
    </w:tbl>
    <w:p w14:paraId="2019F32C" w14:textId="77777777" w:rsidR="00EB6564" w:rsidRDefault="00EB6564" w:rsidP="00EB6564">
      <w:pPr>
        <w:pStyle w:val="05BODYTEXT"/>
      </w:pPr>
    </w:p>
    <w:p w14:paraId="1E9295FC" w14:textId="77777777" w:rsidR="00EB6564" w:rsidRDefault="00EB6564" w:rsidP="00EB6564">
      <w:pPr>
        <w:pStyle w:val="06TABLEHEADING"/>
      </w:pPr>
      <w:r>
        <w:t>Table 3: Discrepancies in movements of controlled waste into Victoria for the period 1 July 2018 to 30 June 2019—percentage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398"/>
        <w:gridCol w:w="656"/>
        <w:gridCol w:w="655"/>
        <w:gridCol w:w="656"/>
        <w:gridCol w:w="655"/>
        <w:gridCol w:w="656"/>
        <w:gridCol w:w="655"/>
        <w:gridCol w:w="656"/>
        <w:gridCol w:w="655"/>
        <w:gridCol w:w="789"/>
      </w:tblGrid>
      <w:tr w:rsidR="00EB6564" w14:paraId="0E733EEF" w14:textId="77777777">
        <w:trPr>
          <w:trHeight w:val="60"/>
          <w:tblHeader/>
        </w:trPr>
        <w:tc>
          <w:tcPr>
            <w:tcW w:w="139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890A475" w14:textId="77777777" w:rsidR="00EB6564" w:rsidRDefault="00EB6564">
            <w:pPr>
              <w:pStyle w:val="06bTABLEHEADERROW"/>
            </w:pPr>
            <w:r>
              <w:t>Discrepancy Type</w:t>
            </w:r>
          </w:p>
        </w:tc>
        <w:tc>
          <w:tcPr>
            <w:tcW w:w="65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0021A62" w14:textId="77777777" w:rsidR="00EB6564" w:rsidRDefault="00EB6564">
            <w:pPr>
              <w:pStyle w:val="06bTABLEHEADERROW"/>
              <w:jc w:val="center"/>
            </w:pPr>
            <w:r>
              <w:t>NSW</w:t>
            </w:r>
          </w:p>
        </w:tc>
        <w:tc>
          <w:tcPr>
            <w:tcW w:w="65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BBB016F" w14:textId="77777777" w:rsidR="00EB6564" w:rsidRDefault="00EB6564">
            <w:pPr>
              <w:pStyle w:val="06bTABLEHEADERROW"/>
              <w:jc w:val="center"/>
            </w:pPr>
            <w:r>
              <w:t>Vic</w:t>
            </w:r>
          </w:p>
        </w:tc>
        <w:tc>
          <w:tcPr>
            <w:tcW w:w="65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032E560" w14:textId="77777777" w:rsidR="00EB6564" w:rsidRDefault="00EB6564">
            <w:pPr>
              <w:pStyle w:val="06bTABLEHEADERROW"/>
              <w:jc w:val="center"/>
            </w:pPr>
            <w:r>
              <w:t>Qld</w:t>
            </w:r>
          </w:p>
        </w:tc>
        <w:tc>
          <w:tcPr>
            <w:tcW w:w="65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B967CDA" w14:textId="77777777" w:rsidR="00EB6564" w:rsidRDefault="00EB6564">
            <w:pPr>
              <w:pStyle w:val="06bTABLEHEADERROW"/>
              <w:jc w:val="center"/>
            </w:pPr>
            <w:r>
              <w:t>WA</w:t>
            </w:r>
          </w:p>
        </w:tc>
        <w:tc>
          <w:tcPr>
            <w:tcW w:w="65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7407D07" w14:textId="77777777" w:rsidR="00EB6564" w:rsidRDefault="00EB6564">
            <w:pPr>
              <w:pStyle w:val="06bTABLEHEADERROW"/>
              <w:jc w:val="center"/>
            </w:pPr>
            <w:r>
              <w:t>SA</w:t>
            </w:r>
          </w:p>
        </w:tc>
        <w:tc>
          <w:tcPr>
            <w:tcW w:w="65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0095A7A" w14:textId="77777777" w:rsidR="00EB6564" w:rsidRDefault="00EB6564">
            <w:pPr>
              <w:pStyle w:val="06bTABLEHEADERROW"/>
              <w:jc w:val="center"/>
            </w:pPr>
            <w:r>
              <w:t>Tas</w:t>
            </w:r>
          </w:p>
        </w:tc>
        <w:tc>
          <w:tcPr>
            <w:tcW w:w="65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1E0A136" w14:textId="77777777" w:rsidR="00EB6564" w:rsidRDefault="00EB6564">
            <w:pPr>
              <w:pStyle w:val="06bTABLEHEADERROW"/>
              <w:jc w:val="center"/>
            </w:pPr>
            <w:r>
              <w:t>ACT</w:t>
            </w:r>
          </w:p>
        </w:tc>
        <w:tc>
          <w:tcPr>
            <w:tcW w:w="65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1955283" w14:textId="77777777" w:rsidR="00EB6564" w:rsidRDefault="00EB6564">
            <w:pPr>
              <w:pStyle w:val="06bTABLEHEADERROW"/>
              <w:jc w:val="center"/>
            </w:pPr>
            <w:r>
              <w:t>NT</w:t>
            </w:r>
          </w:p>
        </w:tc>
        <w:tc>
          <w:tcPr>
            <w:tcW w:w="789"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788B2E11" w14:textId="77777777" w:rsidR="00EB6564" w:rsidRDefault="00EB6564">
            <w:pPr>
              <w:pStyle w:val="06bTABLEHEADERROW"/>
              <w:jc w:val="center"/>
            </w:pPr>
            <w:r>
              <w:t>Ext Terr *</w:t>
            </w:r>
          </w:p>
        </w:tc>
      </w:tr>
      <w:tr w:rsidR="00EB6564" w14:paraId="34BFD649" w14:textId="77777777">
        <w:trPr>
          <w:trHeight w:val="60"/>
        </w:trPr>
        <w:tc>
          <w:tcPr>
            <w:tcW w:w="139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6421AEE" w14:textId="77777777" w:rsidR="00EB6564" w:rsidRDefault="00EB6564">
            <w:pPr>
              <w:pStyle w:val="06cTABLETEXT"/>
            </w:pPr>
            <w:r>
              <w:rPr>
                <w:rStyle w:val="BOLD"/>
              </w:rPr>
              <w:t>Consignment non-arrival</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1020EF"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CC500F" w14:textId="77777777" w:rsidR="00EB6564" w:rsidRDefault="00EB6564">
            <w:pPr>
              <w:pStyle w:val="06cTABLETEXT"/>
              <w:jc w:val="center"/>
            </w:pPr>
            <w:r>
              <w:rPr>
                <w:caps/>
              </w:rPr>
              <w:t>N/A</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28241F"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FE767B" w14:textId="77777777" w:rsidR="00EB6564" w:rsidRDefault="00EB6564">
            <w:pPr>
              <w:pStyle w:val="06cTABLETEXT"/>
              <w:jc w:val="center"/>
            </w:pPr>
            <w:r>
              <w:rPr>
                <w:caps/>
              </w:rPr>
              <w:t>N/A</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140F85"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A43C0E" w14:textId="77777777" w:rsidR="00EB6564" w:rsidRDefault="00EB6564">
            <w:pPr>
              <w:pStyle w:val="06cTABLETEXT"/>
              <w:jc w:val="center"/>
            </w:pPr>
            <w:r>
              <w:rPr>
                <w:caps/>
              </w:rPr>
              <w:t>N/A</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1A0BDA8"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987DF9" w14:textId="77777777" w:rsidR="00EB6564" w:rsidRDefault="00EB6564">
            <w:pPr>
              <w:pStyle w:val="06cTABLETEXT"/>
              <w:jc w:val="center"/>
            </w:pPr>
            <w:r>
              <w:rPr>
                <w:caps/>
              </w:rPr>
              <w:t>N/A</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B2565D2" w14:textId="77777777" w:rsidR="00EB6564" w:rsidRDefault="00EB6564">
            <w:pPr>
              <w:pStyle w:val="06cTABLETEXT"/>
              <w:jc w:val="center"/>
            </w:pPr>
            <w:r>
              <w:rPr>
                <w:caps/>
              </w:rPr>
              <w:t>N/A</w:t>
            </w:r>
          </w:p>
        </w:tc>
      </w:tr>
      <w:tr w:rsidR="00EB6564" w14:paraId="73316685" w14:textId="77777777">
        <w:trPr>
          <w:trHeight w:val="60"/>
        </w:trPr>
        <w:tc>
          <w:tcPr>
            <w:tcW w:w="139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8C7810" w14:textId="77777777" w:rsidR="00EB6564" w:rsidRDefault="00EB6564">
            <w:pPr>
              <w:pStyle w:val="06cTABLETEXT"/>
            </w:pPr>
            <w:r>
              <w:rPr>
                <w:rStyle w:val="BOLD"/>
              </w:rPr>
              <w:t>Transport without authorisation</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DE6CF39"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A891EE" w14:textId="77777777" w:rsidR="00EB6564" w:rsidRDefault="00EB6564">
            <w:pPr>
              <w:pStyle w:val="06cTABLETEXT"/>
              <w:jc w:val="center"/>
            </w:pPr>
            <w:r>
              <w:rPr>
                <w:caps/>
              </w:rPr>
              <w:t>N/A</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FF3113A"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E8DFFF" w14:textId="77777777" w:rsidR="00EB6564" w:rsidRDefault="00EB6564">
            <w:pPr>
              <w:pStyle w:val="06cTABLETEXT"/>
              <w:jc w:val="center"/>
            </w:pPr>
            <w:r>
              <w:rPr>
                <w:caps/>
              </w:rPr>
              <w:t>N/A</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E61247"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F580311" w14:textId="77777777" w:rsidR="00EB6564" w:rsidRDefault="00EB6564">
            <w:pPr>
              <w:pStyle w:val="06cTABLETEXT"/>
              <w:jc w:val="center"/>
            </w:pPr>
            <w:r>
              <w:rPr>
                <w:caps/>
              </w:rPr>
              <w:t>N/A</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7A4B6A"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4ABE9BC" w14:textId="77777777" w:rsidR="00EB6564" w:rsidRDefault="00EB6564">
            <w:pPr>
              <w:pStyle w:val="06cTABLETEXT"/>
              <w:jc w:val="center"/>
            </w:pPr>
            <w:r>
              <w:rPr>
                <w:caps/>
              </w:rPr>
              <w:t>N/A</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232D566" w14:textId="77777777" w:rsidR="00EB6564" w:rsidRDefault="00EB6564">
            <w:pPr>
              <w:pStyle w:val="06cTABLETEXT"/>
              <w:jc w:val="center"/>
            </w:pPr>
            <w:r>
              <w:rPr>
                <w:caps/>
              </w:rPr>
              <w:t>N/A</w:t>
            </w:r>
          </w:p>
        </w:tc>
      </w:tr>
      <w:tr w:rsidR="00EB6564" w14:paraId="1E941082" w14:textId="77777777">
        <w:trPr>
          <w:trHeight w:val="60"/>
        </w:trPr>
        <w:tc>
          <w:tcPr>
            <w:tcW w:w="139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36EC90" w14:textId="77777777" w:rsidR="00EB6564" w:rsidRDefault="00EB6564">
            <w:pPr>
              <w:pStyle w:val="06cTABLETEXT"/>
            </w:pPr>
            <w:r>
              <w:rPr>
                <w:rStyle w:val="BOLD"/>
              </w:rPr>
              <w:t>Non-matching documentation</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B1E1E9C"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D893FC2" w14:textId="77777777" w:rsidR="00EB6564" w:rsidRDefault="00EB6564">
            <w:pPr>
              <w:pStyle w:val="06cTABLETEXT"/>
              <w:jc w:val="center"/>
            </w:pPr>
            <w:r>
              <w:rPr>
                <w:caps/>
              </w:rPr>
              <w:t>N/A</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5FBD56"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4EF4723" w14:textId="77777777" w:rsidR="00EB6564" w:rsidRDefault="00EB6564">
            <w:pPr>
              <w:pStyle w:val="06cTABLETEXT"/>
              <w:jc w:val="center"/>
            </w:pPr>
            <w:r>
              <w:rPr>
                <w:caps/>
              </w:rPr>
              <w:t>N/A</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88DAB7"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3B5F84" w14:textId="77777777" w:rsidR="00EB6564" w:rsidRDefault="00EB6564">
            <w:pPr>
              <w:pStyle w:val="06cTABLETEXT"/>
              <w:jc w:val="center"/>
            </w:pPr>
            <w:r>
              <w:rPr>
                <w:caps/>
              </w:rPr>
              <w:t>N/A</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CC3E46"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D7DA572" w14:textId="77777777" w:rsidR="00EB6564" w:rsidRDefault="00EB6564">
            <w:pPr>
              <w:pStyle w:val="06cTABLETEXT"/>
              <w:jc w:val="center"/>
            </w:pPr>
            <w:r>
              <w:rPr>
                <w:caps/>
              </w:rPr>
              <w:t>N/A</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840F215" w14:textId="77777777" w:rsidR="00EB6564" w:rsidRDefault="00EB6564">
            <w:pPr>
              <w:pStyle w:val="06cTABLETEXT"/>
              <w:jc w:val="center"/>
            </w:pPr>
            <w:r>
              <w:rPr>
                <w:caps/>
              </w:rPr>
              <w:t>N/A</w:t>
            </w:r>
          </w:p>
        </w:tc>
      </w:tr>
      <w:tr w:rsidR="00EB6564" w14:paraId="5A5B8F9F" w14:textId="77777777">
        <w:trPr>
          <w:trHeight w:val="60"/>
        </w:trPr>
        <w:tc>
          <w:tcPr>
            <w:tcW w:w="139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4A0EE3" w14:textId="77777777" w:rsidR="00EB6564" w:rsidRDefault="00EB6564">
            <w:pPr>
              <w:pStyle w:val="06cTABLETEXT"/>
            </w:pPr>
            <w:r>
              <w:rPr>
                <w:rStyle w:val="BOLD"/>
              </w:rPr>
              <w:t>Waste data</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129F522"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ADC496" w14:textId="77777777" w:rsidR="00EB6564" w:rsidRDefault="00EB6564">
            <w:pPr>
              <w:pStyle w:val="06cTABLETEXT"/>
              <w:jc w:val="center"/>
            </w:pPr>
            <w:r>
              <w:rPr>
                <w:caps/>
              </w:rPr>
              <w:t>N/A</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5B80EA"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6D6ED1" w14:textId="77777777" w:rsidR="00EB6564" w:rsidRDefault="00EB6564">
            <w:pPr>
              <w:pStyle w:val="06cTABLETEXT"/>
              <w:jc w:val="center"/>
            </w:pPr>
            <w:r>
              <w:rPr>
                <w:caps/>
              </w:rPr>
              <w:t>N/A</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4131A6"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1A9276" w14:textId="77777777" w:rsidR="00EB6564" w:rsidRDefault="00EB6564">
            <w:pPr>
              <w:pStyle w:val="06cTABLETEXT"/>
              <w:jc w:val="center"/>
            </w:pPr>
            <w:r>
              <w:rPr>
                <w:caps/>
              </w:rPr>
              <w:t>N/A</w:t>
            </w:r>
          </w:p>
        </w:tc>
        <w:tc>
          <w:tcPr>
            <w:tcW w:w="6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717496" w14:textId="77777777" w:rsidR="00EB6564" w:rsidRDefault="00EB6564">
            <w:pPr>
              <w:pStyle w:val="06cTABLETEXT"/>
              <w:jc w:val="center"/>
            </w:pPr>
            <w:r>
              <w:rPr>
                <w:caps/>
              </w:rPr>
              <w:t>N/A</w:t>
            </w:r>
          </w:p>
        </w:tc>
        <w:tc>
          <w:tcPr>
            <w:tcW w:w="6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926F6A" w14:textId="77777777" w:rsidR="00EB6564" w:rsidRDefault="00EB6564">
            <w:pPr>
              <w:pStyle w:val="06cTABLETEXT"/>
              <w:jc w:val="center"/>
            </w:pPr>
            <w:r>
              <w:rPr>
                <w:caps/>
              </w:rPr>
              <w:t>N/A</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1C915F1" w14:textId="77777777" w:rsidR="00EB6564" w:rsidRDefault="00EB6564">
            <w:pPr>
              <w:pStyle w:val="06cTABLETEXT"/>
              <w:jc w:val="center"/>
            </w:pPr>
            <w:r>
              <w:rPr>
                <w:caps/>
              </w:rPr>
              <w:t>N/A</w:t>
            </w:r>
          </w:p>
        </w:tc>
      </w:tr>
    </w:tbl>
    <w:p w14:paraId="27AEA22F" w14:textId="77777777" w:rsidR="00EB6564" w:rsidRDefault="00EB6564" w:rsidP="00EB6564">
      <w:pPr>
        <w:pStyle w:val="06TABLEHEADING"/>
      </w:pPr>
      <w:r>
        <w:t>Table 4: Number of movements of controlled waste into Victoria for the period 1 July 2018 to 30 June 2019</w:t>
      </w:r>
    </w:p>
    <w:tbl>
      <w:tblPr>
        <w:tblW w:w="0" w:type="auto"/>
        <w:tblInd w:w="-5" w:type="dxa"/>
        <w:tblLayout w:type="fixed"/>
        <w:tblCellMar>
          <w:left w:w="0" w:type="dxa"/>
          <w:right w:w="0" w:type="dxa"/>
        </w:tblCellMar>
        <w:tblLook w:val="0000" w:firstRow="0" w:lastRow="0" w:firstColumn="0" w:lastColumn="0" w:noHBand="0" w:noVBand="0"/>
      </w:tblPr>
      <w:tblGrid>
        <w:gridCol w:w="794"/>
        <w:gridCol w:w="794"/>
        <w:gridCol w:w="794"/>
        <w:gridCol w:w="794"/>
        <w:gridCol w:w="794"/>
        <w:gridCol w:w="794"/>
        <w:gridCol w:w="794"/>
        <w:gridCol w:w="794"/>
        <w:gridCol w:w="1077"/>
      </w:tblGrid>
      <w:tr w:rsidR="00EB6564" w14:paraId="37177A34" w14:textId="77777777">
        <w:trPr>
          <w:trHeight w:val="60"/>
          <w:tblHeader/>
        </w:trPr>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190ADD4" w14:textId="77777777" w:rsidR="00EB6564" w:rsidRDefault="00EB6564">
            <w:pPr>
              <w:pStyle w:val="06bTABLEHEADERROW"/>
              <w:jc w:val="center"/>
            </w:pPr>
            <w:r>
              <w:t>NSW</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669862A" w14:textId="77777777" w:rsidR="00EB6564" w:rsidRDefault="00EB6564">
            <w:pPr>
              <w:pStyle w:val="06bTABLEHEADERROW"/>
              <w:jc w:val="center"/>
            </w:pPr>
            <w:r>
              <w:t>Vic</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94CE5AE" w14:textId="77777777" w:rsidR="00EB6564" w:rsidRDefault="00EB6564">
            <w:pPr>
              <w:pStyle w:val="06bTABLEHEADERROW"/>
              <w:jc w:val="center"/>
            </w:pPr>
            <w:r>
              <w:t>Qld</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61417AF" w14:textId="77777777" w:rsidR="00EB6564" w:rsidRDefault="00EB6564">
            <w:pPr>
              <w:pStyle w:val="06bTABLEHEADERROW"/>
              <w:jc w:val="center"/>
            </w:pPr>
            <w:r>
              <w:t>WA</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BDD5563" w14:textId="77777777" w:rsidR="00EB6564" w:rsidRDefault="00EB6564">
            <w:pPr>
              <w:pStyle w:val="06bTABLEHEADERROW"/>
              <w:jc w:val="center"/>
            </w:pPr>
            <w:r>
              <w:t>SA</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5219561" w14:textId="77777777" w:rsidR="00EB6564" w:rsidRDefault="00EB6564">
            <w:pPr>
              <w:pStyle w:val="06bTABLEHEADERROW"/>
              <w:jc w:val="center"/>
            </w:pPr>
            <w:r>
              <w:t>Tas</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46C589E" w14:textId="77777777" w:rsidR="00EB6564" w:rsidRDefault="00EB6564">
            <w:pPr>
              <w:pStyle w:val="06bTABLEHEADERROW"/>
              <w:jc w:val="center"/>
            </w:pPr>
            <w:r>
              <w:t>ACT</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B908FF1" w14:textId="77777777" w:rsidR="00EB6564" w:rsidRDefault="00EB6564">
            <w:pPr>
              <w:pStyle w:val="06bTABLEHEADERROW"/>
              <w:jc w:val="center"/>
            </w:pPr>
            <w:r>
              <w:t>NT</w:t>
            </w:r>
          </w:p>
        </w:tc>
        <w:tc>
          <w:tcPr>
            <w:tcW w:w="10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3EF1C24" w14:textId="77777777" w:rsidR="00EB6564" w:rsidRDefault="00EB6564">
            <w:pPr>
              <w:pStyle w:val="06bTABLEHEADERROW"/>
              <w:jc w:val="center"/>
            </w:pPr>
            <w:r>
              <w:t>Ext Terr*</w:t>
            </w:r>
          </w:p>
        </w:tc>
      </w:tr>
      <w:tr w:rsidR="00EB6564" w14:paraId="0909EFF5" w14:textId="77777777">
        <w:trPr>
          <w:trHeight w:val="60"/>
        </w:trPr>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B7F0BD" w14:textId="77777777" w:rsidR="00EB6564" w:rsidRDefault="00EB6564">
            <w:pPr>
              <w:pStyle w:val="06cTABLETEXT"/>
              <w:jc w:val="center"/>
            </w:pPr>
            <w:r>
              <w:t>2212</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9B3FF4" w14:textId="77777777" w:rsidR="00EB6564" w:rsidRDefault="00EB6564">
            <w:pPr>
              <w:pStyle w:val="06cTABLETEXT"/>
              <w:jc w:val="center"/>
            </w:pPr>
            <w:r>
              <w:t>N/A</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7F13D71" w14:textId="77777777" w:rsidR="00EB6564" w:rsidRDefault="00EB6564">
            <w:pPr>
              <w:pStyle w:val="06cTABLETEXT"/>
              <w:jc w:val="center"/>
            </w:pPr>
            <w:r>
              <w:t>299</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CCF1508" w14:textId="77777777" w:rsidR="00EB6564" w:rsidRDefault="00EB6564">
            <w:pPr>
              <w:pStyle w:val="06cTABLETEXT"/>
              <w:jc w:val="center"/>
            </w:pPr>
            <w:r>
              <w:t>642</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66ACD9" w14:textId="77777777" w:rsidR="00EB6564" w:rsidRDefault="00EB6564">
            <w:pPr>
              <w:pStyle w:val="06cTABLETEXT"/>
              <w:jc w:val="center"/>
            </w:pPr>
            <w:r>
              <w:t>670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01CB9C" w14:textId="77777777" w:rsidR="00EB6564" w:rsidRDefault="00EB6564">
            <w:pPr>
              <w:pStyle w:val="06cTABLETEXT"/>
              <w:jc w:val="center"/>
            </w:pPr>
            <w:r>
              <w:t>175</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ED0426"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BC515E6" w14:textId="77777777" w:rsidR="00EB6564" w:rsidRDefault="00EB6564">
            <w:pPr>
              <w:pStyle w:val="06cTABLETEXT"/>
              <w:jc w:val="center"/>
            </w:pPr>
            <w:r>
              <w:t>118</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E5E834" w14:textId="77777777" w:rsidR="00EB6564" w:rsidRDefault="00EB6564">
            <w:pPr>
              <w:pStyle w:val="06cTABLETEXT"/>
              <w:jc w:val="center"/>
            </w:pPr>
            <w:r>
              <w:t>0</w:t>
            </w:r>
          </w:p>
        </w:tc>
      </w:tr>
    </w:tbl>
    <w:p w14:paraId="0EBE4400" w14:textId="77777777" w:rsidR="00EB6564" w:rsidRPr="009408AB" w:rsidRDefault="00EB6564" w:rsidP="00CB0DA6">
      <w:pPr>
        <w:pStyle w:val="Heading2"/>
      </w:pPr>
      <w:bookmarkStart w:id="58" w:name="_Toc58254412"/>
      <w:r w:rsidRPr="009408AB">
        <w:t>Queensland</w:t>
      </w:r>
      <w:bookmarkEnd w:id="58"/>
    </w:p>
    <w:p w14:paraId="34436BF9" w14:textId="77777777" w:rsidR="00EB6564" w:rsidRDefault="00EB6564" w:rsidP="0008325A">
      <w:pPr>
        <w:pStyle w:val="05BODYTEXT"/>
        <w:keepNext/>
        <w:spacing w:line="240" w:lineRule="auto"/>
        <w:rPr>
          <w:rStyle w:val="ITALIC"/>
        </w:rPr>
      </w:pPr>
      <w:r>
        <w:rPr>
          <w:rStyle w:val="ITALIC"/>
        </w:rPr>
        <w:t>Report to the NEPC on the implementation of the National Environment Protection (Movement of Controlled Waste between States and Territories) Measure for Queensland by Hon. Leeanne Enoch MP, Minister for Environment and the Great Barrier Reef, Minister for Science, and Minister for the Arts for the reporting year ended 30 June 2019.</w:t>
      </w:r>
    </w:p>
    <w:p w14:paraId="1991FD3C" w14:textId="77777777" w:rsidR="00EB6564" w:rsidRDefault="00EB6564" w:rsidP="0008325A">
      <w:pPr>
        <w:pStyle w:val="02HEADING2"/>
        <w:spacing w:line="240" w:lineRule="auto"/>
      </w:pPr>
      <w:r>
        <w:t>Part 1—Implementation of the NEPM and any significant issues</w:t>
      </w:r>
    </w:p>
    <w:p w14:paraId="10ACAF1B" w14:textId="77777777" w:rsidR="00EB6564" w:rsidRDefault="00EB6564" w:rsidP="0008325A">
      <w:pPr>
        <w:pStyle w:val="05BODYTEXT"/>
        <w:keepNext/>
        <w:spacing w:line="240" w:lineRule="auto"/>
      </w:pPr>
      <w:r>
        <w:t xml:space="preserve">The Queensland Department of Environment and Science (DES) is responsible for the administration of the </w:t>
      </w:r>
      <w:r>
        <w:rPr>
          <w:rStyle w:val="ITALIC"/>
        </w:rPr>
        <w:t xml:space="preserve">National Environmental Protection (Movement of Controlled Waste between States and Territories) Measure </w:t>
      </w:r>
      <w:r>
        <w:t>(NEPM) in Queensland. The NEPM is implemented under the</w:t>
      </w:r>
      <w:r>
        <w:rPr>
          <w:rStyle w:val="ITALIC"/>
        </w:rPr>
        <w:t xml:space="preserve"> </w:t>
      </w:r>
      <w:r>
        <w:rPr>
          <w:rStyle w:val="ITALIC"/>
        </w:rPr>
        <w:lastRenderedPageBreak/>
        <w:t>Environmental Protection Act 1994</w:t>
      </w:r>
      <w:r>
        <w:t xml:space="preserve"> (EP Act) through Chapter 5, Part 9 of the </w:t>
      </w:r>
      <w:r>
        <w:rPr>
          <w:rStyle w:val="ITALIC"/>
        </w:rPr>
        <w:t>Environmental Protection Regulation 2008</w:t>
      </w:r>
      <w:r>
        <w:t xml:space="preserve"> (EP Reg)</w:t>
      </w:r>
      <w:r>
        <w:rPr>
          <w:vertAlign w:val="superscript"/>
        </w:rPr>
        <w:footnoteReference w:id="4"/>
      </w:r>
      <w:r>
        <w:t>. As per the NEPM, the regulation includes provisions in relation to obligations for the tracking of controlled waste into and out of Queensland, as well as requirements for the prior approval of consignments of controlled waste being transported into Queensland. Legislative requirements for the licensing of controlled waste transporters are included in the EP Act and detailed in Schedule 2 of the EP Reg. The NEPM administration is integrated with intrastate tracking, controlled waste licensing and compliance activities in Queensland.</w:t>
      </w:r>
    </w:p>
    <w:p w14:paraId="4BC65D26" w14:textId="77777777" w:rsidR="00EB6564" w:rsidRDefault="00EB6564" w:rsidP="00EB6564">
      <w:pPr>
        <w:pStyle w:val="05bDOTPOINTS"/>
      </w:pPr>
      <w:r>
        <w:t>•</w:t>
      </w:r>
      <w:r>
        <w:tab/>
        <w:t>DES has continued to administer the NEPM to help ensure controlled waste is managed appropriately. The prior approval process through consignment authorisation and consultation with other jurisdictions and waste handlers has helped to ensure controlled waste is consigned to appropriate facilities.</w:t>
      </w:r>
    </w:p>
    <w:p w14:paraId="13F05971" w14:textId="77777777" w:rsidR="00EB6564" w:rsidRDefault="00EB6564" w:rsidP="00EB6564">
      <w:pPr>
        <w:pStyle w:val="05bDOTPOINTS"/>
      </w:pPr>
      <w:r>
        <w:t>•</w:t>
      </w:r>
      <w:r>
        <w:tab/>
        <w:t xml:space="preserve">The total number of applications for consignment authorisation (Table 1) approved for 2018/19 was 446, which is a 9.6% increase from 2017/18 (406). </w:t>
      </w:r>
    </w:p>
    <w:p w14:paraId="06A40757" w14:textId="77777777" w:rsidR="00EB6564" w:rsidRDefault="00EB6564" w:rsidP="00EB6564">
      <w:pPr>
        <w:pStyle w:val="05bDOTPOINTS"/>
      </w:pPr>
      <w:r>
        <w:t>•</w:t>
      </w:r>
      <w:r>
        <w:tab/>
        <w:t xml:space="preserve">Processing of transport records was continuing at the time of reporting. Records processed to date indicate a small increase in the amount of controlled waste transported into Queensland from other Australian States and Territories. </w:t>
      </w:r>
    </w:p>
    <w:p w14:paraId="5DBA4C6D" w14:textId="77777777" w:rsidR="00EB6564" w:rsidRDefault="00EB6564" w:rsidP="00EB6564">
      <w:pPr>
        <w:pStyle w:val="05bDOTPOINTS"/>
      </w:pPr>
      <w:r>
        <w:t>•</w:t>
      </w:r>
      <w:r>
        <w:tab/>
        <w:t xml:space="preserve">During 2018/19, the department’s compliance efforts were focused on key departmental investigations and ensuring movement data for specific waste types was verified. </w:t>
      </w:r>
    </w:p>
    <w:p w14:paraId="4F12D7CD" w14:textId="77777777" w:rsidR="00EB6564" w:rsidRDefault="00EB6564" w:rsidP="00EB6564">
      <w:pPr>
        <w:pStyle w:val="02HEADING2"/>
      </w:pPr>
      <w:r>
        <w:t>Part 2—Assessment of NEPM effectiveness</w:t>
      </w:r>
    </w:p>
    <w:p w14:paraId="20EDA406" w14:textId="77777777" w:rsidR="00EB6564" w:rsidRDefault="00EB6564" w:rsidP="00EB6564">
      <w:pPr>
        <w:pStyle w:val="06TABLEHEADING"/>
      </w:pPr>
      <w:r>
        <w:t>Table 1: Number of consignment authorisations issued by Queensland</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EB6564" w14:paraId="2A314505"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7BA37C5" w14:textId="77777777" w:rsidR="00EB6564" w:rsidRDefault="00EB6564">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DFA663F" w14:textId="77777777" w:rsidR="00EB6564" w:rsidRDefault="00EB6564">
            <w:pPr>
              <w:pStyle w:val="06bTABLEHEADERROW"/>
              <w:jc w:val="center"/>
            </w:pPr>
            <w:r>
              <w:t xml:space="preserve">Consignment authorisations issued </w:t>
            </w:r>
          </w:p>
        </w:tc>
      </w:tr>
      <w:tr w:rsidR="00EB6564" w14:paraId="2C5CE1E8"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31AB41" w14:textId="77777777" w:rsidR="00EB6564" w:rsidRDefault="00EB6564">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83BFAA" w14:textId="77777777" w:rsidR="00EB6564" w:rsidRDefault="00EB6564">
            <w:pPr>
              <w:pStyle w:val="06cTABLETEXT"/>
              <w:jc w:val="center"/>
            </w:pPr>
            <w:r>
              <w:t>406</w:t>
            </w:r>
          </w:p>
        </w:tc>
      </w:tr>
      <w:tr w:rsidR="00EB6564" w14:paraId="2F52D3AF"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2535295" w14:textId="77777777" w:rsidR="00EB6564" w:rsidRDefault="00EB6564">
            <w:pPr>
              <w:pStyle w:val="06cTABLETEXT"/>
              <w:jc w:val="center"/>
            </w:pPr>
            <w:r>
              <w:t>2018–19</w:t>
            </w:r>
          </w:p>
        </w:tc>
        <w:tc>
          <w:tcPr>
            <w:tcW w:w="370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93D4AD" w14:textId="77777777" w:rsidR="00EB6564" w:rsidRDefault="00EB6564">
            <w:pPr>
              <w:pStyle w:val="06cTABLETEXT"/>
              <w:jc w:val="center"/>
            </w:pPr>
            <w:r>
              <w:t>446</w:t>
            </w:r>
          </w:p>
        </w:tc>
      </w:tr>
    </w:tbl>
    <w:p w14:paraId="0A6B45CF" w14:textId="77777777" w:rsidR="00EB6564" w:rsidRDefault="00EB6564" w:rsidP="00EB6564">
      <w:pPr>
        <w:pStyle w:val="06TABLEHEADING"/>
      </w:pPr>
      <w:r>
        <w:t>Table 2: Quantity of controlled waste into Queensland for the period 1 July 2018 to 30 June 2019—tonnes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05"/>
        <w:gridCol w:w="1191"/>
        <w:gridCol w:w="765"/>
        <w:gridCol w:w="578"/>
        <w:gridCol w:w="578"/>
        <w:gridCol w:w="474"/>
        <w:gridCol w:w="496"/>
        <w:gridCol w:w="578"/>
        <w:gridCol w:w="488"/>
        <w:gridCol w:w="552"/>
        <w:gridCol w:w="525"/>
        <w:gridCol w:w="818"/>
      </w:tblGrid>
      <w:tr w:rsidR="00EB6564" w14:paraId="1EAF451D" w14:textId="77777777">
        <w:trPr>
          <w:trHeight w:val="495"/>
          <w:tblHeader/>
        </w:trPr>
        <w:tc>
          <w:tcPr>
            <w:tcW w:w="505"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5061BAFD" w14:textId="77777777" w:rsidR="00EB6564" w:rsidRDefault="00EB6564">
            <w:pPr>
              <w:pStyle w:val="06bTABLEHEADERROW"/>
              <w:jc w:val="center"/>
            </w:pPr>
            <w:r>
              <w:t xml:space="preserve">Code </w:t>
            </w:r>
          </w:p>
        </w:tc>
        <w:tc>
          <w:tcPr>
            <w:tcW w:w="1191" w:type="dxa"/>
            <w:tcBorders>
              <w:top w:val="single" w:sz="4" w:space="0" w:color="FFFFFF"/>
              <w:left w:val="single" w:sz="4" w:space="0" w:color="FFFFFF"/>
              <w:bottom w:val="single" w:sz="8" w:space="0" w:color="FFFFFF"/>
              <w:right w:val="single" w:sz="4" w:space="0" w:color="FFFFFF"/>
            </w:tcBorders>
            <w:shd w:val="solid" w:color="000000" w:fill="auto"/>
            <w:tcMar>
              <w:top w:w="85" w:type="dxa"/>
              <w:left w:w="57" w:type="dxa"/>
              <w:bottom w:w="85" w:type="dxa"/>
              <w:right w:w="0" w:type="dxa"/>
            </w:tcMar>
            <w:vAlign w:val="bottom"/>
          </w:tcPr>
          <w:p w14:paraId="504F5CDE" w14:textId="77777777" w:rsidR="00EB6564" w:rsidRDefault="00EB6564">
            <w:pPr>
              <w:pStyle w:val="06bTABLEHEADERROW"/>
            </w:pPr>
            <w:r>
              <w:t>Description</w:t>
            </w:r>
          </w:p>
        </w:tc>
        <w:tc>
          <w:tcPr>
            <w:tcW w:w="765"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0FAA8C24" w14:textId="77777777" w:rsidR="00EB6564" w:rsidRDefault="00EB6564">
            <w:pPr>
              <w:pStyle w:val="06bTABLEHEADERROW"/>
              <w:jc w:val="center"/>
            </w:pPr>
            <w:r>
              <w:t>NSW</w:t>
            </w:r>
          </w:p>
        </w:tc>
        <w:tc>
          <w:tcPr>
            <w:tcW w:w="578"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1CCEEC3D" w14:textId="77777777" w:rsidR="00EB6564" w:rsidRDefault="00EB6564">
            <w:pPr>
              <w:pStyle w:val="06bTABLEHEADERROW"/>
              <w:jc w:val="center"/>
            </w:pPr>
            <w:r>
              <w:t>Vic</w:t>
            </w:r>
          </w:p>
        </w:tc>
        <w:tc>
          <w:tcPr>
            <w:tcW w:w="578"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4949AB9D" w14:textId="77777777" w:rsidR="00EB6564" w:rsidRDefault="00EB6564">
            <w:pPr>
              <w:pStyle w:val="06bTABLEHEADERROW"/>
              <w:jc w:val="center"/>
            </w:pPr>
            <w:r>
              <w:t>Qld</w:t>
            </w:r>
          </w:p>
        </w:tc>
        <w:tc>
          <w:tcPr>
            <w:tcW w:w="474"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2A497C81" w14:textId="77777777" w:rsidR="00EB6564" w:rsidRDefault="00EB6564">
            <w:pPr>
              <w:pStyle w:val="06bTABLEHEADERROW"/>
              <w:jc w:val="center"/>
            </w:pPr>
            <w:r>
              <w:t>WA</w:t>
            </w:r>
          </w:p>
        </w:tc>
        <w:tc>
          <w:tcPr>
            <w:tcW w:w="496"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603A2BDD" w14:textId="77777777" w:rsidR="00EB6564" w:rsidRDefault="00EB6564">
            <w:pPr>
              <w:pStyle w:val="06bTABLEHEADERROW"/>
              <w:jc w:val="center"/>
            </w:pPr>
            <w:r>
              <w:t>SA</w:t>
            </w:r>
          </w:p>
        </w:tc>
        <w:tc>
          <w:tcPr>
            <w:tcW w:w="578"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32B1B6AC" w14:textId="77777777" w:rsidR="00EB6564" w:rsidRDefault="00EB6564">
            <w:pPr>
              <w:pStyle w:val="06bTABLEHEADERROW"/>
              <w:jc w:val="center"/>
            </w:pPr>
            <w:r>
              <w:t>Tas</w:t>
            </w:r>
          </w:p>
        </w:tc>
        <w:tc>
          <w:tcPr>
            <w:tcW w:w="488"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66B9A1D9" w14:textId="77777777" w:rsidR="00EB6564" w:rsidRDefault="00EB6564">
            <w:pPr>
              <w:pStyle w:val="06bTABLEHEADERROW"/>
              <w:jc w:val="center"/>
            </w:pPr>
            <w:r>
              <w:t>Act</w:t>
            </w:r>
          </w:p>
        </w:tc>
        <w:tc>
          <w:tcPr>
            <w:tcW w:w="552"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7A82F8F7" w14:textId="77777777" w:rsidR="00EB6564" w:rsidRDefault="00EB6564">
            <w:pPr>
              <w:pStyle w:val="06bTABLEHEADERROW"/>
              <w:jc w:val="center"/>
            </w:pPr>
            <w:r>
              <w:t>NT</w:t>
            </w:r>
          </w:p>
        </w:tc>
        <w:tc>
          <w:tcPr>
            <w:tcW w:w="525"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0D961498" w14:textId="77777777" w:rsidR="00EB6564" w:rsidRDefault="00EB6564">
            <w:pPr>
              <w:pStyle w:val="06bTABLEHEADERROW"/>
              <w:jc w:val="center"/>
            </w:pPr>
            <w:r>
              <w:t>Ext-Terr*</w:t>
            </w:r>
          </w:p>
        </w:tc>
        <w:tc>
          <w:tcPr>
            <w:tcW w:w="818"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51A0BE3F" w14:textId="77777777" w:rsidR="00EB6564" w:rsidRDefault="00EB6564">
            <w:pPr>
              <w:pStyle w:val="06bTABLEHEADERROW"/>
              <w:jc w:val="center"/>
            </w:pPr>
            <w:r>
              <w:t>Total (tonnes)</w:t>
            </w:r>
          </w:p>
        </w:tc>
      </w:tr>
      <w:tr w:rsidR="00EB6564" w14:paraId="4494B69C" w14:textId="77777777">
        <w:trPr>
          <w:trHeight w:val="17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4FB354A" w14:textId="77777777" w:rsidR="00EB6564" w:rsidRDefault="00EB6564">
            <w:pPr>
              <w:pStyle w:val="06cTABLETEXT"/>
              <w:jc w:val="center"/>
            </w:pPr>
            <w:r>
              <w:rPr>
                <w:rStyle w:val="BOLD"/>
              </w:rPr>
              <w:t>A</w:t>
            </w:r>
          </w:p>
        </w:tc>
        <w:tc>
          <w:tcPr>
            <w:tcW w:w="11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57" w:type="dxa"/>
              <w:bottom w:w="85" w:type="dxa"/>
              <w:right w:w="0" w:type="dxa"/>
            </w:tcMar>
            <w:vAlign w:val="center"/>
          </w:tcPr>
          <w:p w14:paraId="743823DB" w14:textId="77777777" w:rsidR="00EB6564" w:rsidRDefault="00EB6564">
            <w:pPr>
              <w:pStyle w:val="06cTABLETEXT"/>
            </w:pPr>
            <w:r>
              <w:rPr>
                <w:rStyle w:val="BOLD"/>
              </w:rPr>
              <w:t>Plating &amp; heat treatment</w:t>
            </w:r>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8C48FCE" w14:textId="77777777" w:rsidR="00EB6564" w:rsidRDefault="00EB6564">
            <w:pPr>
              <w:pStyle w:val="06cTABLETEXT"/>
              <w:jc w:val="center"/>
            </w:pPr>
            <w:r>
              <w:t>310.54</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7CDA66F"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776A692" w14:textId="77777777" w:rsidR="00EB6564" w:rsidRDefault="00EB6564">
            <w:pPr>
              <w:pStyle w:val="06cTABLETEXT"/>
              <w:jc w:val="center"/>
            </w:pPr>
            <w:r>
              <w:rPr>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DE11C5C" w14:textId="77777777" w:rsidR="00EB6564" w:rsidRDefault="00EB6564">
            <w:pPr>
              <w:pStyle w:val="06cTABLETEXT"/>
              <w:jc w:val="center"/>
            </w:pPr>
            <w: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009CFC9"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3752E1C" w14:textId="77777777" w:rsidR="00EB6564" w:rsidRDefault="00EB6564">
            <w:pPr>
              <w:pStyle w:val="06cTABLETEXT"/>
              <w:jc w:val="center"/>
            </w:pPr>
            <w: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176A4B7" w14:textId="77777777" w:rsidR="00EB6564" w:rsidRDefault="00EB6564">
            <w:pPr>
              <w:pStyle w:val="06cTABLETEXT"/>
              <w:jc w:val="center"/>
            </w:pPr>
            <w: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F99D153" w14:textId="77777777" w:rsidR="00EB6564" w:rsidRDefault="00EB6564">
            <w:pPr>
              <w:pStyle w:val="06cTABLETEXT"/>
              <w:jc w:val="center"/>
            </w:pPr>
            <w:r>
              <w:t>0.00</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B005CFB"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7FBDE86" w14:textId="77777777" w:rsidR="00EB6564" w:rsidRDefault="00EB6564">
            <w:pPr>
              <w:pStyle w:val="06cTABLETEXT"/>
              <w:jc w:val="center"/>
            </w:pPr>
            <w:r>
              <w:rPr>
                <w:rStyle w:val="BOLD"/>
              </w:rPr>
              <w:t>310.54</w:t>
            </w:r>
          </w:p>
        </w:tc>
      </w:tr>
      <w:tr w:rsidR="00EB6564" w14:paraId="31B6AFC4" w14:textId="77777777">
        <w:trPr>
          <w:trHeight w:val="17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82E6926" w14:textId="77777777" w:rsidR="00EB6564" w:rsidRDefault="00EB6564">
            <w:pPr>
              <w:pStyle w:val="06cTABLETEXT"/>
              <w:jc w:val="center"/>
            </w:pPr>
            <w:r>
              <w:rPr>
                <w:rStyle w:val="BOLD"/>
              </w:rPr>
              <w:t>B</w:t>
            </w:r>
          </w:p>
        </w:tc>
        <w:tc>
          <w:tcPr>
            <w:tcW w:w="11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57" w:type="dxa"/>
              <w:bottom w:w="85" w:type="dxa"/>
              <w:right w:w="0" w:type="dxa"/>
            </w:tcMar>
            <w:vAlign w:val="center"/>
          </w:tcPr>
          <w:p w14:paraId="47848E8D" w14:textId="77777777" w:rsidR="00EB6564" w:rsidRDefault="00EB6564">
            <w:pPr>
              <w:pStyle w:val="06cTABLETEXT"/>
            </w:pPr>
            <w:r>
              <w:rPr>
                <w:rStyle w:val="BOLD"/>
              </w:rPr>
              <w:t>Acids</w:t>
            </w:r>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35D9675" w14:textId="77777777" w:rsidR="00EB6564" w:rsidRDefault="00EB6564">
            <w:pPr>
              <w:pStyle w:val="06cTABLETEXT"/>
              <w:jc w:val="center"/>
            </w:pPr>
            <w:r>
              <w:t>177.08</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861DB2B"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D220A90" w14:textId="77777777" w:rsidR="00EB6564" w:rsidRDefault="00EB6564">
            <w:pPr>
              <w:pStyle w:val="06cTABLETEXT"/>
              <w:jc w:val="center"/>
            </w:pPr>
            <w:r>
              <w:rPr>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DFC1F95" w14:textId="77777777" w:rsidR="00EB6564" w:rsidRDefault="00EB6564">
            <w:pPr>
              <w:pStyle w:val="06cTABLETEXT"/>
              <w:jc w:val="center"/>
            </w:pPr>
            <w: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C549F33"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56C3BF8" w14:textId="77777777" w:rsidR="00EB6564" w:rsidRDefault="00EB6564">
            <w:pPr>
              <w:pStyle w:val="06cTABLETEXT"/>
              <w:jc w:val="center"/>
            </w:pPr>
            <w: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4458E23" w14:textId="77777777" w:rsidR="00EB6564" w:rsidRDefault="00EB6564">
            <w:pPr>
              <w:pStyle w:val="06cTABLETEXT"/>
              <w:jc w:val="center"/>
            </w:pPr>
            <w: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B6A7D8C" w14:textId="77777777" w:rsidR="00EB6564" w:rsidRDefault="00EB6564">
            <w:pPr>
              <w:pStyle w:val="06cTABLETEXT"/>
              <w:jc w:val="center"/>
            </w:pPr>
            <w:r>
              <w:t>6.00</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F5F63D6"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985EBDF" w14:textId="77777777" w:rsidR="00EB6564" w:rsidRDefault="00EB6564">
            <w:pPr>
              <w:pStyle w:val="06cTABLETEXT"/>
              <w:jc w:val="center"/>
            </w:pPr>
            <w:r>
              <w:rPr>
                <w:rStyle w:val="BOLD"/>
              </w:rPr>
              <w:t>183.08</w:t>
            </w:r>
          </w:p>
        </w:tc>
      </w:tr>
      <w:tr w:rsidR="00EB6564" w14:paraId="2264F3F2" w14:textId="77777777">
        <w:trPr>
          <w:trHeight w:val="17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881BF4E" w14:textId="77777777" w:rsidR="00EB6564" w:rsidRDefault="00EB6564">
            <w:pPr>
              <w:pStyle w:val="06cTABLETEXT"/>
              <w:jc w:val="center"/>
            </w:pPr>
            <w:r>
              <w:rPr>
                <w:rStyle w:val="BOLD"/>
              </w:rPr>
              <w:t>C</w:t>
            </w:r>
          </w:p>
        </w:tc>
        <w:tc>
          <w:tcPr>
            <w:tcW w:w="11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57" w:type="dxa"/>
              <w:bottom w:w="85" w:type="dxa"/>
              <w:right w:w="0" w:type="dxa"/>
            </w:tcMar>
            <w:vAlign w:val="center"/>
          </w:tcPr>
          <w:p w14:paraId="3494E9A8" w14:textId="77777777" w:rsidR="00EB6564" w:rsidRDefault="00EB6564">
            <w:pPr>
              <w:pStyle w:val="06cTABLETEXT"/>
            </w:pPr>
            <w:r>
              <w:rPr>
                <w:rStyle w:val="BOLD"/>
              </w:rPr>
              <w:t>Alkalis</w:t>
            </w:r>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FD48F19" w14:textId="77777777" w:rsidR="00EB6564" w:rsidRDefault="00EB6564">
            <w:pPr>
              <w:pStyle w:val="06cTABLETEXT"/>
              <w:jc w:val="center"/>
            </w:pPr>
            <w:r>
              <w:t>286.72</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8828D59"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3754BF3" w14:textId="77777777" w:rsidR="00EB6564" w:rsidRDefault="00EB6564">
            <w:pPr>
              <w:pStyle w:val="06cTABLETEXT"/>
              <w:jc w:val="center"/>
            </w:pPr>
            <w:r>
              <w:rPr>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5EF8118" w14:textId="77777777" w:rsidR="00EB6564" w:rsidRDefault="00EB6564">
            <w:pPr>
              <w:pStyle w:val="06cTABLETEXT"/>
              <w:jc w:val="center"/>
            </w:pPr>
            <w: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0384B10"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AA47A61" w14:textId="77777777" w:rsidR="00EB6564" w:rsidRDefault="00EB6564">
            <w:pPr>
              <w:pStyle w:val="06cTABLETEXT"/>
              <w:jc w:val="center"/>
            </w:pPr>
            <w: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2F7C5B7" w14:textId="77777777" w:rsidR="00EB6564" w:rsidRDefault="00EB6564">
            <w:pPr>
              <w:pStyle w:val="06cTABLETEXT"/>
              <w:jc w:val="center"/>
            </w:pPr>
            <w: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668B53B" w14:textId="77777777" w:rsidR="00EB6564" w:rsidRDefault="00EB6564">
            <w:pPr>
              <w:pStyle w:val="06cTABLETEXT"/>
              <w:jc w:val="center"/>
            </w:pPr>
            <w:r>
              <w:t>0.00</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9FD514E"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624F202" w14:textId="77777777" w:rsidR="00EB6564" w:rsidRDefault="00EB6564">
            <w:pPr>
              <w:pStyle w:val="06cTABLETEXT"/>
              <w:jc w:val="center"/>
            </w:pPr>
            <w:r>
              <w:rPr>
                <w:rStyle w:val="BOLD"/>
              </w:rPr>
              <w:t>286.72</w:t>
            </w:r>
          </w:p>
        </w:tc>
      </w:tr>
      <w:tr w:rsidR="00EB6564" w14:paraId="1A9AC8DC" w14:textId="77777777">
        <w:trPr>
          <w:trHeight w:val="17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5EF4DC1" w14:textId="77777777" w:rsidR="00EB6564" w:rsidRDefault="00EB6564">
            <w:pPr>
              <w:pStyle w:val="06cTABLETEXT"/>
              <w:jc w:val="center"/>
            </w:pPr>
            <w:r>
              <w:rPr>
                <w:rStyle w:val="BOLD"/>
              </w:rPr>
              <w:t>D</w:t>
            </w:r>
          </w:p>
        </w:tc>
        <w:tc>
          <w:tcPr>
            <w:tcW w:w="11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57" w:type="dxa"/>
              <w:bottom w:w="85" w:type="dxa"/>
              <w:right w:w="0" w:type="dxa"/>
            </w:tcMar>
            <w:vAlign w:val="center"/>
          </w:tcPr>
          <w:p w14:paraId="1886997E" w14:textId="77777777" w:rsidR="00EB6564" w:rsidRDefault="00EB6564">
            <w:pPr>
              <w:pStyle w:val="06cTABLETEXT"/>
            </w:pPr>
            <w:r>
              <w:rPr>
                <w:rStyle w:val="BOLD"/>
              </w:rPr>
              <w:t>Inorganic chemicals</w:t>
            </w:r>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EBB28F9" w14:textId="77777777" w:rsidR="00EB6564" w:rsidRDefault="00EB6564">
            <w:pPr>
              <w:pStyle w:val="06cTABLETEXT"/>
              <w:jc w:val="center"/>
            </w:pPr>
            <w:r>
              <w:t>4704.21</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D1FCD1E" w14:textId="77777777" w:rsidR="00EB6564" w:rsidRDefault="00EB6564">
            <w:pPr>
              <w:pStyle w:val="06cTABLETEXT"/>
              <w:jc w:val="center"/>
            </w:pPr>
            <w:r>
              <w:t>18.00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80CF10E" w14:textId="77777777" w:rsidR="00EB6564" w:rsidRDefault="00EB6564">
            <w:pPr>
              <w:pStyle w:val="06cTABLETEXT"/>
              <w:jc w:val="center"/>
            </w:pPr>
            <w:r>
              <w:rPr>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3889B5A" w14:textId="77777777" w:rsidR="00EB6564" w:rsidRDefault="00EB6564">
            <w:pPr>
              <w:pStyle w:val="06cTABLETEXT"/>
              <w:jc w:val="center"/>
            </w:pPr>
            <w: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ABC8983"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DF43ACF" w14:textId="77777777" w:rsidR="00EB6564" w:rsidRDefault="00EB6564">
            <w:pPr>
              <w:pStyle w:val="06cTABLETEXT"/>
              <w:jc w:val="center"/>
            </w:pPr>
            <w: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D80F755" w14:textId="77777777" w:rsidR="00EB6564" w:rsidRDefault="00EB6564">
            <w:pPr>
              <w:pStyle w:val="06cTABLETEXT"/>
              <w:jc w:val="center"/>
            </w:pPr>
            <w: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79D5371" w14:textId="77777777" w:rsidR="00EB6564" w:rsidRDefault="00EB6564">
            <w:pPr>
              <w:pStyle w:val="06cTABLETEXT"/>
              <w:jc w:val="center"/>
            </w:pPr>
            <w:r>
              <w:t>0.11</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996EE8B"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E4A11D5" w14:textId="77777777" w:rsidR="00EB6564" w:rsidRDefault="00EB6564">
            <w:pPr>
              <w:pStyle w:val="06cTABLETEXT"/>
              <w:jc w:val="center"/>
            </w:pPr>
            <w:r>
              <w:rPr>
                <w:rStyle w:val="BOLD"/>
              </w:rPr>
              <w:t>4722.32</w:t>
            </w:r>
          </w:p>
        </w:tc>
      </w:tr>
      <w:tr w:rsidR="00EB6564" w14:paraId="6AA18735" w14:textId="77777777">
        <w:trPr>
          <w:trHeight w:val="17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F186767" w14:textId="77777777" w:rsidR="00EB6564" w:rsidRDefault="00EB6564">
            <w:pPr>
              <w:pStyle w:val="06cTABLETEXT"/>
              <w:jc w:val="center"/>
            </w:pPr>
            <w:r>
              <w:rPr>
                <w:rStyle w:val="BOLD"/>
              </w:rPr>
              <w:t>E</w:t>
            </w:r>
          </w:p>
        </w:tc>
        <w:tc>
          <w:tcPr>
            <w:tcW w:w="11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57" w:type="dxa"/>
              <w:bottom w:w="85" w:type="dxa"/>
              <w:right w:w="0" w:type="dxa"/>
            </w:tcMar>
            <w:vAlign w:val="center"/>
          </w:tcPr>
          <w:p w14:paraId="2643BF33" w14:textId="77777777" w:rsidR="00EB6564" w:rsidRDefault="00EB6564">
            <w:pPr>
              <w:pStyle w:val="06cTABLETEXT"/>
            </w:pPr>
            <w:r>
              <w:rPr>
                <w:rStyle w:val="BOLD"/>
              </w:rPr>
              <w:t>Reactive chemicals</w:t>
            </w:r>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00AC6C5"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87832BC" w14:textId="77777777" w:rsidR="00EB6564" w:rsidRDefault="00EB6564">
            <w:pPr>
              <w:pStyle w:val="06cTABLETEXT"/>
              <w:jc w:val="center"/>
            </w:pPr>
            <w:r>
              <w:t>6.13</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63F0E7F" w14:textId="77777777" w:rsidR="00EB6564" w:rsidRDefault="00EB6564">
            <w:pPr>
              <w:pStyle w:val="06cTABLETEXT"/>
              <w:jc w:val="center"/>
            </w:pPr>
            <w:r>
              <w:rPr>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C1BDA74" w14:textId="77777777" w:rsidR="00EB6564" w:rsidRDefault="00EB6564">
            <w:pPr>
              <w:pStyle w:val="06cTABLETEXT"/>
              <w:jc w:val="center"/>
            </w:pPr>
            <w: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3987673"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B04D93E" w14:textId="77777777" w:rsidR="00EB6564" w:rsidRDefault="00EB6564">
            <w:pPr>
              <w:pStyle w:val="06cTABLETEXT"/>
              <w:jc w:val="center"/>
            </w:pPr>
            <w: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40EF397" w14:textId="77777777" w:rsidR="00EB6564" w:rsidRDefault="00EB6564">
            <w:pPr>
              <w:pStyle w:val="06cTABLETEXT"/>
              <w:jc w:val="center"/>
            </w:pPr>
            <w: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CA3E06B" w14:textId="77777777" w:rsidR="00EB6564" w:rsidRDefault="00EB6564">
            <w:pPr>
              <w:pStyle w:val="06cTABLETEXT"/>
              <w:jc w:val="center"/>
            </w:pPr>
            <w:r>
              <w:t>0.00</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5E52650"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2FBA2CD" w14:textId="77777777" w:rsidR="00EB6564" w:rsidRDefault="00EB6564">
            <w:pPr>
              <w:pStyle w:val="06cTABLETEXT"/>
              <w:jc w:val="center"/>
            </w:pPr>
            <w:r>
              <w:rPr>
                <w:rStyle w:val="BOLD"/>
              </w:rPr>
              <w:t>6.13</w:t>
            </w:r>
          </w:p>
        </w:tc>
      </w:tr>
      <w:tr w:rsidR="00EB6564" w14:paraId="37B2BCB4" w14:textId="77777777">
        <w:trPr>
          <w:trHeight w:val="17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1CCFC4E" w14:textId="77777777" w:rsidR="00EB6564" w:rsidRDefault="00EB6564">
            <w:pPr>
              <w:pStyle w:val="06cTABLETEXT"/>
              <w:jc w:val="center"/>
            </w:pPr>
            <w:r>
              <w:rPr>
                <w:rStyle w:val="BOLD"/>
              </w:rPr>
              <w:t>F</w:t>
            </w:r>
          </w:p>
        </w:tc>
        <w:tc>
          <w:tcPr>
            <w:tcW w:w="11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57" w:type="dxa"/>
              <w:bottom w:w="85" w:type="dxa"/>
              <w:right w:w="0" w:type="dxa"/>
            </w:tcMar>
            <w:vAlign w:val="center"/>
          </w:tcPr>
          <w:p w14:paraId="3FF8266F" w14:textId="77777777" w:rsidR="00EB6564" w:rsidRDefault="00EB6564">
            <w:pPr>
              <w:pStyle w:val="06cTABLETEXT"/>
            </w:pPr>
            <w:r>
              <w:rPr>
                <w:rStyle w:val="BOLD"/>
              </w:rPr>
              <w:t>Paints, resins, inks organic sludges</w:t>
            </w:r>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DE751F5" w14:textId="77777777" w:rsidR="00EB6564" w:rsidRDefault="00EB6564">
            <w:pPr>
              <w:pStyle w:val="06cTABLETEXT"/>
              <w:jc w:val="center"/>
            </w:pPr>
            <w:r>
              <w:t>755.85</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E3FF17B"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61FCE7B" w14:textId="77777777" w:rsidR="00EB6564" w:rsidRDefault="00EB6564">
            <w:pPr>
              <w:pStyle w:val="06cTABLETEXT"/>
              <w:jc w:val="center"/>
            </w:pPr>
            <w:r>
              <w:rPr>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D411382" w14:textId="77777777" w:rsidR="00EB6564" w:rsidRDefault="00EB6564">
            <w:pPr>
              <w:pStyle w:val="06cTABLETEXT"/>
              <w:jc w:val="center"/>
            </w:pPr>
            <w: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4963F5D"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309A429" w14:textId="77777777" w:rsidR="00EB6564" w:rsidRDefault="00EB6564">
            <w:pPr>
              <w:pStyle w:val="06cTABLETEXT"/>
              <w:jc w:val="center"/>
            </w:pPr>
            <w: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3EB766A" w14:textId="77777777" w:rsidR="00EB6564" w:rsidRDefault="00EB6564">
            <w:pPr>
              <w:pStyle w:val="06cTABLETEXT"/>
              <w:jc w:val="center"/>
            </w:pPr>
            <w: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B2A78DB" w14:textId="77777777" w:rsidR="00EB6564" w:rsidRDefault="00EB6564">
            <w:pPr>
              <w:pStyle w:val="06cTABLETEXT"/>
              <w:jc w:val="center"/>
            </w:pPr>
            <w:r>
              <w:t>0.00</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76B33D0"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6AF8CA1" w14:textId="77777777" w:rsidR="00EB6564" w:rsidRDefault="00EB6564">
            <w:pPr>
              <w:pStyle w:val="06cTABLETEXT"/>
              <w:jc w:val="center"/>
            </w:pPr>
            <w:r>
              <w:rPr>
                <w:rStyle w:val="BOLD"/>
              </w:rPr>
              <w:t>755.85</w:t>
            </w:r>
          </w:p>
        </w:tc>
      </w:tr>
      <w:tr w:rsidR="00EB6564" w14:paraId="42275AD0" w14:textId="77777777">
        <w:trPr>
          <w:trHeight w:val="17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EFE126A" w14:textId="77777777" w:rsidR="00EB6564" w:rsidRDefault="00EB6564">
            <w:pPr>
              <w:pStyle w:val="06cTABLETEXT"/>
              <w:jc w:val="center"/>
            </w:pPr>
            <w:r>
              <w:rPr>
                <w:rStyle w:val="BOLD"/>
              </w:rPr>
              <w:t>G</w:t>
            </w:r>
          </w:p>
        </w:tc>
        <w:tc>
          <w:tcPr>
            <w:tcW w:w="11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57" w:type="dxa"/>
              <w:bottom w:w="85" w:type="dxa"/>
              <w:right w:w="0" w:type="dxa"/>
            </w:tcMar>
            <w:vAlign w:val="center"/>
          </w:tcPr>
          <w:p w14:paraId="54156238" w14:textId="77777777" w:rsidR="00EB6564" w:rsidRDefault="00EB6564">
            <w:pPr>
              <w:pStyle w:val="06cTABLETEXT"/>
            </w:pPr>
            <w:r>
              <w:rPr>
                <w:rStyle w:val="BOLD"/>
              </w:rPr>
              <w:t>Organic solvents</w:t>
            </w:r>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365E5E5" w14:textId="77777777" w:rsidR="00EB6564" w:rsidRDefault="00EB6564">
            <w:pPr>
              <w:pStyle w:val="06cTABLETEXT"/>
              <w:jc w:val="center"/>
            </w:pPr>
            <w:r>
              <w:t>179.30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7315D15" w14:textId="77777777" w:rsidR="00EB6564" w:rsidRDefault="00EB6564">
            <w:pPr>
              <w:pStyle w:val="06cTABLETEXT"/>
              <w:jc w:val="center"/>
            </w:pPr>
            <w:r>
              <w:t>90.00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BCCAEC5" w14:textId="77777777" w:rsidR="00EB6564" w:rsidRDefault="00EB6564">
            <w:pPr>
              <w:pStyle w:val="06cTABLETEXT"/>
              <w:jc w:val="center"/>
            </w:pPr>
            <w:r>
              <w:rPr>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65981A0" w14:textId="77777777" w:rsidR="00EB6564" w:rsidRDefault="00EB6564">
            <w:pPr>
              <w:pStyle w:val="06cTABLETEXT"/>
              <w:jc w:val="center"/>
            </w:pPr>
            <w: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2CEAA98"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D737064" w14:textId="77777777" w:rsidR="00EB6564" w:rsidRDefault="00EB6564">
            <w:pPr>
              <w:pStyle w:val="06cTABLETEXT"/>
              <w:jc w:val="center"/>
            </w:pPr>
            <w: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0ABB12D" w14:textId="77777777" w:rsidR="00EB6564" w:rsidRDefault="00EB6564">
            <w:pPr>
              <w:pStyle w:val="06cTABLETEXT"/>
              <w:jc w:val="center"/>
            </w:pPr>
            <w: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5B8E722" w14:textId="77777777" w:rsidR="00EB6564" w:rsidRDefault="00EB6564">
            <w:pPr>
              <w:pStyle w:val="06cTABLETEXT"/>
              <w:jc w:val="center"/>
            </w:pPr>
            <w:r>
              <w:t>0.00</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187F0C0"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72BB0B8" w14:textId="77777777" w:rsidR="00EB6564" w:rsidRDefault="00EB6564">
            <w:pPr>
              <w:pStyle w:val="06cTABLETEXT"/>
              <w:jc w:val="center"/>
            </w:pPr>
            <w:r>
              <w:rPr>
                <w:rStyle w:val="BOLD"/>
              </w:rPr>
              <w:t>269.30</w:t>
            </w:r>
          </w:p>
        </w:tc>
      </w:tr>
      <w:tr w:rsidR="00EB6564" w14:paraId="31694B3A" w14:textId="77777777">
        <w:trPr>
          <w:trHeight w:val="17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AD3A5F1" w14:textId="77777777" w:rsidR="00EB6564" w:rsidRDefault="00EB6564">
            <w:pPr>
              <w:pStyle w:val="06cTABLETEXT"/>
              <w:jc w:val="center"/>
            </w:pPr>
            <w:r>
              <w:rPr>
                <w:rStyle w:val="BOLD"/>
              </w:rPr>
              <w:t>H</w:t>
            </w:r>
          </w:p>
        </w:tc>
        <w:tc>
          <w:tcPr>
            <w:tcW w:w="11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57" w:type="dxa"/>
              <w:bottom w:w="85" w:type="dxa"/>
              <w:right w:w="0" w:type="dxa"/>
            </w:tcMar>
            <w:vAlign w:val="center"/>
          </w:tcPr>
          <w:p w14:paraId="2491FA3A" w14:textId="77777777" w:rsidR="00EB6564" w:rsidRDefault="00EB6564">
            <w:pPr>
              <w:pStyle w:val="06cTABLETEXT"/>
            </w:pPr>
            <w:r>
              <w:rPr>
                <w:rStyle w:val="BOLD"/>
              </w:rPr>
              <w:t>Pesticides</w:t>
            </w:r>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F39374C" w14:textId="77777777" w:rsidR="00EB6564" w:rsidRDefault="00EB6564">
            <w:pPr>
              <w:pStyle w:val="06cTABLETEXT"/>
              <w:jc w:val="center"/>
            </w:pPr>
            <w:r>
              <w:t>1554.62</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10B293D" w14:textId="77777777" w:rsidR="00EB6564" w:rsidRDefault="00EB6564">
            <w:pPr>
              <w:pStyle w:val="06cTABLETEXT"/>
              <w:jc w:val="center"/>
            </w:pPr>
            <w:r>
              <w:t>379.15</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439DFB4" w14:textId="77777777" w:rsidR="00EB6564" w:rsidRDefault="00EB6564">
            <w:pPr>
              <w:pStyle w:val="06cTABLETEXT"/>
              <w:jc w:val="center"/>
            </w:pPr>
            <w:r>
              <w:rPr>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B47CE5C" w14:textId="77777777" w:rsidR="00EB6564" w:rsidRDefault="00EB6564">
            <w:pPr>
              <w:pStyle w:val="06cTABLETEXT"/>
              <w:jc w:val="center"/>
            </w:pPr>
            <w: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CC494B0" w14:textId="77777777" w:rsidR="00EB6564" w:rsidRDefault="00EB6564">
            <w:pPr>
              <w:pStyle w:val="06cTABLETEXT"/>
              <w:jc w:val="center"/>
            </w:pPr>
            <w:r>
              <w:t>10.90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C88E1C0" w14:textId="77777777" w:rsidR="00EB6564" w:rsidRDefault="00EB6564">
            <w:pPr>
              <w:pStyle w:val="06cTABLETEXT"/>
              <w:jc w:val="center"/>
            </w:pPr>
            <w: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A497D55" w14:textId="77777777" w:rsidR="00EB6564" w:rsidRDefault="00EB6564">
            <w:pPr>
              <w:pStyle w:val="06cTABLETEXT"/>
              <w:jc w:val="center"/>
            </w:pPr>
            <w: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05A0603" w14:textId="77777777" w:rsidR="00EB6564" w:rsidRDefault="00EB6564">
            <w:pPr>
              <w:pStyle w:val="06cTABLETEXT"/>
              <w:jc w:val="center"/>
            </w:pPr>
            <w:r>
              <w:t>0.00</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8A57CA7"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FABEB28" w14:textId="77777777" w:rsidR="00EB6564" w:rsidRDefault="00EB6564">
            <w:pPr>
              <w:pStyle w:val="06cTABLETEXT"/>
              <w:jc w:val="center"/>
            </w:pPr>
            <w:r>
              <w:rPr>
                <w:rStyle w:val="BOLD"/>
              </w:rPr>
              <w:t>1944.67</w:t>
            </w:r>
          </w:p>
        </w:tc>
      </w:tr>
      <w:tr w:rsidR="00EB6564" w14:paraId="76E229F2" w14:textId="77777777">
        <w:trPr>
          <w:trHeight w:val="17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F77C6EA" w14:textId="77777777" w:rsidR="00EB6564" w:rsidRDefault="00EB6564">
            <w:pPr>
              <w:pStyle w:val="06cTABLETEXT"/>
              <w:jc w:val="center"/>
            </w:pPr>
            <w:r>
              <w:rPr>
                <w:rStyle w:val="BOLD"/>
              </w:rPr>
              <w:t>J</w:t>
            </w:r>
          </w:p>
        </w:tc>
        <w:tc>
          <w:tcPr>
            <w:tcW w:w="11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57" w:type="dxa"/>
              <w:bottom w:w="85" w:type="dxa"/>
              <w:right w:w="0" w:type="dxa"/>
            </w:tcMar>
            <w:vAlign w:val="center"/>
          </w:tcPr>
          <w:p w14:paraId="2116C67E" w14:textId="77777777" w:rsidR="00EB6564" w:rsidRDefault="00EB6564">
            <w:pPr>
              <w:pStyle w:val="06cTABLETEXT"/>
            </w:pPr>
            <w:r>
              <w:rPr>
                <w:rStyle w:val="BOLD"/>
              </w:rPr>
              <w:t>Oils</w:t>
            </w:r>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1C98E31" w14:textId="77777777" w:rsidR="00EB6564" w:rsidRDefault="00EB6564">
            <w:pPr>
              <w:pStyle w:val="06cTABLETEXT"/>
              <w:jc w:val="center"/>
            </w:pPr>
            <w:r>
              <w:t>31896.25</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C60AD0B" w14:textId="77777777" w:rsidR="00EB6564" w:rsidRDefault="00EB6564">
            <w:pPr>
              <w:pStyle w:val="06cTABLETEXT"/>
              <w:jc w:val="center"/>
            </w:pPr>
            <w:r>
              <w:t>47.74</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3DB3E2A" w14:textId="77777777" w:rsidR="00EB6564" w:rsidRDefault="00EB6564">
            <w:pPr>
              <w:pStyle w:val="06cTABLETEXT"/>
              <w:jc w:val="center"/>
            </w:pPr>
            <w:r>
              <w:rPr>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CECA075" w14:textId="77777777" w:rsidR="00EB6564" w:rsidRDefault="00EB6564">
            <w:pPr>
              <w:pStyle w:val="06cTABLETEXT"/>
              <w:jc w:val="center"/>
            </w:pPr>
            <w: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CD4821D"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F909C06" w14:textId="77777777" w:rsidR="00EB6564" w:rsidRDefault="00EB6564">
            <w:pPr>
              <w:pStyle w:val="06cTABLETEXT"/>
              <w:jc w:val="center"/>
            </w:pPr>
            <w: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9BE9E5E" w14:textId="77777777" w:rsidR="00EB6564" w:rsidRDefault="00EB6564">
            <w:pPr>
              <w:pStyle w:val="06cTABLETEXT"/>
              <w:jc w:val="center"/>
            </w:pPr>
            <w: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0CE76A8" w14:textId="77777777" w:rsidR="00EB6564" w:rsidRDefault="00EB6564">
            <w:pPr>
              <w:pStyle w:val="06cTABLETEXT"/>
              <w:jc w:val="center"/>
            </w:pPr>
            <w:r>
              <w:t>2428.28</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BAAE433"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60131DA" w14:textId="77777777" w:rsidR="00EB6564" w:rsidRDefault="00EB6564">
            <w:pPr>
              <w:pStyle w:val="06cTABLETEXT"/>
              <w:jc w:val="center"/>
            </w:pPr>
            <w:r>
              <w:rPr>
                <w:rStyle w:val="BOLD"/>
              </w:rPr>
              <w:t>34372.27</w:t>
            </w:r>
          </w:p>
        </w:tc>
      </w:tr>
      <w:tr w:rsidR="00EB6564" w14:paraId="0F0A35DF" w14:textId="77777777">
        <w:trPr>
          <w:trHeight w:val="17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D701A21" w14:textId="77777777" w:rsidR="00EB6564" w:rsidRDefault="00EB6564">
            <w:pPr>
              <w:pStyle w:val="06cTABLETEXT"/>
              <w:jc w:val="center"/>
            </w:pPr>
            <w:r>
              <w:rPr>
                <w:rStyle w:val="BOLD"/>
              </w:rPr>
              <w:lastRenderedPageBreak/>
              <w:t>K</w:t>
            </w:r>
          </w:p>
        </w:tc>
        <w:tc>
          <w:tcPr>
            <w:tcW w:w="11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57" w:type="dxa"/>
              <w:bottom w:w="85" w:type="dxa"/>
              <w:right w:w="0" w:type="dxa"/>
            </w:tcMar>
            <w:vAlign w:val="center"/>
          </w:tcPr>
          <w:p w14:paraId="30A74F83" w14:textId="77777777" w:rsidR="00EB6564" w:rsidRDefault="00EB6564">
            <w:pPr>
              <w:pStyle w:val="06cTABLETEXT"/>
            </w:pPr>
            <w:r>
              <w:rPr>
                <w:rStyle w:val="BOLD"/>
              </w:rPr>
              <w:t>Putrescible/organic waste</w:t>
            </w:r>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DA2212B" w14:textId="77777777" w:rsidR="00EB6564" w:rsidRDefault="00EB6564">
            <w:pPr>
              <w:pStyle w:val="06cTABLETEXT"/>
              <w:jc w:val="center"/>
            </w:pPr>
            <w:r>
              <w:t>11000.54</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FDF3A85"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1D50098" w14:textId="77777777" w:rsidR="00EB6564" w:rsidRDefault="00EB6564">
            <w:pPr>
              <w:pStyle w:val="06cTABLETEXT"/>
              <w:jc w:val="center"/>
            </w:pPr>
            <w:r>
              <w:rPr>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3849FDC" w14:textId="77777777" w:rsidR="00EB6564" w:rsidRDefault="00EB6564">
            <w:pPr>
              <w:pStyle w:val="06cTABLETEXT"/>
              <w:jc w:val="center"/>
            </w:pPr>
            <w: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1F59031" w14:textId="77777777" w:rsidR="00EB6564" w:rsidRDefault="00EB6564">
            <w:pPr>
              <w:pStyle w:val="06cTABLETEXT"/>
              <w:jc w:val="center"/>
            </w:pPr>
            <w:r>
              <w:t>90.00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4A97666" w14:textId="77777777" w:rsidR="00EB6564" w:rsidRDefault="00EB6564">
            <w:pPr>
              <w:pStyle w:val="06cTABLETEXT"/>
              <w:jc w:val="center"/>
            </w:pPr>
            <w: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43015A7" w14:textId="77777777" w:rsidR="00EB6564" w:rsidRDefault="00EB6564">
            <w:pPr>
              <w:pStyle w:val="06cTABLETEXT"/>
              <w:jc w:val="center"/>
            </w:pPr>
            <w: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3BB5F0A" w14:textId="77777777" w:rsidR="00EB6564" w:rsidRDefault="00EB6564">
            <w:pPr>
              <w:pStyle w:val="06cTABLETEXT"/>
              <w:jc w:val="center"/>
            </w:pPr>
            <w:r>
              <w:t>0.00</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639E564"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621F03C" w14:textId="77777777" w:rsidR="00EB6564" w:rsidRDefault="00EB6564">
            <w:pPr>
              <w:pStyle w:val="06cTABLETEXT"/>
              <w:jc w:val="center"/>
            </w:pPr>
            <w:r>
              <w:rPr>
                <w:rStyle w:val="BOLD"/>
              </w:rPr>
              <w:t>11090.54</w:t>
            </w:r>
          </w:p>
        </w:tc>
      </w:tr>
      <w:tr w:rsidR="00EB6564" w14:paraId="6307E1AB" w14:textId="77777777">
        <w:trPr>
          <w:trHeight w:val="17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5C15A18" w14:textId="77777777" w:rsidR="00EB6564" w:rsidRDefault="00EB6564">
            <w:pPr>
              <w:pStyle w:val="06cTABLETEXT"/>
              <w:jc w:val="center"/>
            </w:pPr>
            <w:r>
              <w:rPr>
                <w:rStyle w:val="BOLD"/>
              </w:rPr>
              <w:t>L</w:t>
            </w:r>
          </w:p>
        </w:tc>
        <w:tc>
          <w:tcPr>
            <w:tcW w:w="11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57" w:type="dxa"/>
              <w:bottom w:w="85" w:type="dxa"/>
              <w:right w:w="0" w:type="dxa"/>
            </w:tcMar>
            <w:vAlign w:val="center"/>
          </w:tcPr>
          <w:p w14:paraId="35AA1965" w14:textId="77777777" w:rsidR="00EB6564" w:rsidRDefault="00EB6564">
            <w:pPr>
              <w:pStyle w:val="06cTABLETEXT"/>
            </w:pPr>
            <w:r>
              <w:rPr>
                <w:rStyle w:val="BOLD"/>
              </w:rPr>
              <w:t xml:space="preserve">Industrial </w:t>
            </w:r>
            <w:proofErr w:type="spellStart"/>
            <w:r>
              <w:rPr>
                <w:rStyle w:val="BOLD"/>
              </w:rPr>
              <w:t>washwater</w:t>
            </w:r>
            <w:proofErr w:type="spellEnd"/>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99D06E4"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81E3270"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981FC2E" w14:textId="77777777" w:rsidR="00EB6564" w:rsidRDefault="00EB6564">
            <w:pPr>
              <w:pStyle w:val="06cTABLETEXT"/>
              <w:jc w:val="center"/>
            </w:pPr>
            <w:r>
              <w:rPr>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AB4568A" w14:textId="77777777" w:rsidR="00EB6564" w:rsidRDefault="00EB6564">
            <w:pPr>
              <w:pStyle w:val="06cTABLETEXT"/>
              <w:jc w:val="center"/>
            </w:pPr>
            <w: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368C035"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4A25D16" w14:textId="77777777" w:rsidR="00EB6564" w:rsidRDefault="00EB6564">
            <w:pPr>
              <w:pStyle w:val="06cTABLETEXT"/>
              <w:jc w:val="center"/>
            </w:pPr>
            <w: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3D9F8CC" w14:textId="77777777" w:rsidR="00EB6564" w:rsidRDefault="00EB6564">
            <w:pPr>
              <w:pStyle w:val="06cTABLETEXT"/>
              <w:jc w:val="center"/>
            </w:pPr>
            <w: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C2A81DA" w14:textId="77777777" w:rsidR="00EB6564" w:rsidRDefault="00EB6564">
            <w:pPr>
              <w:pStyle w:val="06cTABLETEXT"/>
              <w:jc w:val="center"/>
            </w:pPr>
            <w:r>
              <w:t>0.00</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5C45692"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839F8BA" w14:textId="77777777" w:rsidR="00EB6564" w:rsidRDefault="00EB6564">
            <w:pPr>
              <w:pStyle w:val="06cTABLETEXT"/>
              <w:jc w:val="center"/>
            </w:pPr>
            <w:r>
              <w:rPr>
                <w:rStyle w:val="BOLD"/>
              </w:rPr>
              <w:t>0.00</w:t>
            </w:r>
          </w:p>
        </w:tc>
      </w:tr>
      <w:tr w:rsidR="00EB6564" w14:paraId="0A3C3302" w14:textId="77777777">
        <w:trPr>
          <w:trHeight w:val="17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0693EC1" w14:textId="77777777" w:rsidR="00EB6564" w:rsidRDefault="00EB6564">
            <w:pPr>
              <w:pStyle w:val="06cTABLETEXT"/>
              <w:jc w:val="center"/>
            </w:pPr>
            <w:r>
              <w:rPr>
                <w:rStyle w:val="BOLD"/>
              </w:rPr>
              <w:t>M</w:t>
            </w:r>
          </w:p>
        </w:tc>
        <w:tc>
          <w:tcPr>
            <w:tcW w:w="11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57" w:type="dxa"/>
              <w:bottom w:w="85" w:type="dxa"/>
              <w:right w:w="0" w:type="dxa"/>
            </w:tcMar>
            <w:vAlign w:val="center"/>
          </w:tcPr>
          <w:p w14:paraId="20993F97" w14:textId="77777777" w:rsidR="00EB6564" w:rsidRDefault="00EB6564">
            <w:pPr>
              <w:pStyle w:val="06cTABLETEXT"/>
            </w:pPr>
            <w:r>
              <w:rPr>
                <w:rStyle w:val="BOLD"/>
              </w:rPr>
              <w:t>Organic chemicals</w:t>
            </w:r>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22956A7" w14:textId="77777777" w:rsidR="00EB6564" w:rsidRDefault="00EB6564">
            <w:pPr>
              <w:pStyle w:val="06cTABLETEXT"/>
              <w:jc w:val="center"/>
            </w:pPr>
            <w:r>
              <w:t>133.76</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6EE137D" w14:textId="77777777" w:rsidR="00EB6564" w:rsidRDefault="00EB6564">
            <w:pPr>
              <w:pStyle w:val="06cTABLETEXT"/>
              <w:jc w:val="center"/>
            </w:pPr>
            <w:r>
              <w:t>872.16</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66EA5E9" w14:textId="77777777" w:rsidR="00EB6564" w:rsidRDefault="00EB6564">
            <w:pPr>
              <w:pStyle w:val="06cTABLETEXT"/>
              <w:jc w:val="center"/>
            </w:pPr>
            <w:r>
              <w:rPr>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DDFAD17" w14:textId="77777777" w:rsidR="00EB6564" w:rsidRDefault="00EB6564">
            <w:pPr>
              <w:pStyle w:val="06cTABLETEXT"/>
              <w:jc w:val="center"/>
            </w:pPr>
            <w: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9003635" w14:textId="77777777" w:rsidR="00EB6564" w:rsidRDefault="00EB6564">
            <w:pPr>
              <w:pStyle w:val="06cTABLETEXT"/>
              <w:jc w:val="center"/>
            </w:pPr>
            <w:r>
              <w:t>0.46</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82C43A0" w14:textId="77777777" w:rsidR="00EB6564" w:rsidRDefault="00EB6564">
            <w:pPr>
              <w:pStyle w:val="06cTABLETEXT"/>
              <w:jc w:val="center"/>
            </w:pPr>
            <w: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52B500F" w14:textId="77777777" w:rsidR="00EB6564" w:rsidRDefault="00EB6564">
            <w:pPr>
              <w:pStyle w:val="06cTABLETEXT"/>
              <w:jc w:val="center"/>
            </w:pPr>
            <w: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9AAF762" w14:textId="77777777" w:rsidR="00EB6564" w:rsidRDefault="00EB6564">
            <w:pPr>
              <w:pStyle w:val="06cTABLETEXT"/>
              <w:jc w:val="center"/>
            </w:pPr>
            <w:r>
              <w:t>19.60</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EE163AF"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7BA1ECC" w14:textId="77777777" w:rsidR="00EB6564" w:rsidRDefault="00EB6564">
            <w:pPr>
              <w:pStyle w:val="06cTABLETEXT"/>
              <w:jc w:val="center"/>
            </w:pPr>
            <w:r>
              <w:rPr>
                <w:rStyle w:val="BOLD"/>
              </w:rPr>
              <w:t>1025.98</w:t>
            </w:r>
          </w:p>
        </w:tc>
      </w:tr>
      <w:tr w:rsidR="00EB6564" w14:paraId="189F7155" w14:textId="77777777">
        <w:trPr>
          <w:trHeight w:val="17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27D7E5C" w14:textId="77777777" w:rsidR="00EB6564" w:rsidRDefault="00EB6564">
            <w:pPr>
              <w:pStyle w:val="06cTABLETEXT"/>
              <w:jc w:val="center"/>
            </w:pPr>
            <w:r>
              <w:rPr>
                <w:rStyle w:val="BOLD"/>
              </w:rPr>
              <w:t>N</w:t>
            </w:r>
          </w:p>
        </w:tc>
        <w:tc>
          <w:tcPr>
            <w:tcW w:w="11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57" w:type="dxa"/>
              <w:bottom w:w="85" w:type="dxa"/>
              <w:right w:w="0" w:type="dxa"/>
            </w:tcMar>
            <w:vAlign w:val="center"/>
          </w:tcPr>
          <w:p w14:paraId="636576D2" w14:textId="77777777" w:rsidR="00EB6564" w:rsidRDefault="00EB6564">
            <w:pPr>
              <w:pStyle w:val="06cTABLETEXT"/>
            </w:pPr>
            <w:r>
              <w:rPr>
                <w:rStyle w:val="BOLD"/>
              </w:rPr>
              <w:t>Soil/sludge</w:t>
            </w:r>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68C499B" w14:textId="77777777" w:rsidR="00EB6564" w:rsidRDefault="00EB6564">
            <w:pPr>
              <w:pStyle w:val="06cTABLETEXT"/>
              <w:jc w:val="center"/>
            </w:pPr>
            <w:r>
              <w:t>43133.95</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EF087B1" w14:textId="77777777" w:rsidR="00EB6564" w:rsidRDefault="00EB6564">
            <w:pPr>
              <w:pStyle w:val="06cTABLETEXT"/>
              <w:jc w:val="center"/>
            </w:pPr>
            <w:r>
              <w:t>6.00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C92569C" w14:textId="77777777" w:rsidR="00EB6564" w:rsidRDefault="00EB6564">
            <w:pPr>
              <w:pStyle w:val="06cTABLETEXT"/>
              <w:jc w:val="center"/>
            </w:pPr>
            <w:r>
              <w:rPr>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511792F" w14:textId="77777777" w:rsidR="00EB6564" w:rsidRDefault="00EB6564">
            <w:pPr>
              <w:pStyle w:val="06cTABLETEXT"/>
              <w:jc w:val="center"/>
            </w:pPr>
            <w: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A62EA1A"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FBB9BBE" w14:textId="77777777" w:rsidR="00EB6564" w:rsidRDefault="00EB6564">
            <w:pPr>
              <w:pStyle w:val="06cTABLETEXT"/>
              <w:jc w:val="center"/>
            </w:pPr>
            <w: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B52BFFC" w14:textId="77777777" w:rsidR="00EB6564" w:rsidRDefault="00EB6564">
            <w:pPr>
              <w:pStyle w:val="06cTABLETEXT"/>
              <w:jc w:val="center"/>
            </w:pPr>
            <w: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09BF8F7" w14:textId="77777777" w:rsidR="00EB6564" w:rsidRDefault="00EB6564">
            <w:pPr>
              <w:pStyle w:val="06cTABLETEXT"/>
              <w:jc w:val="center"/>
            </w:pPr>
            <w:r>
              <w:t>0.00</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AAB1471"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03BFE82" w14:textId="77777777" w:rsidR="00EB6564" w:rsidRDefault="00EB6564">
            <w:pPr>
              <w:pStyle w:val="06cTABLETEXT"/>
              <w:jc w:val="center"/>
            </w:pPr>
            <w:r>
              <w:rPr>
                <w:rStyle w:val="BOLD"/>
              </w:rPr>
              <w:t>43139.95</w:t>
            </w:r>
          </w:p>
        </w:tc>
      </w:tr>
      <w:tr w:rsidR="00EB6564" w14:paraId="2278793A" w14:textId="77777777">
        <w:trPr>
          <w:trHeight w:val="17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7CB94E2" w14:textId="77777777" w:rsidR="00EB6564" w:rsidRDefault="00EB6564">
            <w:pPr>
              <w:pStyle w:val="06cTABLETEXT"/>
              <w:jc w:val="center"/>
            </w:pPr>
            <w:r>
              <w:rPr>
                <w:rStyle w:val="BOLD"/>
              </w:rPr>
              <w:t>R</w:t>
            </w:r>
          </w:p>
        </w:tc>
        <w:tc>
          <w:tcPr>
            <w:tcW w:w="11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57" w:type="dxa"/>
              <w:bottom w:w="85" w:type="dxa"/>
              <w:right w:w="0" w:type="dxa"/>
            </w:tcMar>
            <w:vAlign w:val="center"/>
          </w:tcPr>
          <w:p w14:paraId="181B837E" w14:textId="77777777" w:rsidR="00EB6564" w:rsidRDefault="00EB6564">
            <w:pPr>
              <w:pStyle w:val="06cTABLETEXT"/>
            </w:pPr>
            <w:r>
              <w:rPr>
                <w:rStyle w:val="BOLD"/>
              </w:rPr>
              <w:t>Clinical &amp; pharmaceutical</w:t>
            </w:r>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2903936" w14:textId="77777777" w:rsidR="00EB6564" w:rsidRDefault="00EB6564">
            <w:pPr>
              <w:pStyle w:val="06cTABLETEXT"/>
              <w:jc w:val="center"/>
            </w:pPr>
            <w:r>
              <w:t>1823.37</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1EFAE8D"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3081A4A" w14:textId="77777777" w:rsidR="00EB6564" w:rsidRDefault="00EB6564">
            <w:pPr>
              <w:pStyle w:val="06cTABLETEXT"/>
              <w:jc w:val="center"/>
            </w:pPr>
            <w:r>
              <w:rPr>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8E52BCC" w14:textId="77777777" w:rsidR="00EB6564" w:rsidRDefault="00EB6564">
            <w:pPr>
              <w:pStyle w:val="06cTABLETEXT"/>
              <w:jc w:val="center"/>
            </w:pPr>
            <w: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ACE23AD"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13B8A47" w14:textId="77777777" w:rsidR="00EB6564" w:rsidRDefault="00EB6564">
            <w:pPr>
              <w:pStyle w:val="06cTABLETEXT"/>
              <w:jc w:val="center"/>
            </w:pPr>
            <w: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43484E2" w14:textId="77777777" w:rsidR="00EB6564" w:rsidRDefault="00EB6564">
            <w:pPr>
              <w:pStyle w:val="06cTABLETEXT"/>
              <w:jc w:val="center"/>
            </w:pPr>
            <w: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DDAA9B1" w14:textId="77777777" w:rsidR="00EB6564" w:rsidRDefault="00EB6564">
            <w:pPr>
              <w:pStyle w:val="06cTABLETEXT"/>
              <w:jc w:val="center"/>
            </w:pPr>
            <w:r>
              <w:t>0.00</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8ACD21B"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9051161" w14:textId="77777777" w:rsidR="00EB6564" w:rsidRDefault="00EB6564">
            <w:pPr>
              <w:pStyle w:val="06cTABLETEXT"/>
              <w:jc w:val="center"/>
            </w:pPr>
            <w:r>
              <w:rPr>
                <w:rStyle w:val="BOLD"/>
              </w:rPr>
              <w:t>1823.37</w:t>
            </w:r>
          </w:p>
        </w:tc>
      </w:tr>
      <w:tr w:rsidR="00EB6564" w14:paraId="280BD003" w14:textId="77777777">
        <w:trPr>
          <w:trHeight w:val="17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2CF6863" w14:textId="77777777" w:rsidR="00EB6564" w:rsidRDefault="00EB6564">
            <w:pPr>
              <w:pStyle w:val="06cTABLETEXT"/>
              <w:jc w:val="center"/>
            </w:pPr>
            <w:r>
              <w:rPr>
                <w:rStyle w:val="BOLD"/>
              </w:rPr>
              <w:t>T</w:t>
            </w:r>
          </w:p>
        </w:tc>
        <w:tc>
          <w:tcPr>
            <w:tcW w:w="11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57" w:type="dxa"/>
              <w:bottom w:w="85" w:type="dxa"/>
              <w:right w:w="0" w:type="dxa"/>
            </w:tcMar>
            <w:vAlign w:val="center"/>
          </w:tcPr>
          <w:p w14:paraId="69E447EC" w14:textId="77777777" w:rsidR="00EB6564" w:rsidRDefault="00EB6564">
            <w:pPr>
              <w:pStyle w:val="06cTABLETEXT"/>
            </w:pPr>
            <w:r>
              <w:rPr>
                <w:rStyle w:val="BOLD"/>
              </w:rPr>
              <w:t>Misc.</w:t>
            </w:r>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5A81E25" w14:textId="77777777" w:rsidR="00EB6564" w:rsidRDefault="00EB6564">
            <w:pPr>
              <w:pStyle w:val="06cTABLETEXT"/>
              <w:jc w:val="center"/>
            </w:pPr>
            <w:r>
              <w:t>13666.09</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D997A7C" w14:textId="77777777" w:rsidR="00EB6564" w:rsidRDefault="00EB6564">
            <w:pPr>
              <w:pStyle w:val="06cTABLETEXT"/>
              <w:jc w:val="center"/>
            </w:pPr>
            <w:r>
              <w:t>17.94</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3FCC96E" w14:textId="77777777" w:rsidR="00EB6564" w:rsidRDefault="00EB6564">
            <w:pPr>
              <w:pStyle w:val="06cTABLETEXT"/>
              <w:jc w:val="center"/>
            </w:pPr>
            <w:r>
              <w:rPr>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3C84764" w14:textId="77777777" w:rsidR="00EB6564" w:rsidRDefault="00EB6564">
            <w:pPr>
              <w:pStyle w:val="06cTABLETEXT"/>
              <w:jc w:val="center"/>
            </w:pPr>
            <w: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567BDA5" w14:textId="77777777" w:rsidR="00EB6564" w:rsidRDefault="00EB6564">
            <w:pPr>
              <w:pStyle w:val="06cTABLETEXT"/>
              <w:jc w:val="center"/>
            </w:pPr>
            <w:r>
              <w:t>0.00</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7E30F26" w14:textId="77777777" w:rsidR="00EB6564" w:rsidRDefault="00EB6564">
            <w:pPr>
              <w:pStyle w:val="06cTABLETEXT"/>
              <w:jc w:val="center"/>
            </w:pPr>
            <w: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CC90516" w14:textId="77777777" w:rsidR="00EB6564" w:rsidRDefault="00EB6564">
            <w:pPr>
              <w:pStyle w:val="06cTABLETEXT"/>
              <w:jc w:val="center"/>
            </w:pPr>
            <w: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6D5067D" w14:textId="77777777" w:rsidR="00EB6564" w:rsidRDefault="00EB6564">
            <w:pPr>
              <w:pStyle w:val="06cTABLETEXT"/>
              <w:jc w:val="center"/>
            </w:pPr>
            <w:r>
              <w:t>41.77</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566E005"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6AD0E56" w14:textId="77777777" w:rsidR="00EB6564" w:rsidRDefault="00EB6564">
            <w:pPr>
              <w:pStyle w:val="06cTABLETEXT"/>
              <w:jc w:val="center"/>
            </w:pPr>
            <w:r>
              <w:rPr>
                <w:rStyle w:val="BOLD"/>
              </w:rPr>
              <w:t>13725.80</w:t>
            </w:r>
          </w:p>
        </w:tc>
      </w:tr>
      <w:tr w:rsidR="00EB6564" w14:paraId="0C16AE84" w14:textId="77777777">
        <w:trPr>
          <w:trHeight w:val="170"/>
        </w:trPr>
        <w:tc>
          <w:tcPr>
            <w:tcW w:w="1696"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837C39A" w14:textId="77777777" w:rsidR="00EB6564" w:rsidRDefault="00EB6564">
            <w:pPr>
              <w:pStyle w:val="06cTABLETEXT"/>
              <w:jc w:val="center"/>
            </w:pPr>
            <w:r>
              <w:rPr>
                <w:rStyle w:val="BOLD"/>
              </w:rPr>
              <w:t>State Totals (tonnes)</w:t>
            </w:r>
          </w:p>
        </w:tc>
        <w:tc>
          <w:tcPr>
            <w:tcW w:w="76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E57D3D8" w14:textId="77777777" w:rsidR="00EB6564" w:rsidRDefault="00EB6564">
            <w:pPr>
              <w:pStyle w:val="06cTABLETEXT"/>
              <w:jc w:val="center"/>
            </w:pPr>
            <w:r>
              <w:rPr>
                <w:rStyle w:val="BOLD"/>
              </w:rPr>
              <w:t>109622.28</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A66EAB2" w14:textId="77777777" w:rsidR="00EB6564" w:rsidRDefault="00EB6564">
            <w:pPr>
              <w:pStyle w:val="06cTABLETEXT"/>
              <w:jc w:val="center"/>
            </w:pPr>
            <w:r>
              <w:rPr>
                <w:rStyle w:val="BOLD"/>
              </w:rPr>
              <w:t>1437.12</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94697B6" w14:textId="77777777" w:rsidR="00EB6564" w:rsidRDefault="00EB6564">
            <w:pPr>
              <w:pStyle w:val="06cTABLETEXT"/>
              <w:jc w:val="center"/>
            </w:pPr>
            <w:r>
              <w:rPr>
                <w:rStyle w:val="BOLD"/>
                <w:caps/>
              </w:rPr>
              <w:t>N/A</w:t>
            </w:r>
          </w:p>
        </w:tc>
        <w:tc>
          <w:tcPr>
            <w:tcW w:w="4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4371448" w14:textId="77777777" w:rsidR="00EB6564" w:rsidRDefault="00EB6564">
            <w:pPr>
              <w:pStyle w:val="06cTABLETEXT"/>
              <w:jc w:val="center"/>
            </w:pPr>
            <w:r>
              <w:rPr>
                <w:rStyle w:val="BOLD"/>
              </w:rPr>
              <w:t>0.00</w:t>
            </w:r>
          </w:p>
        </w:tc>
        <w:tc>
          <w:tcPr>
            <w:tcW w:w="49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011EEF6" w14:textId="77777777" w:rsidR="00EB6564" w:rsidRDefault="00EB6564">
            <w:pPr>
              <w:pStyle w:val="06cTABLETEXT"/>
              <w:jc w:val="center"/>
            </w:pPr>
            <w:r>
              <w:rPr>
                <w:rStyle w:val="BOLD"/>
              </w:rPr>
              <w:t>101.36</w:t>
            </w:r>
          </w:p>
        </w:tc>
        <w:tc>
          <w:tcPr>
            <w:tcW w:w="57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B094748" w14:textId="77777777" w:rsidR="00EB6564" w:rsidRDefault="00EB6564">
            <w:pPr>
              <w:pStyle w:val="06cTABLETEXT"/>
              <w:jc w:val="center"/>
            </w:pPr>
            <w:r>
              <w:rPr>
                <w:rStyle w:val="BOLD"/>
              </w:rPr>
              <w:t>0.00</w:t>
            </w:r>
          </w:p>
        </w:tc>
        <w:tc>
          <w:tcPr>
            <w:tcW w:w="48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E006EEC" w14:textId="77777777" w:rsidR="00EB6564" w:rsidRDefault="00EB6564">
            <w:pPr>
              <w:pStyle w:val="06cTABLETEXT"/>
              <w:jc w:val="center"/>
            </w:pPr>
            <w:r>
              <w:rPr>
                <w:rStyle w:val="BOLD"/>
              </w:rPr>
              <w:t>0.00</w:t>
            </w:r>
          </w:p>
        </w:tc>
        <w:tc>
          <w:tcPr>
            <w:tcW w:w="552"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1AC1E71" w14:textId="77777777" w:rsidR="00EB6564" w:rsidRDefault="00EB6564">
            <w:pPr>
              <w:pStyle w:val="06cTABLETEXT"/>
              <w:jc w:val="center"/>
            </w:pPr>
            <w:r>
              <w:rPr>
                <w:rStyle w:val="BOLD"/>
              </w:rPr>
              <w:t>2495.76</w:t>
            </w:r>
          </w:p>
        </w:tc>
        <w:tc>
          <w:tcPr>
            <w:tcW w:w="52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3188C33" w14:textId="77777777" w:rsidR="00EB6564" w:rsidRDefault="00EB6564">
            <w:pPr>
              <w:pStyle w:val="06cTABLETEXT"/>
              <w:jc w:val="center"/>
            </w:pPr>
            <w:r>
              <w:t>0.00</w:t>
            </w:r>
          </w:p>
        </w:tc>
        <w:tc>
          <w:tcPr>
            <w:tcW w:w="81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FC74E61" w14:textId="77777777" w:rsidR="00EB6564" w:rsidRDefault="00EB6564">
            <w:pPr>
              <w:pStyle w:val="06cTABLETEXT"/>
              <w:jc w:val="center"/>
            </w:pPr>
            <w:r>
              <w:rPr>
                <w:rStyle w:val="BOLD"/>
              </w:rPr>
              <w:t>113656.52</w:t>
            </w:r>
          </w:p>
        </w:tc>
      </w:tr>
    </w:tbl>
    <w:p w14:paraId="57734EFE" w14:textId="77777777" w:rsidR="00EB6564" w:rsidRDefault="00EB6564" w:rsidP="00EB6564">
      <w:pPr>
        <w:pStyle w:val="08Notes"/>
      </w:pPr>
      <w:r>
        <w:t>Under the Queensland column in tables 2, 3 &amp; 4, N/A stands for “not applicable”, because the tables are for the interstate movement of waste into the state not Intrastate movements.</w:t>
      </w:r>
    </w:p>
    <w:p w14:paraId="7DAA4C66" w14:textId="77777777" w:rsidR="00EB6564" w:rsidRDefault="00EB6564" w:rsidP="00EB6564">
      <w:pPr>
        <w:pStyle w:val="06TABLEHEADING"/>
      </w:pPr>
      <w:r>
        <w:t>Table 3: Discrepancies in movements of controlled waste into Queensland for the period 1 July 2018 to 30 June 2019—percentage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469"/>
        <w:gridCol w:w="648"/>
        <w:gridCol w:w="649"/>
        <w:gridCol w:w="648"/>
        <w:gridCol w:w="649"/>
        <w:gridCol w:w="648"/>
        <w:gridCol w:w="649"/>
        <w:gridCol w:w="648"/>
        <w:gridCol w:w="648"/>
        <w:gridCol w:w="761"/>
      </w:tblGrid>
      <w:tr w:rsidR="00EB6564" w14:paraId="0FA91F9A" w14:textId="77777777">
        <w:trPr>
          <w:trHeight w:val="60"/>
          <w:tblHeader/>
        </w:trPr>
        <w:tc>
          <w:tcPr>
            <w:tcW w:w="146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941D500" w14:textId="77777777" w:rsidR="00EB6564" w:rsidRDefault="00EB6564">
            <w:pPr>
              <w:pStyle w:val="06bTABLEHEADERROW"/>
            </w:pPr>
            <w:r>
              <w:t>*Discrepancy Type</w:t>
            </w:r>
          </w:p>
        </w:tc>
        <w:tc>
          <w:tcPr>
            <w:tcW w:w="64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D9522DD" w14:textId="77777777" w:rsidR="00EB6564" w:rsidRDefault="00EB6564">
            <w:pPr>
              <w:pStyle w:val="06bTABLEHEADERROW"/>
              <w:jc w:val="center"/>
            </w:pPr>
            <w:r>
              <w:t>NSW</w:t>
            </w:r>
          </w:p>
        </w:tc>
        <w:tc>
          <w:tcPr>
            <w:tcW w:w="64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D67452A" w14:textId="77777777" w:rsidR="00EB6564" w:rsidRDefault="00EB6564">
            <w:pPr>
              <w:pStyle w:val="06bTABLEHEADERROW"/>
              <w:jc w:val="center"/>
            </w:pPr>
            <w:r>
              <w:t>Vic</w:t>
            </w:r>
          </w:p>
        </w:tc>
        <w:tc>
          <w:tcPr>
            <w:tcW w:w="64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DD51DAC" w14:textId="77777777" w:rsidR="00EB6564" w:rsidRDefault="00EB6564">
            <w:pPr>
              <w:pStyle w:val="06bTABLEHEADERROW"/>
              <w:jc w:val="center"/>
            </w:pPr>
            <w:r>
              <w:t>Qld</w:t>
            </w:r>
          </w:p>
        </w:tc>
        <w:tc>
          <w:tcPr>
            <w:tcW w:w="64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3E018EB" w14:textId="77777777" w:rsidR="00EB6564" w:rsidRDefault="00EB6564">
            <w:pPr>
              <w:pStyle w:val="06bTABLEHEADERROW"/>
              <w:jc w:val="center"/>
            </w:pPr>
            <w:r>
              <w:t>WA</w:t>
            </w:r>
          </w:p>
        </w:tc>
        <w:tc>
          <w:tcPr>
            <w:tcW w:w="64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728A326" w14:textId="77777777" w:rsidR="00EB6564" w:rsidRDefault="00EB6564">
            <w:pPr>
              <w:pStyle w:val="06bTABLEHEADERROW"/>
              <w:jc w:val="center"/>
            </w:pPr>
            <w:r>
              <w:t>SA</w:t>
            </w:r>
          </w:p>
        </w:tc>
        <w:tc>
          <w:tcPr>
            <w:tcW w:w="64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D07AFFD" w14:textId="77777777" w:rsidR="00EB6564" w:rsidRDefault="00EB6564">
            <w:pPr>
              <w:pStyle w:val="06bTABLEHEADERROW"/>
              <w:jc w:val="center"/>
            </w:pPr>
            <w:r>
              <w:t>Tas</w:t>
            </w:r>
          </w:p>
        </w:tc>
        <w:tc>
          <w:tcPr>
            <w:tcW w:w="64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AF745D0" w14:textId="77777777" w:rsidR="00EB6564" w:rsidRDefault="00EB6564">
            <w:pPr>
              <w:pStyle w:val="06bTABLEHEADERROW"/>
              <w:jc w:val="center"/>
            </w:pPr>
            <w:r>
              <w:t>ACT</w:t>
            </w:r>
          </w:p>
        </w:tc>
        <w:tc>
          <w:tcPr>
            <w:tcW w:w="64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B3E32A5" w14:textId="77777777" w:rsidR="00EB6564" w:rsidRDefault="00EB6564">
            <w:pPr>
              <w:pStyle w:val="06bTABLEHEADERROW"/>
              <w:jc w:val="center"/>
            </w:pPr>
            <w:r>
              <w:t>NT</w:t>
            </w:r>
          </w:p>
        </w:tc>
        <w:tc>
          <w:tcPr>
            <w:tcW w:w="761"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1C29EE56" w14:textId="77777777" w:rsidR="00EB6564" w:rsidRDefault="00EB6564">
            <w:pPr>
              <w:pStyle w:val="06bTABLEHEADERROW"/>
              <w:jc w:val="center"/>
            </w:pPr>
            <w:r>
              <w:t xml:space="preserve">Ext Terr </w:t>
            </w:r>
          </w:p>
        </w:tc>
      </w:tr>
      <w:tr w:rsidR="00EB6564" w14:paraId="501ADDE5" w14:textId="77777777">
        <w:trPr>
          <w:trHeight w:val="60"/>
        </w:trPr>
        <w:tc>
          <w:tcPr>
            <w:tcW w:w="1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62E1FEC" w14:textId="77777777" w:rsidR="00EB6564" w:rsidRDefault="00EB6564">
            <w:pPr>
              <w:pStyle w:val="06cTABLETEXT"/>
            </w:pPr>
            <w:r>
              <w:rPr>
                <w:rStyle w:val="BOLD"/>
              </w:rPr>
              <w:t>Consignment non-arrival</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8B9DCB"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312E4B"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C9B9E8" w14:textId="77777777" w:rsidR="00EB6564" w:rsidRDefault="00EB6564">
            <w:pPr>
              <w:pStyle w:val="06cTABLETEXT"/>
              <w:jc w:val="center"/>
            </w:pPr>
            <w:r>
              <w:rPr>
                <w:caps/>
              </w:rPr>
              <w:t>N/A</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3EDB7C6"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1AFED23"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293920"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813933"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7C1254" w14:textId="77777777" w:rsidR="00EB6564" w:rsidRDefault="00EB6564">
            <w:pPr>
              <w:pStyle w:val="06cTABLETEXT"/>
              <w:jc w:val="center"/>
            </w:pPr>
            <w:r>
              <w:t>0%</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D7C7DA" w14:textId="77777777" w:rsidR="00EB6564" w:rsidRDefault="00EB6564">
            <w:pPr>
              <w:pStyle w:val="06cTABLETEXT"/>
              <w:jc w:val="center"/>
            </w:pPr>
            <w:r>
              <w:t>0%</w:t>
            </w:r>
          </w:p>
        </w:tc>
      </w:tr>
      <w:tr w:rsidR="00EB6564" w14:paraId="0B29E6A9" w14:textId="77777777">
        <w:trPr>
          <w:trHeight w:val="60"/>
        </w:trPr>
        <w:tc>
          <w:tcPr>
            <w:tcW w:w="1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BF8304" w14:textId="77777777" w:rsidR="00EB6564" w:rsidRDefault="00EB6564">
            <w:pPr>
              <w:pStyle w:val="06cTABLETEXT"/>
            </w:pPr>
            <w:r>
              <w:rPr>
                <w:rStyle w:val="BOLD"/>
              </w:rPr>
              <w:t>Transport without authorisation</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120EB7"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CB494A"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C7684E" w14:textId="77777777" w:rsidR="00EB6564" w:rsidRDefault="00EB6564">
            <w:pPr>
              <w:pStyle w:val="06cTABLETEXT"/>
              <w:jc w:val="center"/>
            </w:pPr>
            <w:r>
              <w:rPr>
                <w:caps/>
              </w:rPr>
              <w:t>N/A</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7F98307"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2485C5"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62CDBC9"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F8ACB9"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0714F8" w14:textId="77777777" w:rsidR="00EB6564" w:rsidRDefault="00EB6564">
            <w:pPr>
              <w:pStyle w:val="06cTABLETEXT"/>
              <w:jc w:val="center"/>
            </w:pPr>
            <w:r>
              <w:t>0%</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6BC26D0" w14:textId="77777777" w:rsidR="00EB6564" w:rsidRDefault="00EB6564">
            <w:pPr>
              <w:pStyle w:val="06cTABLETEXT"/>
              <w:jc w:val="center"/>
            </w:pPr>
            <w:r>
              <w:t>0%</w:t>
            </w:r>
          </w:p>
        </w:tc>
      </w:tr>
      <w:tr w:rsidR="00EB6564" w14:paraId="2A7F8BE5" w14:textId="77777777">
        <w:trPr>
          <w:trHeight w:val="60"/>
        </w:trPr>
        <w:tc>
          <w:tcPr>
            <w:tcW w:w="1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182A6DA" w14:textId="77777777" w:rsidR="00EB6564" w:rsidRDefault="00EB6564">
            <w:pPr>
              <w:pStyle w:val="06cTABLETEXT"/>
            </w:pPr>
            <w:r>
              <w:rPr>
                <w:rStyle w:val="BOLD"/>
              </w:rPr>
              <w:t>Non-matching documentation</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47E1A5"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A858BA"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1608CB3" w14:textId="77777777" w:rsidR="00EB6564" w:rsidRDefault="00EB6564">
            <w:pPr>
              <w:pStyle w:val="06cTABLETEXT"/>
              <w:jc w:val="center"/>
            </w:pPr>
            <w:r>
              <w:rPr>
                <w:caps/>
              </w:rPr>
              <w:t>N/A</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025A2F"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4AAEE5"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2442E9"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27B591"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6D5C1D" w14:textId="77777777" w:rsidR="00EB6564" w:rsidRDefault="00EB6564">
            <w:pPr>
              <w:pStyle w:val="06cTABLETEXT"/>
              <w:jc w:val="center"/>
            </w:pPr>
            <w:r>
              <w:t>0%</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736F3F" w14:textId="77777777" w:rsidR="00EB6564" w:rsidRDefault="00EB6564">
            <w:pPr>
              <w:pStyle w:val="06cTABLETEXT"/>
              <w:jc w:val="center"/>
            </w:pPr>
            <w:r>
              <w:t>0%</w:t>
            </w:r>
          </w:p>
        </w:tc>
      </w:tr>
      <w:tr w:rsidR="00EB6564" w14:paraId="2C799986" w14:textId="77777777">
        <w:trPr>
          <w:trHeight w:val="60"/>
        </w:trPr>
        <w:tc>
          <w:tcPr>
            <w:tcW w:w="146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269905" w14:textId="77777777" w:rsidR="00EB6564" w:rsidRDefault="00EB6564">
            <w:pPr>
              <w:pStyle w:val="06cTABLETEXT"/>
            </w:pPr>
            <w:r>
              <w:rPr>
                <w:rStyle w:val="BOLD"/>
              </w:rPr>
              <w:t>Waste data</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C943F0"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40100E"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B48F9A" w14:textId="77777777" w:rsidR="00EB6564" w:rsidRDefault="00EB6564">
            <w:pPr>
              <w:pStyle w:val="06cTABLETEXT"/>
              <w:jc w:val="center"/>
            </w:pPr>
            <w:r>
              <w:rPr>
                <w:caps/>
              </w:rPr>
              <w:t>N/A</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F5C85B"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143ADA"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229756"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314856C"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4F6F80" w14:textId="77777777" w:rsidR="00EB6564" w:rsidRDefault="00EB6564">
            <w:pPr>
              <w:pStyle w:val="06cTABLETEXT"/>
              <w:jc w:val="center"/>
            </w:pPr>
            <w:r>
              <w:t>0%</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3757796" w14:textId="77777777" w:rsidR="00EB6564" w:rsidRDefault="00EB6564">
            <w:pPr>
              <w:pStyle w:val="06cTABLETEXT"/>
              <w:jc w:val="center"/>
            </w:pPr>
            <w:r>
              <w:t>0%</w:t>
            </w:r>
          </w:p>
        </w:tc>
      </w:tr>
    </w:tbl>
    <w:p w14:paraId="0C210BD7" w14:textId="77777777" w:rsidR="00EB6564" w:rsidRDefault="00EB6564" w:rsidP="00EB6564">
      <w:pPr>
        <w:pStyle w:val="06TABLEHEADING"/>
      </w:pPr>
      <w:r>
        <w:t>Table 4: Number of movements of controlled waste into Queensland for the period 1 July 2018 to 30 June 2019</w:t>
      </w:r>
    </w:p>
    <w:tbl>
      <w:tblPr>
        <w:tblW w:w="0" w:type="auto"/>
        <w:tblInd w:w="-5" w:type="dxa"/>
        <w:tblLayout w:type="fixed"/>
        <w:tblCellMar>
          <w:left w:w="0" w:type="dxa"/>
          <w:right w:w="0" w:type="dxa"/>
        </w:tblCellMar>
        <w:tblLook w:val="0000" w:firstRow="0" w:lastRow="0" w:firstColumn="0" w:lastColumn="0" w:noHBand="0" w:noVBand="0"/>
      </w:tblPr>
      <w:tblGrid>
        <w:gridCol w:w="794"/>
        <w:gridCol w:w="794"/>
        <w:gridCol w:w="794"/>
        <w:gridCol w:w="794"/>
        <w:gridCol w:w="794"/>
        <w:gridCol w:w="794"/>
        <w:gridCol w:w="794"/>
        <w:gridCol w:w="794"/>
        <w:gridCol w:w="1077"/>
      </w:tblGrid>
      <w:tr w:rsidR="00EB6564" w14:paraId="35736568" w14:textId="77777777">
        <w:trPr>
          <w:trHeight w:val="60"/>
          <w:tblHeader/>
        </w:trPr>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ACFF046" w14:textId="77777777" w:rsidR="00EB6564" w:rsidRDefault="00EB6564">
            <w:pPr>
              <w:pStyle w:val="06bTABLEHEADERROW"/>
              <w:jc w:val="center"/>
            </w:pPr>
            <w:r>
              <w:t>NSW</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6419DF9" w14:textId="77777777" w:rsidR="00EB6564" w:rsidRDefault="00EB6564">
            <w:pPr>
              <w:pStyle w:val="06bTABLEHEADERROW"/>
              <w:jc w:val="center"/>
            </w:pPr>
            <w:r>
              <w:t>Vic</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E562CB3" w14:textId="77777777" w:rsidR="00EB6564" w:rsidRDefault="00EB6564">
            <w:pPr>
              <w:pStyle w:val="06bTABLEHEADERROW"/>
              <w:jc w:val="center"/>
            </w:pPr>
            <w:r>
              <w:t>Qld</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AFDC7AA" w14:textId="77777777" w:rsidR="00EB6564" w:rsidRDefault="00EB6564">
            <w:pPr>
              <w:pStyle w:val="06bTABLEHEADERROW"/>
              <w:jc w:val="center"/>
            </w:pPr>
            <w:r>
              <w:t>WA</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4E1892A" w14:textId="77777777" w:rsidR="00EB6564" w:rsidRDefault="00EB6564">
            <w:pPr>
              <w:pStyle w:val="06bTABLEHEADERROW"/>
              <w:jc w:val="center"/>
            </w:pPr>
            <w:r>
              <w:t>SA</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B580A3E" w14:textId="77777777" w:rsidR="00EB6564" w:rsidRDefault="00EB6564">
            <w:pPr>
              <w:pStyle w:val="06bTABLEHEADERROW"/>
              <w:jc w:val="center"/>
            </w:pPr>
            <w:r>
              <w:t>Tas</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B8DBB46" w14:textId="77777777" w:rsidR="00EB6564" w:rsidRDefault="00EB6564">
            <w:pPr>
              <w:pStyle w:val="06bTABLEHEADERROW"/>
              <w:jc w:val="center"/>
            </w:pPr>
            <w:r>
              <w:t>ACT</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7564299" w14:textId="77777777" w:rsidR="00EB6564" w:rsidRDefault="00EB6564">
            <w:pPr>
              <w:pStyle w:val="06bTABLEHEADERROW"/>
              <w:jc w:val="center"/>
            </w:pPr>
            <w:r>
              <w:t>NT</w:t>
            </w:r>
          </w:p>
        </w:tc>
        <w:tc>
          <w:tcPr>
            <w:tcW w:w="10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345BD13" w14:textId="77777777" w:rsidR="00EB6564" w:rsidRDefault="00EB6564">
            <w:pPr>
              <w:pStyle w:val="06bTABLEHEADERROW"/>
              <w:jc w:val="center"/>
            </w:pPr>
            <w:r>
              <w:t>Ext Terr*</w:t>
            </w:r>
          </w:p>
        </w:tc>
      </w:tr>
      <w:tr w:rsidR="00EB6564" w14:paraId="54B91F8F" w14:textId="77777777">
        <w:trPr>
          <w:trHeight w:val="60"/>
        </w:trPr>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062904" w14:textId="77777777" w:rsidR="00EB6564" w:rsidRDefault="00EB6564">
            <w:pPr>
              <w:pStyle w:val="06cTABLETEXT"/>
              <w:jc w:val="center"/>
            </w:pPr>
            <w:r>
              <w:t>6,669</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6036F3" w14:textId="77777777" w:rsidR="00EB6564" w:rsidRDefault="00EB6564">
            <w:pPr>
              <w:pStyle w:val="06cTABLETEXT"/>
              <w:jc w:val="center"/>
            </w:pPr>
            <w:r>
              <w:t>83</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28E078" w14:textId="77777777" w:rsidR="00EB6564" w:rsidRDefault="00EB6564">
            <w:pPr>
              <w:pStyle w:val="06cTABLETEXT"/>
              <w:jc w:val="center"/>
            </w:pPr>
            <w:r>
              <w:rPr>
                <w:caps/>
              </w:rPr>
              <w:t>N/A</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B382D6B"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53322D6" w14:textId="77777777" w:rsidR="00EB6564" w:rsidRDefault="00EB6564">
            <w:pPr>
              <w:pStyle w:val="06cTABLETEXT"/>
              <w:jc w:val="center"/>
            </w:pPr>
            <w:r>
              <w:t>6</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CC31BA"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59C7912"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DD92D7" w14:textId="77777777" w:rsidR="00EB6564" w:rsidRDefault="00EB6564">
            <w:pPr>
              <w:pStyle w:val="06cTABLETEXT"/>
              <w:jc w:val="center"/>
            </w:pPr>
            <w:r>
              <w:t>73</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56F9C6" w14:textId="77777777" w:rsidR="00EB6564" w:rsidRDefault="00EB6564">
            <w:pPr>
              <w:pStyle w:val="06cTABLETEXT"/>
              <w:jc w:val="center"/>
            </w:pPr>
            <w:r>
              <w:t>0</w:t>
            </w:r>
          </w:p>
        </w:tc>
      </w:tr>
    </w:tbl>
    <w:p w14:paraId="5F3CFADD" w14:textId="77777777" w:rsidR="00EB6564" w:rsidRPr="009408AB" w:rsidRDefault="00EB6564" w:rsidP="00CB0DA6">
      <w:pPr>
        <w:pStyle w:val="Heading2"/>
      </w:pPr>
      <w:bookmarkStart w:id="59" w:name="_Toc58254413"/>
      <w:r w:rsidRPr="009408AB">
        <w:t>Western Australia</w:t>
      </w:r>
      <w:bookmarkEnd w:id="59"/>
      <w:r w:rsidRPr="009408AB">
        <w:t xml:space="preserve"> </w:t>
      </w:r>
    </w:p>
    <w:p w14:paraId="4170DD02" w14:textId="77777777" w:rsidR="00EB6564" w:rsidRDefault="00EB6564" w:rsidP="00EB6564">
      <w:pPr>
        <w:pStyle w:val="05BODYTEXT"/>
        <w:rPr>
          <w:rStyle w:val="ITALIC"/>
        </w:rPr>
      </w:pPr>
      <w:r>
        <w:rPr>
          <w:rStyle w:val="ITALIC"/>
        </w:rPr>
        <w:t>Report to the NEPC on the implementation of the National Environment Protection (Movement of Controlled Waste between States and Territories) Measure for Western Australia by the Hon. Stephen Dawson MLC, Minister for Environment; Disability Services; Electoral Affairs for the reporting year ended 30 June 2019.</w:t>
      </w:r>
    </w:p>
    <w:p w14:paraId="21DB5EB5" w14:textId="77777777" w:rsidR="00EB6564" w:rsidRDefault="00EB6564" w:rsidP="00EB6564">
      <w:pPr>
        <w:pStyle w:val="02HEADING2"/>
      </w:pPr>
      <w:r>
        <w:t>Part 1—Implementation of the NEPM and any significant issues</w:t>
      </w:r>
    </w:p>
    <w:p w14:paraId="77CD1C71" w14:textId="77777777" w:rsidR="00EB6564" w:rsidRDefault="00EB6564" w:rsidP="00EB6564">
      <w:pPr>
        <w:pStyle w:val="05BODYTEXT"/>
      </w:pPr>
      <w:r>
        <w:t xml:space="preserve">The Department of Water and Environmental Regulation is responsible for administering the implementation of the </w:t>
      </w:r>
      <w:r>
        <w:rPr>
          <w:rStyle w:val="ITALIC"/>
        </w:rPr>
        <w:t>National Environment Protection (Movement of Controlled Waste between States and Territories) Measure</w:t>
      </w:r>
      <w:r>
        <w:t xml:space="preserve">, under the </w:t>
      </w:r>
      <w:r>
        <w:rPr>
          <w:rStyle w:val="ITALIC"/>
        </w:rPr>
        <w:t>National Environment Protection Council (WA) Act 1996</w:t>
      </w:r>
      <w:r>
        <w:t xml:space="preserve"> and the </w:t>
      </w:r>
      <w:r>
        <w:rPr>
          <w:rStyle w:val="ITALIC"/>
        </w:rPr>
        <w:t>Environmental Protection Act 1986</w:t>
      </w:r>
      <w:r>
        <w:t>, in Western Australia.</w:t>
      </w:r>
    </w:p>
    <w:p w14:paraId="12C92153" w14:textId="77777777" w:rsidR="00EB6564" w:rsidRDefault="00EB6564" w:rsidP="00EB6564">
      <w:pPr>
        <w:pStyle w:val="05BODYTEXT"/>
      </w:pPr>
      <w:r>
        <w:t xml:space="preserve">The provisions of the </w:t>
      </w:r>
      <w:r>
        <w:rPr>
          <w:rStyle w:val="ITALIC"/>
        </w:rPr>
        <w:t>Environmental Protection (Controlled Waste) Regulations 2004</w:t>
      </w:r>
      <w:r>
        <w:t xml:space="preserve"> provide for the licensing of carriers, drivers, vehicles and/or tanks, and the use of controlled waste tracking forms to ensure controlled waste is transported to an appropriate waste facility. </w:t>
      </w:r>
    </w:p>
    <w:p w14:paraId="491033CF" w14:textId="77777777" w:rsidR="00EB6564" w:rsidRDefault="00EB6564" w:rsidP="00EB6564">
      <w:pPr>
        <w:pStyle w:val="05BODYTEXT"/>
      </w:pPr>
      <w:r>
        <w:lastRenderedPageBreak/>
        <w:t xml:space="preserve">Western Australia is carrying out a review of the </w:t>
      </w:r>
      <w:r>
        <w:rPr>
          <w:rStyle w:val="ITALIC"/>
        </w:rPr>
        <w:t>Environmental Protection (Controlled Waste) Regulations 2004</w:t>
      </w:r>
      <w:r>
        <w:t xml:space="preserve"> (the Regulations) to ensure the Regulations are risk-based, streamlined and effective.</w:t>
      </w:r>
    </w:p>
    <w:p w14:paraId="0DA0710E" w14:textId="77777777" w:rsidR="00EB6564" w:rsidRDefault="00EB6564" w:rsidP="00EB6564">
      <w:pPr>
        <w:pStyle w:val="02HEADING2"/>
      </w:pPr>
      <w:r>
        <w:t>Part 2—Assessment of NEPM effectiveness</w:t>
      </w:r>
    </w:p>
    <w:p w14:paraId="5F1DEC4B" w14:textId="77777777" w:rsidR="00EB6564" w:rsidRDefault="00EB6564" w:rsidP="00EB6564">
      <w:pPr>
        <w:pStyle w:val="06TABLEHEADING"/>
      </w:pPr>
      <w:r>
        <w:t xml:space="preserve">Table 1: Number of consignment authorisations issued by Western Australia </w:t>
      </w:r>
    </w:p>
    <w:tbl>
      <w:tblPr>
        <w:tblW w:w="0" w:type="auto"/>
        <w:tblInd w:w="-5" w:type="dxa"/>
        <w:tblLayout w:type="fixed"/>
        <w:tblCellMar>
          <w:left w:w="0" w:type="dxa"/>
          <w:right w:w="0" w:type="dxa"/>
        </w:tblCellMar>
        <w:tblLook w:val="0000" w:firstRow="0" w:lastRow="0" w:firstColumn="0" w:lastColumn="0" w:noHBand="0" w:noVBand="0"/>
      </w:tblPr>
      <w:tblGrid>
        <w:gridCol w:w="3703"/>
        <w:gridCol w:w="3704"/>
      </w:tblGrid>
      <w:tr w:rsidR="00EB6564" w14:paraId="4DF14E1B" w14:textId="77777777">
        <w:trPr>
          <w:trHeight w:val="60"/>
          <w:tblHeader/>
        </w:trPr>
        <w:tc>
          <w:tcPr>
            <w:tcW w:w="370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9FEDAA8" w14:textId="77777777" w:rsidR="00EB6564" w:rsidRDefault="00EB6564">
            <w:pPr>
              <w:pStyle w:val="06bTABLEHEADERROW"/>
              <w:jc w:val="center"/>
            </w:pPr>
            <w:r>
              <w:t>Reporting Year</w:t>
            </w:r>
          </w:p>
        </w:tc>
        <w:tc>
          <w:tcPr>
            <w:tcW w:w="370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117179A" w14:textId="77777777" w:rsidR="00EB6564" w:rsidRDefault="00EB6564">
            <w:pPr>
              <w:pStyle w:val="06bTABLEHEADERROW"/>
              <w:jc w:val="center"/>
            </w:pPr>
            <w:r>
              <w:t xml:space="preserve">Consignment authorisations issued </w:t>
            </w:r>
          </w:p>
        </w:tc>
      </w:tr>
      <w:tr w:rsidR="00EB6564" w14:paraId="3095EDEC"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4E2F82" w14:textId="77777777" w:rsidR="00EB6564" w:rsidRDefault="00EB6564">
            <w:pPr>
              <w:pStyle w:val="05BODYTEXT"/>
              <w:jc w:val="center"/>
            </w:pPr>
            <w:r>
              <w:t>2017–18</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B8175ED" w14:textId="77777777" w:rsidR="00EB6564" w:rsidRDefault="00EB6564">
            <w:pPr>
              <w:pStyle w:val="05BODYTEXT"/>
              <w:jc w:val="center"/>
            </w:pPr>
            <w:r>
              <w:t>6</w:t>
            </w:r>
          </w:p>
        </w:tc>
      </w:tr>
      <w:tr w:rsidR="00EB6564" w14:paraId="60FB28BB"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2D55513" w14:textId="77777777" w:rsidR="00EB6564" w:rsidRDefault="00EB6564">
            <w:pPr>
              <w:pStyle w:val="05BODYTEXT"/>
              <w:jc w:val="center"/>
            </w:pPr>
            <w:r>
              <w:t>2018–19</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D2D6150" w14:textId="77777777" w:rsidR="00EB6564" w:rsidRDefault="00EB6564">
            <w:pPr>
              <w:pStyle w:val="05BODYTEXT"/>
              <w:jc w:val="center"/>
            </w:pPr>
            <w:r>
              <w:t>12</w:t>
            </w:r>
          </w:p>
        </w:tc>
      </w:tr>
    </w:tbl>
    <w:p w14:paraId="11DF8E32" w14:textId="77777777" w:rsidR="00EB6564" w:rsidRDefault="00EB6564" w:rsidP="00EB6564">
      <w:pPr>
        <w:pStyle w:val="06TABLEHEADING"/>
      </w:pPr>
      <w:r>
        <w:t>Table 2: Quantity of controlled waste into Western Australia for the period 1 July 2018 to 30 June 2019—tonnes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19"/>
        <w:gridCol w:w="1256"/>
        <w:gridCol w:w="545"/>
        <w:gridCol w:w="544"/>
        <w:gridCol w:w="545"/>
        <w:gridCol w:w="545"/>
        <w:gridCol w:w="544"/>
        <w:gridCol w:w="545"/>
        <w:gridCol w:w="545"/>
        <w:gridCol w:w="737"/>
        <w:gridCol w:w="558"/>
        <w:gridCol w:w="761"/>
      </w:tblGrid>
      <w:tr w:rsidR="00EB6564" w14:paraId="56C22443" w14:textId="77777777">
        <w:trPr>
          <w:trHeight w:val="60"/>
          <w:tblHeader/>
        </w:trPr>
        <w:tc>
          <w:tcPr>
            <w:tcW w:w="519"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485ED414" w14:textId="77777777" w:rsidR="00EB6564" w:rsidRDefault="00EB6564">
            <w:pPr>
              <w:pStyle w:val="06bTABLEHEADERROW"/>
              <w:jc w:val="center"/>
            </w:pPr>
            <w:r>
              <w:t>Code</w:t>
            </w:r>
          </w:p>
        </w:tc>
        <w:tc>
          <w:tcPr>
            <w:tcW w:w="125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8FADAC7" w14:textId="77777777" w:rsidR="00EB6564" w:rsidRDefault="00EB6564">
            <w:pPr>
              <w:pStyle w:val="06bTABLEHEADERROW"/>
            </w:pPr>
            <w:r>
              <w:t>Description</w:t>
            </w:r>
          </w:p>
        </w:tc>
        <w:tc>
          <w:tcPr>
            <w:tcW w:w="54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AA80A7D" w14:textId="77777777" w:rsidR="00EB6564" w:rsidRDefault="00EB6564">
            <w:pPr>
              <w:pStyle w:val="06bTABLEHEADERROW"/>
            </w:pPr>
            <w:r>
              <w:t>NSW</w:t>
            </w:r>
          </w:p>
        </w:tc>
        <w:tc>
          <w:tcPr>
            <w:tcW w:w="54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BA7438A" w14:textId="77777777" w:rsidR="00EB6564" w:rsidRDefault="00EB6564">
            <w:pPr>
              <w:pStyle w:val="06bTABLEHEADERROW"/>
            </w:pPr>
            <w:r>
              <w:t>Vic</w:t>
            </w:r>
          </w:p>
        </w:tc>
        <w:tc>
          <w:tcPr>
            <w:tcW w:w="54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AD6CEB6" w14:textId="77777777" w:rsidR="00EB6564" w:rsidRDefault="00EB6564">
            <w:pPr>
              <w:pStyle w:val="06bTABLEHEADERROW"/>
            </w:pPr>
            <w:r>
              <w:t>Qld</w:t>
            </w:r>
          </w:p>
        </w:tc>
        <w:tc>
          <w:tcPr>
            <w:tcW w:w="54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DC50432" w14:textId="77777777" w:rsidR="00EB6564" w:rsidRDefault="00EB6564">
            <w:pPr>
              <w:pStyle w:val="06bTABLEHEADERROW"/>
            </w:pPr>
            <w:r>
              <w:t>WA</w:t>
            </w:r>
          </w:p>
        </w:tc>
        <w:tc>
          <w:tcPr>
            <w:tcW w:w="54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A3EB11A" w14:textId="77777777" w:rsidR="00EB6564" w:rsidRDefault="00EB6564">
            <w:pPr>
              <w:pStyle w:val="06bTABLEHEADERROW"/>
            </w:pPr>
            <w:r>
              <w:t>SA</w:t>
            </w:r>
          </w:p>
        </w:tc>
        <w:tc>
          <w:tcPr>
            <w:tcW w:w="54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21D2276" w14:textId="77777777" w:rsidR="00EB6564" w:rsidRDefault="00EB6564">
            <w:pPr>
              <w:pStyle w:val="06bTABLEHEADERROW"/>
            </w:pPr>
            <w:r>
              <w:t>Tas</w:t>
            </w:r>
          </w:p>
        </w:tc>
        <w:tc>
          <w:tcPr>
            <w:tcW w:w="54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2BFF7FC" w14:textId="77777777" w:rsidR="00EB6564" w:rsidRDefault="00EB6564">
            <w:pPr>
              <w:pStyle w:val="06bTABLEHEADERROW"/>
            </w:pPr>
            <w:r>
              <w:t>ACT</w:t>
            </w:r>
          </w:p>
        </w:tc>
        <w:tc>
          <w:tcPr>
            <w:tcW w:w="73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99966B2" w14:textId="77777777" w:rsidR="00EB6564" w:rsidRDefault="00EB6564">
            <w:pPr>
              <w:pStyle w:val="06bTABLEHEADERROW"/>
            </w:pPr>
            <w:r>
              <w:t>NT</w:t>
            </w:r>
          </w:p>
        </w:tc>
        <w:tc>
          <w:tcPr>
            <w:tcW w:w="55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D05A6EF" w14:textId="77777777" w:rsidR="00EB6564" w:rsidRDefault="00EB6564">
            <w:pPr>
              <w:pStyle w:val="06bTABLEHEADERROW"/>
            </w:pPr>
            <w:r>
              <w:t>Ext-Terr*</w:t>
            </w:r>
          </w:p>
        </w:tc>
        <w:tc>
          <w:tcPr>
            <w:tcW w:w="761"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85" w:type="dxa"/>
            </w:tcMar>
            <w:vAlign w:val="bottom"/>
          </w:tcPr>
          <w:p w14:paraId="0CE20AB9" w14:textId="77777777" w:rsidR="00EB6564" w:rsidRDefault="00EB6564">
            <w:pPr>
              <w:pStyle w:val="06bTABLEHEADERROW"/>
              <w:jc w:val="center"/>
            </w:pPr>
            <w:r>
              <w:rPr>
                <w:rStyle w:val="BOLD"/>
                <w:b/>
                <w:bCs/>
              </w:rPr>
              <w:t>Total (tonnes)</w:t>
            </w:r>
          </w:p>
        </w:tc>
      </w:tr>
      <w:tr w:rsidR="00EB6564" w14:paraId="3A4BABFD" w14:textId="77777777">
        <w:trPr>
          <w:trHeight w:val="60"/>
        </w:trPr>
        <w:tc>
          <w:tcPr>
            <w:tcW w:w="5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F5FBFF" w14:textId="77777777" w:rsidR="00EB6564" w:rsidRDefault="00EB6564">
            <w:pPr>
              <w:pStyle w:val="06cTABLETEXT"/>
              <w:jc w:val="center"/>
            </w:pPr>
            <w:r>
              <w:rPr>
                <w:rStyle w:val="BOLD"/>
              </w:rPr>
              <w:t>A</w:t>
            </w:r>
          </w:p>
        </w:tc>
        <w:tc>
          <w:tcPr>
            <w:tcW w:w="12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D167CA" w14:textId="77777777" w:rsidR="00EB6564" w:rsidRDefault="00EB6564">
            <w:pPr>
              <w:pStyle w:val="06cTABLETEXT"/>
            </w:pPr>
            <w:r>
              <w:rPr>
                <w:rStyle w:val="BOLD"/>
              </w:rPr>
              <w:t>Plating &amp; heat treatment</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87777E" w14:textId="77777777" w:rsidR="00EB6564" w:rsidRDefault="00EB6564">
            <w:pPr>
              <w:pStyle w:val="06cTABLETEXT"/>
              <w:jc w:val="right"/>
            </w:pPr>
            <w:r>
              <w:t>0.00 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FFDEB7"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0FBFF5"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442405" w14:textId="77777777" w:rsidR="00EB6564" w:rsidRDefault="00EB6564">
            <w:pPr>
              <w:pStyle w:val="06cTABLETEXT"/>
              <w:jc w:val="right"/>
            </w:pPr>
            <w:r>
              <w:t>N/A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26C423"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73F30E8"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4404FB" w14:textId="77777777" w:rsidR="00EB6564" w:rsidRDefault="00EB6564">
            <w:pPr>
              <w:pStyle w:val="06cTABLETEXT"/>
              <w:jc w:val="right"/>
            </w:pPr>
            <w:r>
              <w:t>0.00 </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7FDCB6" w14:textId="77777777" w:rsidR="00EB6564" w:rsidRDefault="00EB6564">
            <w:pPr>
              <w:pStyle w:val="06cTABLETEXT"/>
              <w:jc w:val="right"/>
            </w:pPr>
            <w:r>
              <w:t>0.00</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430F8D" w14:textId="77777777" w:rsidR="00EB6564" w:rsidRDefault="00EB6564">
            <w:pPr>
              <w:pStyle w:val="06cTABLETEXT"/>
              <w:jc w:val="right"/>
            </w:pPr>
            <w:r>
              <w:t>0.00 </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DB88178" w14:textId="77777777" w:rsidR="00EB6564" w:rsidRDefault="00EB6564">
            <w:pPr>
              <w:pStyle w:val="06cTABLETEXT"/>
              <w:jc w:val="right"/>
            </w:pPr>
            <w:r>
              <w:rPr>
                <w:rStyle w:val="BOLD"/>
              </w:rPr>
              <w:t>0.00</w:t>
            </w:r>
          </w:p>
        </w:tc>
      </w:tr>
      <w:tr w:rsidR="00EB6564" w14:paraId="46308F78" w14:textId="77777777">
        <w:trPr>
          <w:trHeight w:val="60"/>
        </w:trPr>
        <w:tc>
          <w:tcPr>
            <w:tcW w:w="5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411E91F" w14:textId="77777777" w:rsidR="00EB6564" w:rsidRDefault="00EB6564">
            <w:pPr>
              <w:pStyle w:val="06cTABLETEXT"/>
              <w:jc w:val="center"/>
            </w:pPr>
            <w:r>
              <w:rPr>
                <w:rStyle w:val="BOLD"/>
              </w:rPr>
              <w:t>B</w:t>
            </w:r>
          </w:p>
        </w:tc>
        <w:tc>
          <w:tcPr>
            <w:tcW w:w="12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29066E" w14:textId="77777777" w:rsidR="00EB6564" w:rsidRDefault="00EB6564">
            <w:pPr>
              <w:pStyle w:val="06cTABLETEXT"/>
            </w:pPr>
            <w:r>
              <w:rPr>
                <w:rStyle w:val="BOLD"/>
              </w:rPr>
              <w:t>Acids</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6E87E55" w14:textId="77777777" w:rsidR="00EB6564" w:rsidRDefault="00EB6564">
            <w:pPr>
              <w:pStyle w:val="06cTABLETEXT"/>
              <w:jc w:val="right"/>
            </w:pPr>
            <w:r>
              <w:t>0.00 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434A95"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912FD1"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CE417CE" w14:textId="77777777" w:rsidR="00EB6564" w:rsidRDefault="00EB6564">
            <w:pPr>
              <w:pStyle w:val="06cTABLETEXT"/>
              <w:jc w:val="right"/>
            </w:pPr>
            <w:r>
              <w:t>N/A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571FA20"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95719F"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34ABFD" w14:textId="77777777" w:rsidR="00EB6564" w:rsidRDefault="00EB6564">
            <w:pPr>
              <w:pStyle w:val="06cTABLETEXT"/>
              <w:jc w:val="right"/>
            </w:pPr>
            <w:r>
              <w:t>0.00 </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B6F0D6" w14:textId="77777777" w:rsidR="00EB6564" w:rsidRDefault="00EB6564">
            <w:pPr>
              <w:pStyle w:val="06cTABLETEXT"/>
              <w:jc w:val="right"/>
            </w:pPr>
            <w:r>
              <w:t>31.00</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42191B" w14:textId="77777777" w:rsidR="00EB6564" w:rsidRDefault="00EB6564">
            <w:pPr>
              <w:pStyle w:val="06cTABLETEXT"/>
              <w:jc w:val="right"/>
            </w:pPr>
            <w:r>
              <w:t>0.00 </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ACA1911" w14:textId="77777777" w:rsidR="00EB6564" w:rsidRDefault="00EB6564">
            <w:pPr>
              <w:pStyle w:val="06cTABLETEXT"/>
              <w:jc w:val="right"/>
            </w:pPr>
            <w:r>
              <w:rPr>
                <w:rStyle w:val="BOLD"/>
              </w:rPr>
              <w:t>31.00</w:t>
            </w:r>
          </w:p>
        </w:tc>
      </w:tr>
      <w:tr w:rsidR="00EB6564" w14:paraId="2B16573C" w14:textId="77777777">
        <w:trPr>
          <w:trHeight w:val="60"/>
        </w:trPr>
        <w:tc>
          <w:tcPr>
            <w:tcW w:w="5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FFCD6D1" w14:textId="77777777" w:rsidR="00EB6564" w:rsidRDefault="00EB6564">
            <w:pPr>
              <w:pStyle w:val="06cTABLETEXT"/>
              <w:jc w:val="center"/>
            </w:pPr>
            <w:r>
              <w:rPr>
                <w:rStyle w:val="BOLD"/>
              </w:rPr>
              <w:t>C</w:t>
            </w:r>
          </w:p>
        </w:tc>
        <w:tc>
          <w:tcPr>
            <w:tcW w:w="12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CA032B" w14:textId="77777777" w:rsidR="00EB6564" w:rsidRDefault="00EB6564">
            <w:pPr>
              <w:pStyle w:val="06cTABLETEXT"/>
            </w:pPr>
            <w:r>
              <w:rPr>
                <w:rStyle w:val="BOLD"/>
              </w:rPr>
              <w:t>Alkalis</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DE84A09" w14:textId="77777777" w:rsidR="00EB6564" w:rsidRDefault="00EB6564">
            <w:pPr>
              <w:pStyle w:val="06cTABLETEXT"/>
              <w:jc w:val="right"/>
            </w:pPr>
            <w:r>
              <w:t>0.00 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36D04B3"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5A212A"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4B735CE" w14:textId="77777777" w:rsidR="00EB6564" w:rsidRDefault="00EB6564">
            <w:pPr>
              <w:pStyle w:val="06cTABLETEXT"/>
              <w:jc w:val="right"/>
            </w:pPr>
            <w:r>
              <w:t>N/A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397E8BE"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C890C0"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A65D36A" w14:textId="77777777" w:rsidR="00EB6564" w:rsidRDefault="00EB6564">
            <w:pPr>
              <w:pStyle w:val="06cTABLETEXT"/>
              <w:jc w:val="right"/>
            </w:pPr>
            <w:r>
              <w:t>0.00 </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6C7627" w14:textId="77777777" w:rsidR="00EB6564" w:rsidRDefault="00EB6564">
            <w:pPr>
              <w:pStyle w:val="06cTABLETEXT"/>
              <w:jc w:val="right"/>
            </w:pPr>
            <w:r>
              <w:t>0.00</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FD9E8B" w14:textId="77777777" w:rsidR="00EB6564" w:rsidRDefault="00EB6564">
            <w:pPr>
              <w:pStyle w:val="06cTABLETEXT"/>
              <w:jc w:val="right"/>
            </w:pPr>
            <w:r>
              <w:t>0.00 </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2B8154F" w14:textId="77777777" w:rsidR="00EB6564" w:rsidRDefault="00EB6564">
            <w:pPr>
              <w:pStyle w:val="06cTABLETEXT"/>
              <w:jc w:val="right"/>
            </w:pPr>
            <w:r>
              <w:rPr>
                <w:rStyle w:val="BOLD"/>
              </w:rPr>
              <w:t>0.00</w:t>
            </w:r>
          </w:p>
        </w:tc>
      </w:tr>
      <w:tr w:rsidR="00EB6564" w14:paraId="5F1740A1" w14:textId="77777777">
        <w:trPr>
          <w:trHeight w:val="60"/>
        </w:trPr>
        <w:tc>
          <w:tcPr>
            <w:tcW w:w="5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31D62FB" w14:textId="77777777" w:rsidR="00EB6564" w:rsidRDefault="00EB6564">
            <w:pPr>
              <w:pStyle w:val="06cTABLETEXT"/>
              <w:jc w:val="center"/>
            </w:pPr>
            <w:r>
              <w:rPr>
                <w:rStyle w:val="BOLD"/>
              </w:rPr>
              <w:t>D</w:t>
            </w:r>
          </w:p>
        </w:tc>
        <w:tc>
          <w:tcPr>
            <w:tcW w:w="12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6AE3EA" w14:textId="77777777" w:rsidR="00EB6564" w:rsidRDefault="00EB6564">
            <w:pPr>
              <w:pStyle w:val="06cTABLETEXT"/>
            </w:pPr>
            <w:r>
              <w:rPr>
                <w:rStyle w:val="BOLD"/>
              </w:rPr>
              <w:t>Inorganic chemicals</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4B672B5" w14:textId="77777777" w:rsidR="00EB6564" w:rsidRDefault="00EB6564">
            <w:pPr>
              <w:pStyle w:val="06cTABLETEXT"/>
              <w:jc w:val="right"/>
            </w:pPr>
            <w:r>
              <w:t>0.00 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5B5668"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0EA6A8"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1C2A76" w14:textId="77777777" w:rsidR="00EB6564" w:rsidRDefault="00EB6564">
            <w:pPr>
              <w:pStyle w:val="06cTABLETEXT"/>
              <w:jc w:val="right"/>
            </w:pPr>
            <w:r>
              <w:t>N/A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95C9E1"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6EB4DA"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1CC945" w14:textId="77777777" w:rsidR="00EB6564" w:rsidRDefault="00EB6564">
            <w:pPr>
              <w:pStyle w:val="06cTABLETEXT"/>
              <w:jc w:val="right"/>
            </w:pPr>
            <w:r>
              <w:t>0.00 </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6206C6" w14:textId="77777777" w:rsidR="00EB6564" w:rsidRDefault="00EB6564">
            <w:pPr>
              <w:pStyle w:val="06cTABLETEXT"/>
              <w:jc w:val="right"/>
            </w:pPr>
            <w:r>
              <w:t>0.00</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AAC84D" w14:textId="77777777" w:rsidR="00EB6564" w:rsidRDefault="00EB6564">
            <w:pPr>
              <w:pStyle w:val="06cTABLETEXT"/>
              <w:jc w:val="right"/>
            </w:pPr>
            <w:r>
              <w:t>0.00 </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4D30943" w14:textId="77777777" w:rsidR="00EB6564" w:rsidRDefault="00EB6564">
            <w:pPr>
              <w:pStyle w:val="06cTABLETEXT"/>
              <w:jc w:val="right"/>
            </w:pPr>
            <w:r>
              <w:rPr>
                <w:rStyle w:val="BOLD"/>
              </w:rPr>
              <w:t>0.00</w:t>
            </w:r>
          </w:p>
        </w:tc>
      </w:tr>
      <w:tr w:rsidR="00EB6564" w14:paraId="0FF710ED" w14:textId="77777777">
        <w:trPr>
          <w:trHeight w:val="60"/>
        </w:trPr>
        <w:tc>
          <w:tcPr>
            <w:tcW w:w="5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1752E8" w14:textId="77777777" w:rsidR="00EB6564" w:rsidRDefault="00EB6564">
            <w:pPr>
              <w:pStyle w:val="06cTABLETEXT"/>
              <w:jc w:val="center"/>
            </w:pPr>
            <w:r>
              <w:rPr>
                <w:rStyle w:val="BOLD"/>
              </w:rPr>
              <w:t>E</w:t>
            </w:r>
          </w:p>
        </w:tc>
        <w:tc>
          <w:tcPr>
            <w:tcW w:w="12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BD44FC6" w14:textId="77777777" w:rsidR="00EB6564" w:rsidRDefault="00EB6564">
            <w:pPr>
              <w:pStyle w:val="06cTABLETEXT"/>
            </w:pPr>
            <w:r>
              <w:rPr>
                <w:rStyle w:val="BOLD"/>
              </w:rPr>
              <w:t>Reactive chemicals</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0508F6" w14:textId="77777777" w:rsidR="00EB6564" w:rsidRDefault="00EB6564">
            <w:pPr>
              <w:pStyle w:val="06cTABLETEXT"/>
              <w:jc w:val="right"/>
            </w:pPr>
            <w:r>
              <w:t>0.00 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35C1C0"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56AA4F"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FD05E15" w14:textId="77777777" w:rsidR="00EB6564" w:rsidRDefault="00EB6564">
            <w:pPr>
              <w:pStyle w:val="06cTABLETEXT"/>
              <w:jc w:val="right"/>
            </w:pPr>
            <w:r>
              <w:t>N/A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7B62D1D"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ED7112"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17C0F1" w14:textId="77777777" w:rsidR="00EB6564" w:rsidRDefault="00EB6564">
            <w:pPr>
              <w:pStyle w:val="06cTABLETEXT"/>
              <w:jc w:val="right"/>
            </w:pPr>
            <w:r>
              <w:t>0.00 </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51ABB4" w14:textId="77777777" w:rsidR="00EB6564" w:rsidRDefault="00EB6564">
            <w:pPr>
              <w:pStyle w:val="06cTABLETEXT"/>
              <w:jc w:val="right"/>
            </w:pPr>
            <w:r>
              <w:t>0.00</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434DD2E" w14:textId="77777777" w:rsidR="00EB6564" w:rsidRDefault="00EB6564">
            <w:pPr>
              <w:pStyle w:val="06cTABLETEXT"/>
              <w:jc w:val="right"/>
            </w:pPr>
            <w:r>
              <w:t>0.00 </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B15D771" w14:textId="77777777" w:rsidR="00EB6564" w:rsidRDefault="00EB6564">
            <w:pPr>
              <w:pStyle w:val="06cTABLETEXT"/>
              <w:jc w:val="right"/>
            </w:pPr>
            <w:r>
              <w:rPr>
                <w:rStyle w:val="BOLD"/>
              </w:rPr>
              <w:t>0.00</w:t>
            </w:r>
          </w:p>
        </w:tc>
      </w:tr>
      <w:tr w:rsidR="00EB6564" w14:paraId="45A3FD4E" w14:textId="77777777">
        <w:trPr>
          <w:trHeight w:val="60"/>
        </w:trPr>
        <w:tc>
          <w:tcPr>
            <w:tcW w:w="5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5105C7" w14:textId="77777777" w:rsidR="00EB6564" w:rsidRDefault="00EB6564">
            <w:pPr>
              <w:pStyle w:val="06cTABLETEXT"/>
              <w:jc w:val="center"/>
            </w:pPr>
            <w:r>
              <w:rPr>
                <w:rStyle w:val="BOLD"/>
              </w:rPr>
              <w:t>F</w:t>
            </w:r>
          </w:p>
        </w:tc>
        <w:tc>
          <w:tcPr>
            <w:tcW w:w="12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57672F" w14:textId="77777777" w:rsidR="00EB6564" w:rsidRDefault="00EB6564">
            <w:pPr>
              <w:pStyle w:val="06cTABLETEXT"/>
            </w:pPr>
            <w:r>
              <w:rPr>
                <w:rStyle w:val="BOLD"/>
              </w:rPr>
              <w:t>paints, resins, inks organic sludges</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1E18EA" w14:textId="77777777" w:rsidR="00EB6564" w:rsidRDefault="00EB6564">
            <w:pPr>
              <w:pStyle w:val="06cTABLETEXT"/>
              <w:jc w:val="right"/>
            </w:pPr>
            <w:r>
              <w:t>0.00 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CAEB49A"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5371DB"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43A657" w14:textId="77777777" w:rsidR="00EB6564" w:rsidRDefault="00EB6564">
            <w:pPr>
              <w:pStyle w:val="06cTABLETEXT"/>
              <w:jc w:val="right"/>
            </w:pPr>
            <w:r>
              <w:t>N/A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75131E6"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0F3F34F"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CA04BA" w14:textId="77777777" w:rsidR="00EB6564" w:rsidRDefault="00EB6564">
            <w:pPr>
              <w:pStyle w:val="06cTABLETEXT"/>
              <w:jc w:val="right"/>
            </w:pPr>
            <w:r>
              <w:t>0.00 </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624240C" w14:textId="77777777" w:rsidR="00EB6564" w:rsidRDefault="00EB6564">
            <w:pPr>
              <w:pStyle w:val="06cTABLETEXT"/>
              <w:jc w:val="right"/>
            </w:pPr>
            <w:r>
              <w:t>39.34</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8796FC" w14:textId="77777777" w:rsidR="00EB6564" w:rsidRDefault="00EB6564">
            <w:pPr>
              <w:pStyle w:val="06cTABLETEXT"/>
              <w:jc w:val="right"/>
            </w:pPr>
            <w:r>
              <w:t>0.00 </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3B804FD" w14:textId="77777777" w:rsidR="00EB6564" w:rsidRDefault="00EB6564">
            <w:pPr>
              <w:pStyle w:val="06cTABLETEXT"/>
              <w:jc w:val="right"/>
            </w:pPr>
            <w:r>
              <w:rPr>
                <w:rStyle w:val="BOLD"/>
              </w:rPr>
              <w:t>39.34</w:t>
            </w:r>
          </w:p>
        </w:tc>
      </w:tr>
      <w:tr w:rsidR="00EB6564" w14:paraId="72BF9EF4" w14:textId="77777777">
        <w:trPr>
          <w:trHeight w:val="60"/>
        </w:trPr>
        <w:tc>
          <w:tcPr>
            <w:tcW w:w="5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39774C" w14:textId="77777777" w:rsidR="00EB6564" w:rsidRDefault="00EB6564">
            <w:pPr>
              <w:pStyle w:val="06cTABLETEXT"/>
              <w:jc w:val="center"/>
            </w:pPr>
            <w:r>
              <w:rPr>
                <w:rStyle w:val="BOLD"/>
              </w:rPr>
              <w:t>G</w:t>
            </w:r>
          </w:p>
        </w:tc>
        <w:tc>
          <w:tcPr>
            <w:tcW w:w="12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A26FE9" w14:textId="77777777" w:rsidR="00EB6564" w:rsidRDefault="00EB6564">
            <w:pPr>
              <w:pStyle w:val="06cTABLETEXT"/>
            </w:pPr>
            <w:r>
              <w:rPr>
                <w:rStyle w:val="BOLD"/>
              </w:rPr>
              <w:t>Organic solvents</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ABF431" w14:textId="77777777" w:rsidR="00EB6564" w:rsidRDefault="00EB6564">
            <w:pPr>
              <w:pStyle w:val="06cTABLETEXT"/>
              <w:jc w:val="right"/>
            </w:pPr>
            <w:r>
              <w:t>0.00 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C3DEA2"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40B6BA"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AF0185" w14:textId="77777777" w:rsidR="00EB6564" w:rsidRDefault="00EB6564">
            <w:pPr>
              <w:pStyle w:val="06cTABLETEXT"/>
              <w:jc w:val="right"/>
            </w:pPr>
            <w:r>
              <w:t>N/A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DA2036"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1289BD"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3AF47F" w14:textId="77777777" w:rsidR="00EB6564" w:rsidRDefault="00EB6564">
            <w:pPr>
              <w:pStyle w:val="06cTABLETEXT"/>
              <w:jc w:val="right"/>
            </w:pPr>
            <w:r>
              <w:t>0.00 </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AC28800" w14:textId="77777777" w:rsidR="00EB6564" w:rsidRDefault="00EB6564">
            <w:pPr>
              <w:pStyle w:val="06cTABLETEXT"/>
              <w:jc w:val="right"/>
            </w:pPr>
            <w:r>
              <w:t>0.00</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3E83600" w14:textId="77777777" w:rsidR="00EB6564" w:rsidRDefault="00EB6564">
            <w:pPr>
              <w:pStyle w:val="06cTABLETEXT"/>
              <w:jc w:val="right"/>
            </w:pPr>
            <w:r>
              <w:t>0.00 </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E6C7B37" w14:textId="77777777" w:rsidR="00EB6564" w:rsidRDefault="00EB6564">
            <w:pPr>
              <w:pStyle w:val="06cTABLETEXT"/>
              <w:jc w:val="right"/>
            </w:pPr>
            <w:r>
              <w:rPr>
                <w:rStyle w:val="BOLD"/>
              </w:rPr>
              <w:t>0.00</w:t>
            </w:r>
          </w:p>
        </w:tc>
      </w:tr>
      <w:tr w:rsidR="00EB6564" w14:paraId="323D0349" w14:textId="77777777">
        <w:trPr>
          <w:trHeight w:val="60"/>
        </w:trPr>
        <w:tc>
          <w:tcPr>
            <w:tcW w:w="5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C41FCC3" w14:textId="77777777" w:rsidR="00EB6564" w:rsidRDefault="00EB6564">
            <w:pPr>
              <w:pStyle w:val="06cTABLETEXT"/>
              <w:jc w:val="center"/>
            </w:pPr>
            <w:r>
              <w:rPr>
                <w:rStyle w:val="BOLD"/>
              </w:rPr>
              <w:t>H</w:t>
            </w:r>
          </w:p>
        </w:tc>
        <w:tc>
          <w:tcPr>
            <w:tcW w:w="12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A8AA413" w14:textId="77777777" w:rsidR="00EB6564" w:rsidRDefault="00EB6564">
            <w:pPr>
              <w:pStyle w:val="06cTABLETEXT"/>
            </w:pPr>
            <w:r>
              <w:rPr>
                <w:rStyle w:val="BOLD"/>
              </w:rPr>
              <w:t>Pesticides</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3C54192" w14:textId="77777777" w:rsidR="00EB6564" w:rsidRDefault="00EB6564">
            <w:pPr>
              <w:pStyle w:val="06cTABLETEXT"/>
              <w:jc w:val="right"/>
            </w:pPr>
            <w:r>
              <w:t>0.00 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171619F"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5BAD398"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546F53" w14:textId="77777777" w:rsidR="00EB6564" w:rsidRDefault="00EB6564">
            <w:pPr>
              <w:pStyle w:val="06cTABLETEXT"/>
              <w:jc w:val="right"/>
            </w:pPr>
            <w:r>
              <w:t>N/A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3F80F9"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437E50"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51A332" w14:textId="77777777" w:rsidR="00EB6564" w:rsidRDefault="00EB6564">
            <w:pPr>
              <w:pStyle w:val="06cTABLETEXT"/>
              <w:jc w:val="right"/>
            </w:pPr>
            <w:r>
              <w:t>0.00 </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EE90BA" w14:textId="77777777" w:rsidR="00EB6564" w:rsidRDefault="00EB6564">
            <w:pPr>
              <w:pStyle w:val="06cTABLETEXT"/>
              <w:jc w:val="right"/>
            </w:pPr>
            <w:r>
              <w:t>0.00</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330810" w14:textId="77777777" w:rsidR="00EB6564" w:rsidRDefault="00EB6564">
            <w:pPr>
              <w:pStyle w:val="06cTABLETEXT"/>
              <w:jc w:val="right"/>
            </w:pPr>
            <w:r>
              <w:t>0.00 </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79C91524" w14:textId="77777777" w:rsidR="00EB6564" w:rsidRDefault="00EB6564">
            <w:pPr>
              <w:pStyle w:val="06cTABLETEXT"/>
              <w:jc w:val="right"/>
            </w:pPr>
            <w:r>
              <w:rPr>
                <w:rStyle w:val="BOLD"/>
              </w:rPr>
              <w:t>0.00</w:t>
            </w:r>
          </w:p>
        </w:tc>
      </w:tr>
      <w:tr w:rsidR="00EB6564" w14:paraId="2C546CF3" w14:textId="77777777">
        <w:trPr>
          <w:trHeight w:val="60"/>
        </w:trPr>
        <w:tc>
          <w:tcPr>
            <w:tcW w:w="5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9B3CF13" w14:textId="77777777" w:rsidR="00EB6564" w:rsidRDefault="00EB6564">
            <w:pPr>
              <w:pStyle w:val="06cTABLETEXT"/>
              <w:jc w:val="center"/>
            </w:pPr>
            <w:r>
              <w:rPr>
                <w:rStyle w:val="BOLD"/>
              </w:rPr>
              <w:t>J</w:t>
            </w:r>
          </w:p>
        </w:tc>
        <w:tc>
          <w:tcPr>
            <w:tcW w:w="12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1BF7A7" w14:textId="77777777" w:rsidR="00EB6564" w:rsidRDefault="00EB6564">
            <w:pPr>
              <w:pStyle w:val="06cTABLETEXT"/>
            </w:pPr>
            <w:r>
              <w:rPr>
                <w:rStyle w:val="BOLD"/>
              </w:rPr>
              <w:t>Oils</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5F87CC9" w14:textId="77777777" w:rsidR="00EB6564" w:rsidRDefault="00EB6564">
            <w:pPr>
              <w:pStyle w:val="06cTABLETEXT"/>
              <w:jc w:val="right"/>
            </w:pPr>
            <w:r>
              <w:t>0.00 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D810EC"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40E08C5"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736201" w14:textId="77777777" w:rsidR="00EB6564" w:rsidRDefault="00EB6564">
            <w:pPr>
              <w:pStyle w:val="06cTABLETEXT"/>
              <w:jc w:val="right"/>
            </w:pPr>
            <w:r>
              <w:t>N/A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A83A4B1"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751FC74"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F4EEC65" w14:textId="77777777" w:rsidR="00EB6564" w:rsidRDefault="00EB6564">
            <w:pPr>
              <w:pStyle w:val="06cTABLETEXT"/>
              <w:jc w:val="right"/>
            </w:pPr>
            <w:r>
              <w:t>0.00 </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CFBB01" w14:textId="77777777" w:rsidR="00EB6564" w:rsidRDefault="00EB6564">
            <w:pPr>
              <w:pStyle w:val="06cTABLETEXT"/>
              <w:jc w:val="right"/>
            </w:pPr>
            <w:r>
              <w:t>282.32</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45E6D0" w14:textId="77777777" w:rsidR="00EB6564" w:rsidRDefault="00EB6564">
            <w:pPr>
              <w:pStyle w:val="06cTABLETEXT"/>
              <w:jc w:val="right"/>
            </w:pPr>
            <w:r>
              <w:t>0.00 </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49B47E0C" w14:textId="77777777" w:rsidR="00EB6564" w:rsidRDefault="00EB6564">
            <w:pPr>
              <w:pStyle w:val="06cTABLETEXT"/>
              <w:jc w:val="right"/>
            </w:pPr>
            <w:r>
              <w:rPr>
                <w:rStyle w:val="BOLD"/>
              </w:rPr>
              <w:t>282.32</w:t>
            </w:r>
          </w:p>
        </w:tc>
      </w:tr>
      <w:tr w:rsidR="00EB6564" w14:paraId="70423368" w14:textId="77777777">
        <w:trPr>
          <w:trHeight w:val="60"/>
        </w:trPr>
        <w:tc>
          <w:tcPr>
            <w:tcW w:w="5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E470E8" w14:textId="77777777" w:rsidR="00EB6564" w:rsidRDefault="00EB6564">
            <w:pPr>
              <w:pStyle w:val="06cTABLETEXT"/>
              <w:jc w:val="center"/>
            </w:pPr>
            <w:r>
              <w:rPr>
                <w:rStyle w:val="BOLD"/>
              </w:rPr>
              <w:t>K</w:t>
            </w:r>
          </w:p>
        </w:tc>
        <w:tc>
          <w:tcPr>
            <w:tcW w:w="12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FCC4AD2" w14:textId="77777777" w:rsidR="00EB6564" w:rsidRDefault="00EB6564">
            <w:pPr>
              <w:pStyle w:val="06cTABLETEXT"/>
            </w:pPr>
            <w:r>
              <w:rPr>
                <w:rStyle w:val="BOLD"/>
              </w:rPr>
              <w:t>Putrescible / organic waste</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B5F529F" w14:textId="77777777" w:rsidR="00EB6564" w:rsidRDefault="00EB6564">
            <w:pPr>
              <w:pStyle w:val="06cTABLETEXT"/>
              <w:jc w:val="right"/>
            </w:pPr>
            <w:r>
              <w:t>0.00 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F1932C"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8A7F107"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D65EB4" w14:textId="77777777" w:rsidR="00EB6564" w:rsidRDefault="00EB6564">
            <w:pPr>
              <w:pStyle w:val="06cTABLETEXT"/>
              <w:jc w:val="right"/>
            </w:pPr>
            <w:r>
              <w:t>N/A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3FBEBF8"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9854FF"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01948E" w14:textId="77777777" w:rsidR="00EB6564" w:rsidRDefault="00EB6564">
            <w:pPr>
              <w:pStyle w:val="06cTABLETEXT"/>
              <w:jc w:val="right"/>
            </w:pPr>
            <w:r>
              <w:t>0.00 </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CACBDDC" w14:textId="77777777" w:rsidR="00EB6564" w:rsidRDefault="00EB6564">
            <w:pPr>
              <w:pStyle w:val="06cTABLETEXT"/>
              <w:jc w:val="right"/>
            </w:pPr>
            <w:r>
              <w:t>37.19</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FC9C8E" w14:textId="77777777" w:rsidR="00EB6564" w:rsidRDefault="00EB6564">
            <w:pPr>
              <w:pStyle w:val="06cTABLETEXT"/>
              <w:jc w:val="right"/>
            </w:pPr>
            <w:r>
              <w:t>0.00 </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B0EC256" w14:textId="77777777" w:rsidR="00EB6564" w:rsidRDefault="00EB6564">
            <w:pPr>
              <w:pStyle w:val="06cTABLETEXT"/>
              <w:jc w:val="right"/>
            </w:pPr>
            <w:r>
              <w:rPr>
                <w:rStyle w:val="BOLD"/>
              </w:rPr>
              <w:t>37.19</w:t>
            </w:r>
          </w:p>
        </w:tc>
      </w:tr>
      <w:tr w:rsidR="00EB6564" w14:paraId="0C94B1F0" w14:textId="77777777">
        <w:trPr>
          <w:trHeight w:val="60"/>
        </w:trPr>
        <w:tc>
          <w:tcPr>
            <w:tcW w:w="5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BB18A3" w14:textId="77777777" w:rsidR="00EB6564" w:rsidRDefault="00EB6564">
            <w:pPr>
              <w:pStyle w:val="06cTABLETEXT"/>
              <w:jc w:val="center"/>
            </w:pPr>
            <w:r>
              <w:rPr>
                <w:rStyle w:val="BOLD"/>
              </w:rPr>
              <w:t>L</w:t>
            </w:r>
          </w:p>
        </w:tc>
        <w:tc>
          <w:tcPr>
            <w:tcW w:w="12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AD08CB" w14:textId="77777777" w:rsidR="00EB6564" w:rsidRDefault="00EB6564">
            <w:pPr>
              <w:pStyle w:val="06cTABLETEXT"/>
            </w:pPr>
            <w:r>
              <w:rPr>
                <w:rStyle w:val="BOLD"/>
              </w:rPr>
              <w:t xml:space="preserve">Industrial </w:t>
            </w:r>
            <w:proofErr w:type="spellStart"/>
            <w:r>
              <w:rPr>
                <w:rStyle w:val="BOLD"/>
              </w:rPr>
              <w:t>washwater</w:t>
            </w:r>
            <w:proofErr w:type="spellEnd"/>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373CF3" w14:textId="77777777" w:rsidR="00EB6564" w:rsidRDefault="00EB6564">
            <w:pPr>
              <w:pStyle w:val="06cTABLETEXT"/>
              <w:jc w:val="right"/>
            </w:pPr>
            <w:r>
              <w:t>0.00 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29EAA6"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1BE13C"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9CA02D" w14:textId="77777777" w:rsidR="00EB6564" w:rsidRDefault="00EB6564">
            <w:pPr>
              <w:pStyle w:val="06cTABLETEXT"/>
              <w:jc w:val="right"/>
            </w:pPr>
            <w:r>
              <w:t>N/A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3B9AEF8"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7A4B05"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F9CBA03" w14:textId="77777777" w:rsidR="00EB6564" w:rsidRDefault="00EB6564">
            <w:pPr>
              <w:pStyle w:val="06cTABLETEXT"/>
              <w:jc w:val="right"/>
            </w:pPr>
            <w:r>
              <w:t>0.00 </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98CB9A" w14:textId="77777777" w:rsidR="00EB6564" w:rsidRDefault="00EB6564">
            <w:pPr>
              <w:pStyle w:val="06cTABLETEXT"/>
              <w:jc w:val="right"/>
            </w:pPr>
            <w:r>
              <w:t>1206.00</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C78380" w14:textId="77777777" w:rsidR="00EB6564" w:rsidRDefault="00EB6564">
            <w:pPr>
              <w:pStyle w:val="06cTABLETEXT"/>
              <w:jc w:val="right"/>
            </w:pPr>
            <w:r>
              <w:t>0.00 </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5B0C93F3" w14:textId="77777777" w:rsidR="00EB6564" w:rsidRDefault="00EB6564">
            <w:pPr>
              <w:pStyle w:val="06cTABLETEXT"/>
              <w:jc w:val="right"/>
            </w:pPr>
            <w:r>
              <w:rPr>
                <w:rStyle w:val="BOLD"/>
              </w:rPr>
              <w:t>1206.00</w:t>
            </w:r>
          </w:p>
        </w:tc>
      </w:tr>
      <w:tr w:rsidR="00EB6564" w14:paraId="6AC951DC" w14:textId="77777777">
        <w:trPr>
          <w:trHeight w:val="60"/>
        </w:trPr>
        <w:tc>
          <w:tcPr>
            <w:tcW w:w="5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7B03CD" w14:textId="77777777" w:rsidR="00EB6564" w:rsidRDefault="00EB6564">
            <w:pPr>
              <w:pStyle w:val="06cTABLETEXT"/>
              <w:jc w:val="center"/>
            </w:pPr>
            <w:r>
              <w:rPr>
                <w:rStyle w:val="BOLD"/>
              </w:rPr>
              <w:t>M</w:t>
            </w:r>
          </w:p>
        </w:tc>
        <w:tc>
          <w:tcPr>
            <w:tcW w:w="12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4DB17A" w14:textId="77777777" w:rsidR="00EB6564" w:rsidRDefault="00EB6564">
            <w:pPr>
              <w:pStyle w:val="06cTABLETEXT"/>
            </w:pPr>
            <w:r>
              <w:rPr>
                <w:rStyle w:val="BOLD"/>
              </w:rPr>
              <w:t>Organic chemicals</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89E85A3" w14:textId="77777777" w:rsidR="00EB6564" w:rsidRDefault="00EB6564">
            <w:pPr>
              <w:pStyle w:val="06cTABLETEXT"/>
              <w:jc w:val="right"/>
            </w:pPr>
            <w:r>
              <w:t>0.00 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79A2D8"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691022"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9CD61F" w14:textId="77777777" w:rsidR="00EB6564" w:rsidRDefault="00EB6564">
            <w:pPr>
              <w:pStyle w:val="06cTABLETEXT"/>
              <w:jc w:val="right"/>
            </w:pPr>
            <w:r>
              <w:t>N/A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CF4112"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003944"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A1A47D" w14:textId="77777777" w:rsidR="00EB6564" w:rsidRDefault="00EB6564">
            <w:pPr>
              <w:pStyle w:val="06cTABLETEXT"/>
              <w:jc w:val="right"/>
            </w:pPr>
            <w:r>
              <w:t>0.00 </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3057DB" w14:textId="77777777" w:rsidR="00EB6564" w:rsidRDefault="00EB6564">
            <w:pPr>
              <w:pStyle w:val="06cTABLETEXT"/>
              <w:jc w:val="right"/>
            </w:pPr>
            <w:r>
              <w:t>0.00</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A73D8E" w14:textId="77777777" w:rsidR="00EB6564" w:rsidRDefault="00EB6564">
            <w:pPr>
              <w:pStyle w:val="06cTABLETEXT"/>
              <w:jc w:val="right"/>
            </w:pPr>
            <w:r>
              <w:t>0.00 </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9F157FC" w14:textId="77777777" w:rsidR="00EB6564" w:rsidRDefault="00EB6564">
            <w:pPr>
              <w:pStyle w:val="06cTABLETEXT"/>
              <w:jc w:val="right"/>
            </w:pPr>
            <w:r>
              <w:rPr>
                <w:rStyle w:val="BOLD"/>
              </w:rPr>
              <w:t>0.00</w:t>
            </w:r>
          </w:p>
        </w:tc>
      </w:tr>
      <w:tr w:rsidR="00EB6564" w14:paraId="0E3EC0DC" w14:textId="77777777">
        <w:trPr>
          <w:trHeight w:val="60"/>
        </w:trPr>
        <w:tc>
          <w:tcPr>
            <w:tcW w:w="5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5653AA" w14:textId="77777777" w:rsidR="00EB6564" w:rsidRDefault="00EB6564">
            <w:pPr>
              <w:pStyle w:val="06cTABLETEXT"/>
              <w:jc w:val="center"/>
            </w:pPr>
            <w:r>
              <w:rPr>
                <w:rStyle w:val="BOLD"/>
              </w:rPr>
              <w:t>N</w:t>
            </w:r>
          </w:p>
        </w:tc>
        <w:tc>
          <w:tcPr>
            <w:tcW w:w="12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D48C95" w14:textId="77777777" w:rsidR="00EB6564" w:rsidRDefault="00EB6564">
            <w:pPr>
              <w:pStyle w:val="06cTABLETEXT"/>
            </w:pPr>
            <w:r>
              <w:rPr>
                <w:rStyle w:val="BOLD"/>
              </w:rPr>
              <w:t>Soil / sludge</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21F238" w14:textId="77777777" w:rsidR="00EB6564" w:rsidRDefault="00EB6564">
            <w:pPr>
              <w:pStyle w:val="06cTABLETEXT"/>
              <w:jc w:val="right"/>
            </w:pPr>
            <w:r>
              <w:t>0.00 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45609C2"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3C15941"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B89DD2B" w14:textId="77777777" w:rsidR="00EB6564" w:rsidRDefault="00EB6564">
            <w:pPr>
              <w:pStyle w:val="06cTABLETEXT"/>
              <w:jc w:val="right"/>
            </w:pPr>
            <w:r>
              <w:t>N/A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2F68A33"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207642"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3659081" w14:textId="77777777" w:rsidR="00EB6564" w:rsidRDefault="00EB6564">
            <w:pPr>
              <w:pStyle w:val="06cTABLETEXT"/>
              <w:jc w:val="right"/>
            </w:pPr>
            <w:r>
              <w:t>0.00 </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657D21" w14:textId="77777777" w:rsidR="00EB6564" w:rsidRDefault="00EB6564">
            <w:pPr>
              <w:pStyle w:val="06cTABLETEXT"/>
              <w:jc w:val="right"/>
            </w:pPr>
            <w:r>
              <w:t>0.00</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7E33C8" w14:textId="77777777" w:rsidR="00EB6564" w:rsidRDefault="00EB6564">
            <w:pPr>
              <w:pStyle w:val="06cTABLETEXT"/>
              <w:jc w:val="right"/>
            </w:pPr>
            <w:r>
              <w:t>0.00 </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0E953C80" w14:textId="77777777" w:rsidR="00EB6564" w:rsidRDefault="00EB6564">
            <w:pPr>
              <w:pStyle w:val="06cTABLETEXT"/>
              <w:jc w:val="right"/>
            </w:pPr>
            <w:r>
              <w:rPr>
                <w:rStyle w:val="BOLD"/>
              </w:rPr>
              <w:t>0.00</w:t>
            </w:r>
          </w:p>
        </w:tc>
      </w:tr>
      <w:tr w:rsidR="00EB6564" w14:paraId="1946F6DD" w14:textId="77777777">
        <w:trPr>
          <w:trHeight w:val="60"/>
        </w:trPr>
        <w:tc>
          <w:tcPr>
            <w:tcW w:w="5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7980E8" w14:textId="77777777" w:rsidR="00EB6564" w:rsidRDefault="00EB6564">
            <w:pPr>
              <w:pStyle w:val="06cTABLETEXT"/>
              <w:jc w:val="center"/>
            </w:pPr>
            <w:r>
              <w:rPr>
                <w:rStyle w:val="BOLD"/>
              </w:rPr>
              <w:t>R</w:t>
            </w:r>
          </w:p>
        </w:tc>
        <w:tc>
          <w:tcPr>
            <w:tcW w:w="12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52F49D" w14:textId="77777777" w:rsidR="00EB6564" w:rsidRDefault="00EB6564">
            <w:pPr>
              <w:pStyle w:val="06cTABLETEXT"/>
            </w:pPr>
            <w:r>
              <w:rPr>
                <w:rStyle w:val="BOLD"/>
              </w:rPr>
              <w:t>Clinical &amp; pharmaceutical</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17EE494" w14:textId="77777777" w:rsidR="00EB6564" w:rsidRDefault="00EB6564">
            <w:pPr>
              <w:pStyle w:val="06cTABLETEXT"/>
              <w:jc w:val="right"/>
            </w:pPr>
            <w:r>
              <w:t>0.00 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C13EECA"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3BC79F3"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09F2C74" w14:textId="77777777" w:rsidR="00EB6564" w:rsidRDefault="00EB6564">
            <w:pPr>
              <w:pStyle w:val="06cTABLETEXT"/>
              <w:jc w:val="right"/>
            </w:pPr>
            <w:r>
              <w:t>N/A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793B6D"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6E9A3E9"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41D6EB" w14:textId="77777777" w:rsidR="00EB6564" w:rsidRDefault="00EB6564">
            <w:pPr>
              <w:pStyle w:val="06cTABLETEXT"/>
              <w:jc w:val="right"/>
            </w:pPr>
            <w:r>
              <w:t>0.00 </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DED4D5" w14:textId="77777777" w:rsidR="00EB6564" w:rsidRDefault="00EB6564">
            <w:pPr>
              <w:pStyle w:val="06cTABLETEXT"/>
              <w:jc w:val="right"/>
            </w:pPr>
            <w:r>
              <w:t>0.00</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397B297" w14:textId="77777777" w:rsidR="00EB6564" w:rsidRDefault="00EB6564">
            <w:pPr>
              <w:pStyle w:val="06cTABLETEXT"/>
              <w:jc w:val="right"/>
            </w:pPr>
            <w:r>
              <w:t>0.00 </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2DAB2213" w14:textId="77777777" w:rsidR="00EB6564" w:rsidRDefault="00EB6564">
            <w:pPr>
              <w:pStyle w:val="06cTABLETEXT"/>
              <w:jc w:val="right"/>
            </w:pPr>
            <w:r>
              <w:rPr>
                <w:rStyle w:val="BOLD"/>
              </w:rPr>
              <w:t>0.00</w:t>
            </w:r>
          </w:p>
        </w:tc>
      </w:tr>
      <w:tr w:rsidR="00EB6564" w14:paraId="16C8B2B7" w14:textId="77777777">
        <w:trPr>
          <w:trHeight w:val="60"/>
        </w:trPr>
        <w:tc>
          <w:tcPr>
            <w:tcW w:w="5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794C75" w14:textId="77777777" w:rsidR="00EB6564" w:rsidRDefault="00EB6564">
            <w:pPr>
              <w:pStyle w:val="06cTABLETEXT"/>
              <w:jc w:val="center"/>
            </w:pPr>
            <w:r>
              <w:rPr>
                <w:rStyle w:val="BOLD"/>
              </w:rPr>
              <w:t>T</w:t>
            </w:r>
          </w:p>
        </w:tc>
        <w:tc>
          <w:tcPr>
            <w:tcW w:w="125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770BFC" w14:textId="77777777" w:rsidR="00EB6564" w:rsidRDefault="00EB6564">
            <w:pPr>
              <w:pStyle w:val="06cTABLETEXT"/>
            </w:pPr>
            <w:r>
              <w:rPr>
                <w:rStyle w:val="BOLD"/>
              </w:rPr>
              <w:t>Misc.</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13701A" w14:textId="77777777" w:rsidR="00EB6564" w:rsidRDefault="00EB6564">
            <w:pPr>
              <w:pStyle w:val="06cTABLETEXT"/>
              <w:jc w:val="right"/>
            </w:pPr>
            <w:r>
              <w:t>0.00 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C08012"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3FDF84C" w14:textId="77777777" w:rsidR="00EB6564" w:rsidRDefault="00EB6564">
            <w:pPr>
              <w:pStyle w:val="06cTABLETEXT"/>
              <w:jc w:val="right"/>
            </w:pPr>
            <w:r>
              <w:t> 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12B5993" w14:textId="77777777" w:rsidR="00EB6564" w:rsidRDefault="00EB6564">
            <w:pPr>
              <w:pStyle w:val="06cTABLETEXT"/>
              <w:jc w:val="right"/>
            </w:pPr>
            <w:r>
              <w:t>N/A </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180755"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DE4B27" w14:textId="77777777" w:rsidR="00EB6564" w:rsidRDefault="00EB6564">
            <w:pPr>
              <w:pStyle w:val="06cTABLETEXT"/>
              <w:jc w:val="right"/>
            </w:pPr>
            <w:r>
              <w:t>0.00 </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F6058A" w14:textId="77777777" w:rsidR="00EB6564" w:rsidRDefault="00EB6564">
            <w:pPr>
              <w:pStyle w:val="06cTABLETEXT"/>
              <w:jc w:val="right"/>
            </w:pPr>
            <w:r>
              <w:t>0.00 </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3F480A" w14:textId="77777777" w:rsidR="00EB6564" w:rsidRDefault="00EB6564">
            <w:pPr>
              <w:pStyle w:val="06cTABLETEXT"/>
              <w:jc w:val="right"/>
            </w:pPr>
            <w:r>
              <w:t>0.00</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BB775B" w14:textId="77777777" w:rsidR="00EB6564" w:rsidRDefault="00EB6564">
            <w:pPr>
              <w:pStyle w:val="06cTABLETEXT"/>
              <w:jc w:val="right"/>
            </w:pPr>
            <w:r>
              <w:t>0.00 </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85" w:type="dxa"/>
            </w:tcMar>
            <w:vAlign w:val="center"/>
          </w:tcPr>
          <w:p w14:paraId="62DEC216" w14:textId="77777777" w:rsidR="00EB6564" w:rsidRDefault="00EB6564">
            <w:pPr>
              <w:pStyle w:val="06cTABLETEXT"/>
              <w:jc w:val="right"/>
            </w:pPr>
            <w:r>
              <w:rPr>
                <w:rStyle w:val="BOLD"/>
              </w:rPr>
              <w:t>0.00</w:t>
            </w:r>
          </w:p>
        </w:tc>
      </w:tr>
      <w:tr w:rsidR="00EB6564" w14:paraId="55B7397B" w14:textId="77777777">
        <w:trPr>
          <w:trHeight w:val="60"/>
        </w:trPr>
        <w:tc>
          <w:tcPr>
            <w:tcW w:w="1775"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170" w:type="dxa"/>
              <w:bottom w:w="85" w:type="dxa"/>
              <w:right w:w="85" w:type="dxa"/>
            </w:tcMar>
            <w:vAlign w:val="center"/>
          </w:tcPr>
          <w:p w14:paraId="2C7CDF76" w14:textId="77777777" w:rsidR="00EB6564" w:rsidRDefault="00EB6564">
            <w:pPr>
              <w:pStyle w:val="06cTABLETEXT"/>
            </w:pPr>
            <w:r>
              <w:rPr>
                <w:rStyle w:val="BOLD"/>
              </w:rPr>
              <w:lastRenderedPageBreak/>
              <w:t>State Totals (tonnes)</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D95888F" w14:textId="77777777" w:rsidR="00EB6564" w:rsidRDefault="00EB6564">
            <w:pPr>
              <w:pStyle w:val="06cTABLETEXT"/>
            </w:pPr>
            <w:r>
              <w:rPr>
                <w:rStyle w:val="BOLD"/>
              </w:rPr>
              <w:t>0.00</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A4B5DB" w14:textId="77777777" w:rsidR="00EB6564" w:rsidRDefault="00EB6564">
            <w:pPr>
              <w:pStyle w:val="06cTABLETEXT"/>
              <w:jc w:val="right"/>
            </w:pPr>
            <w:r>
              <w:rPr>
                <w:rStyle w:val="BOLD"/>
              </w:rPr>
              <w:t>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E17F94" w14:textId="77777777" w:rsidR="00EB6564" w:rsidRDefault="00EB6564">
            <w:pPr>
              <w:pStyle w:val="06cTABLETEXT"/>
              <w:jc w:val="right"/>
            </w:pPr>
            <w:r>
              <w:rPr>
                <w:rStyle w:val="BOLD"/>
              </w:rPr>
              <w:t>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6E835B2" w14:textId="77777777" w:rsidR="00EB6564" w:rsidRDefault="00EB6564">
            <w:pPr>
              <w:pStyle w:val="06cTABLETEXT"/>
              <w:jc w:val="right"/>
            </w:pPr>
            <w:r>
              <w:rPr>
                <w:rStyle w:val="BOLD"/>
              </w:rPr>
              <w:t>0.00</w:t>
            </w:r>
          </w:p>
        </w:tc>
        <w:tc>
          <w:tcPr>
            <w:tcW w:w="54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60BAD7" w14:textId="77777777" w:rsidR="00EB6564" w:rsidRDefault="00EB6564">
            <w:pPr>
              <w:pStyle w:val="06cTABLETEXT"/>
              <w:jc w:val="right"/>
            </w:pPr>
            <w:r>
              <w:rPr>
                <w:rStyle w:val="BOLD"/>
              </w:rPr>
              <w:t>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ECA763" w14:textId="77777777" w:rsidR="00EB6564" w:rsidRDefault="00EB6564">
            <w:pPr>
              <w:pStyle w:val="06cTABLETEXT"/>
              <w:jc w:val="right"/>
            </w:pPr>
            <w:r>
              <w:rPr>
                <w:rStyle w:val="BOLD"/>
              </w:rPr>
              <w:t>0.00</w:t>
            </w:r>
          </w:p>
        </w:tc>
        <w:tc>
          <w:tcPr>
            <w:tcW w:w="54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3DE86A3" w14:textId="77777777" w:rsidR="00EB6564" w:rsidRDefault="00EB6564">
            <w:pPr>
              <w:pStyle w:val="06cTABLETEXT"/>
              <w:jc w:val="right"/>
            </w:pPr>
            <w:r>
              <w:rPr>
                <w:rStyle w:val="BOLD"/>
              </w:rPr>
              <w:t>0.00</w:t>
            </w:r>
          </w:p>
        </w:tc>
        <w:tc>
          <w:tcPr>
            <w:tcW w:w="73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ADFF6DA" w14:textId="77777777" w:rsidR="00EB6564" w:rsidRDefault="00EB6564">
            <w:pPr>
              <w:pStyle w:val="06cTABLETEXT"/>
              <w:jc w:val="right"/>
            </w:pPr>
            <w:r>
              <w:rPr>
                <w:rStyle w:val="BOLD"/>
              </w:rPr>
              <w:t>1595.85</w:t>
            </w:r>
          </w:p>
        </w:tc>
        <w:tc>
          <w:tcPr>
            <w:tcW w:w="5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D0DE8A8" w14:textId="77777777" w:rsidR="00EB6564" w:rsidRDefault="00EB6564">
            <w:pPr>
              <w:pStyle w:val="06cTABLETEXT"/>
              <w:jc w:val="right"/>
            </w:pPr>
            <w:r>
              <w:rPr>
                <w:rStyle w:val="BOLD"/>
              </w:rPr>
              <w:t>0.00</w:t>
            </w:r>
          </w:p>
        </w:tc>
        <w:tc>
          <w:tcPr>
            <w:tcW w:w="761"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A33865" w14:textId="77777777" w:rsidR="00EB6564" w:rsidRDefault="00EB6564">
            <w:pPr>
              <w:pStyle w:val="06cTABLETEXT"/>
              <w:jc w:val="right"/>
            </w:pPr>
            <w:r>
              <w:rPr>
                <w:rStyle w:val="BOLD"/>
              </w:rPr>
              <w:t>1595.85</w:t>
            </w:r>
          </w:p>
        </w:tc>
      </w:tr>
    </w:tbl>
    <w:p w14:paraId="712505C3" w14:textId="77777777" w:rsidR="00EB6564" w:rsidRDefault="00EB6564" w:rsidP="00EB6564">
      <w:pPr>
        <w:pStyle w:val="05BODYTEXT"/>
      </w:pPr>
    </w:p>
    <w:p w14:paraId="1A335586" w14:textId="77777777" w:rsidR="00EB6564" w:rsidRDefault="00EB6564" w:rsidP="00EB6564">
      <w:pPr>
        <w:pStyle w:val="06TABLEHEADING"/>
      </w:pPr>
      <w:r>
        <w:t>Table 3: Discrepancies in movements of controlled waste into Western Australia for the period 1 July 2018 to 30 June 2019—percentage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412"/>
        <w:gridCol w:w="649"/>
        <w:gridCol w:w="648"/>
        <w:gridCol w:w="649"/>
        <w:gridCol w:w="648"/>
        <w:gridCol w:w="648"/>
        <w:gridCol w:w="649"/>
        <w:gridCol w:w="648"/>
        <w:gridCol w:w="649"/>
        <w:gridCol w:w="874"/>
      </w:tblGrid>
      <w:tr w:rsidR="00EB6564" w14:paraId="7D32E7EC" w14:textId="77777777">
        <w:trPr>
          <w:trHeight w:val="60"/>
          <w:tblHeader/>
        </w:trPr>
        <w:tc>
          <w:tcPr>
            <w:tcW w:w="141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E64BDB0" w14:textId="77777777" w:rsidR="00EB6564" w:rsidRDefault="00EB6564">
            <w:pPr>
              <w:pStyle w:val="06bTABLEHEADERROW"/>
            </w:pPr>
            <w:r>
              <w:t>Discrepancy Type</w:t>
            </w:r>
          </w:p>
        </w:tc>
        <w:tc>
          <w:tcPr>
            <w:tcW w:w="64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9CDD1C5" w14:textId="77777777" w:rsidR="00EB6564" w:rsidRDefault="00EB6564">
            <w:pPr>
              <w:pStyle w:val="06bTABLEHEADERROW"/>
            </w:pPr>
            <w:r>
              <w:t>NSW</w:t>
            </w:r>
          </w:p>
        </w:tc>
        <w:tc>
          <w:tcPr>
            <w:tcW w:w="64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7F53B53" w14:textId="77777777" w:rsidR="00EB6564" w:rsidRDefault="00EB6564">
            <w:pPr>
              <w:pStyle w:val="06bTABLEHEADERROW"/>
            </w:pPr>
            <w:r>
              <w:t>Vic</w:t>
            </w:r>
          </w:p>
        </w:tc>
        <w:tc>
          <w:tcPr>
            <w:tcW w:w="64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5F1A0F1" w14:textId="77777777" w:rsidR="00EB6564" w:rsidRDefault="00EB6564">
            <w:pPr>
              <w:pStyle w:val="06bTABLEHEADERROW"/>
            </w:pPr>
            <w:r>
              <w:t>Qld</w:t>
            </w:r>
          </w:p>
        </w:tc>
        <w:tc>
          <w:tcPr>
            <w:tcW w:w="64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1B80376" w14:textId="77777777" w:rsidR="00EB6564" w:rsidRDefault="00EB6564">
            <w:pPr>
              <w:pStyle w:val="06bTABLEHEADERROW"/>
            </w:pPr>
            <w:r>
              <w:t>WA</w:t>
            </w:r>
          </w:p>
        </w:tc>
        <w:tc>
          <w:tcPr>
            <w:tcW w:w="64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B698B67" w14:textId="77777777" w:rsidR="00EB6564" w:rsidRDefault="00EB6564">
            <w:pPr>
              <w:pStyle w:val="06bTABLEHEADERROW"/>
            </w:pPr>
            <w:r>
              <w:t>SA</w:t>
            </w:r>
          </w:p>
        </w:tc>
        <w:tc>
          <w:tcPr>
            <w:tcW w:w="64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B15B77A" w14:textId="77777777" w:rsidR="00EB6564" w:rsidRDefault="00EB6564">
            <w:pPr>
              <w:pStyle w:val="06bTABLEHEADERROW"/>
            </w:pPr>
            <w:r>
              <w:t>Tas</w:t>
            </w:r>
          </w:p>
        </w:tc>
        <w:tc>
          <w:tcPr>
            <w:tcW w:w="64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B2C7A9E" w14:textId="77777777" w:rsidR="00EB6564" w:rsidRDefault="00EB6564">
            <w:pPr>
              <w:pStyle w:val="06bTABLEHEADERROW"/>
            </w:pPr>
            <w:r>
              <w:t>ACT</w:t>
            </w:r>
          </w:p>
        </w:tc>
        <w:tc>
          <w:tcPr>
            <w:tcW w:w="64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468DB2F" w14:textId="77777777" w:rsidR="00EB6564" w:rsidRDefault="00EB6564">
            <w:pPr>
              <w:pStyle w:val="06bTABLEHEADERROW"/>
            </w:pPr>
            <w:r>
              <w:t>NT</w:t>
            </w:r>
          </w:p>
        </w:tc>
        <w:tc>
          <w:tcPr>
            <w:tcW w:w="87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5AD8778" w14:textId="77777777" w:rsidR="00EB6564" w:rsidRDefault="00EB6564">
            <w:pPr>
              <w:pStyle w:val="06bTABLEHEADERROW"/>
            </w:pPr>
            <w:r>
              <w:t>Ext Terr *</w:t>
            </w:r>
          </w:p>
        </w:tc>
      </w:tr>
      <w:tr w:rsidR="00EB6564" w14:paraId="136D2CAB" w14:textId="77777777">
        <w:trPr>
          <w:trHeight w:val="60"/>
        </w:trPr>
        <w:tc>
          <w:tcPr>
            <w:tcW w:w="141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4F84711" w14:textId="77777777" w:rsidR="00EB6564" w:rsidRDefault="00EB6564">
            <w:pPr>
              <w:pStyle w:val="06cTABLETEXT"/>
            </w:pPr>
            <w:r>
              <w:rPr>
                <w:rStyle w:val="BOLD"/>
              </w:rPr>
              <w:t>Consignment non-arrival</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3CB143E"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D469CA"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EB26FF"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B4402D2" w14:textId="77777777" w:rsidR="00EB6564" w:rsidRDefault="00EB6564">
            <w:pPr>
              <w:pStyle w:val="06cTABLETEXT"/>
              <w:jc w:val="center"/>
            </w:pPr>
            <w:r>
              <w:rPr>
                <w:caps/>
              </w:rPr>
              <w:t>N/A</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B2CECCE"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8595B8"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CD897C"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8204B7D" w14:textId="77777777" w:rsidR="00EB6564" w:rsidRDefault="00EB6564">
            <w:pPr>
              <w:pStyle w:val="06cTABLETEXT"/>
              <w:jc w:val="center"/>
            </w:pPr>
            <w:r>
              <w:t>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FCD467" w14:textId="77777777" w:rsidR="00EB6564" w:rsidRDefault="00EB6564">
            <w:pPr>
              <w:pStyle w:val="06cTABLETEXT"/>
              <w:jc w:val="center"/>
            </w:pPr>
            <w:r>
              <w:t>0%</w:t>
            </w:r>
          </w:p>
        </w:tc>
      </w:tr>
      <w:tr w:rsidR="00EB6564" w14:paraId="50E12715" w14:textId="77777777">
        <w:trPr>
          <w:trHeight w:val="60"/>
        </w:trPr>
        <w:tc>
          <w:tcPr>
            <w:tcW w:w="141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5746E7" w14:textId="77777777" w:rsidR="00EB6564" w:rsidRDefault="00EB6564">
            <w:pPr>
              <w:pStyle w:val="06cTABLETEXT"/>
            </w:pPr>
            <w:r>
              <w:rPr>
                <w:rStyle w:val="BOLD"/>
              </w:rPr>
              <w:t>Transport without authorisation</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480141"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66505B0"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C97FA12"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6142CE" w14:textId="77777777" w:rsidR="00EB6564" w:rsidRDefault="00EB6564">
            <w:pPr>
              <w:pStyle w:val="06cTABLETEXT"/>
              <w:jc w:val="center"/>
            </w:pPr>
            <w:r>
              <w:rPr>
                <w:caps/>
              </w:rPr>
              <w:t>N/A</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4CB080"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1C0C45"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30F90F3"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38AAF9" w14:textId="77777777" w:rsidR="00EB6564" w:rsidRDefault="00EB6564">
            <w:pPr>
              <w:pStyle w:val="06cTABLETEXT"/>
              <w:jc w:val="center"/>
            </w:pPr>
            <w:r>
              <w:t>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403CD1F" w14:textId="77777777" w:rsidR="00EB6564" w:rsidRDefault="00EB6564">
            <w:pPr>
              <w:pStyle w:val="06cTABLETEXT"/>
              <w:jc w:val="center"/>
            </w:pPr>
            <w:r>
              <w:t>0%</w:t>
            </w:r>
          </w:p>
        </w:tc>
      </w:tr>
      <w:tr w:rsidR="00EB6564" w14:paraId="2F51E641" w14:textId="77777777">
        <w:trPr>
          <w:trHeight w:val="60"/>
        </w:trPr>
        <w:tc>
          <w:tcPr>
            <w:tcW w:w="141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A51E2D" w14:textId="77777777" w:rsidR="00EB6564" w:rsidRDefault="00EB6564">
            <w:pPr>
              <w:pStyle w:val="06cTABLETEXT"/>
            </w:pPr>
            <w:r>
              <w:rPr>
                <w:rStyle w:val="BOLD"/>
              </w:rPr>
              <w:t>Non-matching documentation</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83A47A"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49A706"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E996EB0"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F384A28" w14:textId="77777777" w:rsidR="00EB6564" w:rsidRDefault="00EB6564">
            <w:pPr>
              <w:pStyle w:val="06cTABLETEXT"/>
              <w:jc w:val="center"/>
            </w:pPr>
            <w:r>
              <w:rPr>
                <w:caps/>
              </w:rPr>
              <w:t>N/A</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818983"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857480"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D353E7"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D469311" w14:textId="77777777" w:rsidR="00EB6564" w:rsidRDefault="00EB6564">
            <w:pPr>
              <w:pStyle w:val="06cTABLETEXT"/>
              <w:jc w:val="center"/>
            </w:pPr>
            <w:r>
              <w:t>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84DE53" w14:textId="77777777" w:rsidR="00EB6564" w:rsidRDefault="00EB6564">
            <w:pPr>
              <w:pStyle w:val="06cTABLETEXT"/>
              <w:jc w:val="center"/>
            </w:pPr>
            <w:r>
              <w:t>0%</w:t>
            </w:r>
          </w:p>
        </w:tc>
      </w:tr>
      <w:tr w:rsidR="00EB6564" w14:paraId="545C5024" w14:textId="77777777">
        <w:trPr>
          <w:trHeight w:val="60"/>
        </w:trPr>
        <w:tc>
          <w:tcPr>
            <w:tcW w:w="141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3FB05C1" w14:textId="77777777" w:rsidR="00EB6564" w:rsidRDefault="00EB6564">
            <w:pPr>
              <w:pStyle w:val="06cTABLETEXT"/>
            </w:pPr>
            <w:r>
              <w:rPr>
                <w:rStyle w:val="BOLD"/>
              </w:rPr>
              <w:t>Waste data</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18BB86"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FDEA147"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ADDF0F8"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7228D8" w14:textId="77777777" w:rsidR="00EB6564" w:rsidRDefault="00EB6564">
            <w:pPr>
              <w:pStyle w:val="06cTABLETEXT"/>
              <w:jc w:val="center"/>
            </w:pPr>
            <w:r>
              <w:rPr>
                <w:caps/>
              </w:rPr>
              <w:t>N/A</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95BCA2"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0728EB6"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5D99955"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DC3B14" w14:textId="77777777" w:rsidR="00EB6564" w:rsidRDefault="00EB6564">
            <w:pPr>
              <w:pStyle w:val="06cTABLETEXT"/>
              <w:jc w:val="center"/>
            </w:pPr>
            <w:r>
              <w:t>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6D35477" w14:textId="77777777" w:rsidR="00EB6564" w:rsidRDefault="00EB6564">
            <w:pPr>
              <w:pStyle w:val="06cTABLETEXT"/>
              <w:jc w:val="center"/>
            </w:pPr>
            <w:r>
              <w:t>0%</w:t>
            </w:r>
          </w:p>
        </w:tc>
      </w:tr>
    </w:tbl>
    <w:p w14:paraId="3B136D96" w14:textId="77777777" w:rsidR="00EB6564" w:rsidRDefault="00EB6564" w:rsidP="00EB6564">
      <w:pPr>
        <w:pStyle w:val="07FOOTNOTES"/>
      </w:pPr>
      <w:r>
        <w:t>N/A = not available/applicable</w:t>
      </w:r>
    </w:p>
    <w:p w14:paraId="735FD9B2" w14:textId="77777777" w:rsidR="00EB6564" w:rsidRDefault="00EB6564" w:rsidP="00EB6564">
      <w:pPr>
        <w:pStyle w:val="06TABLEHEADING"/>
      </w:pPr>
      <w:r>
        <w:t>Table 4: Number of movements of controlled waste into Western Australia for the period 1 July 2018 to 30 June 2019</w:t>
      </w:r>
    </w:p>
    <w:tbl>
      <w:tblPr>
        <w:tblW w:w="0" w:type="auto"/>
        <w:tblInd w:w="-5" w:type="dxa"/>
        <w:tblLayout w:type="fixed"/>
        <w:tblCellMar>
          <w:left w:w="0" w:type="dxa"/>
          <w:right w:w="0" w:type="dxa"/>
        </w:tblCellMar>
        <w:tblLook w:val="0000" w:firstRow="0" w:lastRow="0" w:firstColumn="0" w:lastColumn="0" w:noHBand="0" w:noVBand="0"/>
      </w:tblPr>
      <w:tblGrid>
        <w:gridCol w:w="794"/>
        <w:gridCol w:w="794"/>
        <w:gridCol w:w="794"/>
        <w:gridCol w:w="794"/>
        <w:gridCol w:w="794"/>
        <w:gridCol w:w="794"/>
        <w:gridCol w:w="794"/>
        <w:gridCol w:w="794"/>
        <w:gridCol w:w="1077"/>
      </w:tblGrid>
      <w:tr w:rsidR="00EB6564" w14:paraId="3DC0F42F" w14:textId="77777777">
        <w:trPr>
          <w:trHeight w:val="60"/>
          <w:tblHeader/>
        </w:trPr>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F2F896F" w14:textId="77777777" w:rsidR="00EB6564" w:rsidRDefault="00EB6564">
            <w:pPr>
              <w:pStyle w:val="06bTABLEHEADERROW"/>
              <w:jc w:val="center"/>
            </w:pPr>
            <w:r>
              <w:t>NSW</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DB84643" w14:textId="77777777" w:rsidR="00EB6564" w:rsidRDefault="00EB6564">
            <w:pPr>
              <w:pStyle w:val="06bTABLEHEADERROW"/>
              <w:jc w:val="center"/>
            </w:pPr>
            <w:r>
              <w:t>Vic</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16C3123" w14:textId="77777777" w:rsidR="00EB6564" w:rsidRDefault="00EB6564">
            <w:pPr>
              <w:pStyle w:val="06bTABLEHEADERROW"/>
              <w:jc w:val="center"/>
            </w:pPr>
            <w:r>
              <w:t>Qld</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EA5D96A" w14:textId="77777777" w:rsidR="00EB6564" w:rsidRDefault="00EB6564">
            <w:pPr>
              <w:pStyle w:val="06bTABLEHEADERROW"/>
              <w:jc w:val="center"/>
            </w:pPr>
            <w:r>
              <w:t>WA</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B929F35" w14:textId="77777777" w:rsidR="00EB6564" w:rsidRDefault="00EB6564">
            <w:pPr>
              <w:pStyle w:val="06bTABLEHEADERROW"/>
              <w:jc w:val="center"/>
            </w:pPr>
            <w:r>
              <w:t>SA</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2F29D13" w14:textId="77777777" w:rsidR="00EB6564" w:rsidRDefault="00EB6564">
            <w:pPr>
              <w:pStyle w:val="06bTABLEHEADERROW"/>
              <w:jc w:val="center"/>
            </w:pPr>
            <w:r>
              <w:t>Tas</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080E699" w14:textId="77777777" w:rsidR="00EB6564" w:rsidRDefault="00EB6564">
            <w:pPr>
              <w:pStyle w:val="06bTABLEHEADERROW"/>
              <w:jc w:val="center"/>
            </w:pPr>
            <w:r>
              <w:t>ACT</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C1B6FCC" w14:textId="77777777" w:rsidR="00EB6564" w:rsidRDefault="00EB6564">
            <w:pPr>
              <w:pStyle w:val="06bTABLEHEADERROW"/>
              <w:jc w:val="center"/>
            </w:pPr>
            <w:r>
              <w:t>NT</w:t>
            </w:r>
          </w:p>
        </w:tc>
        <w:tc>
          <w:tcPr>
            <w:tcW w:w="10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39CB462" w14:textId="77777777" w:rsidR="00EB6564" w:rsidRDefault="00EB6564">
            <w:pPr>
              <w:pStyle w:val="06bTABLEHEADERROW"/>
              <w:jc w:val="center"/>
            </w:pPr>
            <w:r>
              <w:t>Ext Terr*</w:t>
            </w:r>
          </w:p>
        </w:tc>
      </w:tr>
      <w:tr w:rsidR="00EB6564" w14:paraId="2B535604" w14:textId="77777777">
        <w:trPr>
          <w:trHeight w:val="60"/>
        </w:trPr>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648E16"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ABA1C1"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D69590E"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8A5628" w14:textId="77777777" w:rsidR="00EB6564" w:rsidRDefault="00EB6564">
            <w:pPr>
              <w:pStyle w:val="06cTABLETEXT"/>
              <w:jc w:val="center"/>
            </w:pPr>
            <w:r>
              <w:rPr>
                <w:caps/>
              </w:rPr>
              <w:t>N/A</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184846"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1997621"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559B85"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A3BF463" w14:textId="77777777" w:rsidR="00EB6564" w:rsidRDefault="00EB6564">
            <w:pPr>
              <w:pStyle w:val="06cTABLETEXT"/>
              <w:jc w:val="center"/>
            </w:pPr>
            <w:r>
              <w:t>71</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1B6735" w14:textId="77777777" w:rsidR="00EB6564" w:rsidRDefault="00EB6564">
            <w:pPr>
              <w:pStyle w:val="06cTABLETEXT"/>
              <w:jc w:val="center"/>
            </w:pPr>
            <w:r>
              <w:t>0</w:t>
            </w:r>
          </w:p>
        </w:tc>
      </w:tr>
    </w:tbl>
    <w:p w14:paraId="1E30D303" w14:textId="77777777" w:rsidR="00EB6564" w:rsidRDefault="00EB6564" w:rsidP="00EB6564">
      <w:pPr>
        <w:pStyle w:val="07FOOTNOTES"/>
      </w:pPr>
      <w:r>
        <w:t>N/A = not available/applicable</w:t>
      </w:r>
    </w:p>
    <w:p w14:paraId="521BEA56" w14:textId="77777777" w:rsidR="00EB6564" w:rsidRPr="009408AB" w:rsidRDefault="00EB6564" w:rsidP="00CB0DA6">
      <w:pPr>
        <w:pStyle w:val="Heading2"/>
      </w:pPr>
      <w:bookmarkStart w:id="60" w:name="_Toc58254414"/>
      <w:r w:rsidRPr="009408AB">
        <w:t>South Australia</w:t>
      </w:r>
      <w:bookmarkEnd w:id="60"/>
    </w:p>
    <w:p w14:paraId="13F9D3B1" w14:textId="77777777" w:rsidR="00EB6564" w:rsidRDefault="00EB6564" w:rsidP="0008325A">
      <w:pPr>
        <w:pStyle w:val="05BODYTEXT"/>
        <w:keepNext/>
        <w:spacing w:line="240" w:lineRule="auto"/>
        <w:rPr>
          <w:rStyle w:val="ITALIC"/>
        </w:rPr>
      </w:pPr>
      <w:r>
        <w:rPr>
          <w:rStyle w:val="ITALIC"/>
        </w:rPr>
        <w:t>Report to the NEPC on the implementation of the National Environment Protection (Movement of Controlled Waste between States and Territories) Measure for South Australia by Hon. David Speirs, Minister for Environment and Water, for the reporting year ended 30 June 2019.</w:t>
      </w:r>
    </w:p>
    <w:p w14:paraId="723AD6BC" w14:textId="77777777" w:rsidR="00EB6564" w:rsidRDefault="00EB6564" w:rsidP="0008325A">
      <w:pPr>
        <w:pStyle w:val="02HEADING2"/>
        <w:spacing w:line="240" w:lineRule="auto"/>
      </w:pPr>
      <w:r>
        <w:t>Part 1—Implementation of the NEPM and any significant issues</w:t>
      </w:r>
    </w:p>
    <w:p w14:paraId="564CD54B" w14:textId="77777777" w:rsidR="00EB6564" w:rsidRDefault="00EB6564" w:rsidP="0008325A">
      <w:pPr>
        <w:pStyle w:val="05BODYTEXT"/>
        <w:keepNext/>
        <w:spacing w:line="240" w:lineRule="auto"/>
        <w:rPr>
          <w:rStyle w:val="ITALIC"/>
        </w:rPr>
      </w:pPr>
      <w:r>
        <w:t xml:space="preserve">The NEPM obligations are administered by the </w:t>
      </w:r>
      <w:r>
        <w:rPr>
          <w:rStyle w:val="ITALIC"/>
        </w:rPr>
        <w:t>Environment Protection (Movement of Controlled Waste) Policy 2014</w:t>
      </w:r>
      <w:r>
        <w:t xml:space="preserve"> under the </w:t>
      </w:r>
      <w:r>
        <w:rPr>
          <w:rStyle w:val="ITALIC"/>
        </w:rPr>
        <w:t xml:space="preserve">Environment Protection Act 1993. </w:t>
      </w:r>
    </w:p>
    <w:p w14:paraId="5C9F86C5" w14:textId="77777777" w:rsidR="00EB6564" w:rsidRDefault="00EB6564" w:rsidP="00EB6564">
      <w:pPr>
        <w:pStyle w:val="05BODYTEXT"/>
      </w:pPr>
      <w:r>
        <w:t>In 2018 -2019, South Australia as chair of the Controlled Waste NEPM Implementation Working Group continued to pursue consistency with other jurisdictions in the national tracking of controlled waste in a manner to underpin the desired environmental outcomes of the Measure.</w:t>
      </w:r>
    </w:p>
    <w:p w14:paraId="6F021C50" w14:textId="77777777" w:rsidR="00EB6564" w:rsidRDefault="00EB6564" w:rsidP="00EB6564">
      <w:pPr>
        <w:pStyle w:val="05BODYTEXT"/>
      </w:pPr>
      <w:r>
        <w:t>No implementation issues were reported during 2018-19.</w:t>
      </w:r>
    </w:p>
    <w:p w14:paraId="3F0526B8" w14:textId="77777777" w:rsidR="00EB6564" w:rsidRDefault="00EB6564" w:rsidP="00EB6564">
      <w:pPr>
        <w:pStyle w:val="02HEADING2"/>
      </w:pPr>
      <w:r>
        <w:t>Part 2—Assessment of NEPM effectiveness</w:t>
      </w:r>
    </w:p>
    <w:p w14:paraId="43AB2BD9" w14:textId="77777777" w:rsidR="00EB6564" w:rsidRDefault="00EB6564" w:rsidP="00EB6564">
      <w:pPr>
        <w:pStyle w:val="06TABLEHEADING"/>
      </w:pPr>
      <w:r>
        <w:t>Table 1: Number of consignment authorisations issued by South Australia</w:t>
      </w:r>
    </w:p>
    <w:tbl>
      <w:tblPr>
        <w:tblW w:w="0" w:type="auto"/>
        <w:tblInd w:w="-5" w:type="dxa"/>
        <w:tblLayout w:type="fixed"/>
        <w:tblCellMar>
          <w:left w:w="0" w:type="dxa"/>
          <w:right w:w="0" w:type="dxa"/>
        </w:tblCellMar>
        <w:tblLook w:val="0000" w:firstRow="0" w:lastRow="0" w:firstColumn="0" w:lastColumn="0" w:noHBand="0" w:noVBand="0"/>
      </w:tblPr>
      <w:tblGrid>
        <w:gridCol w:w="3706"/>
        <w:gridCol w:w="3706"/>
      </w:tblGrid>
      <w:tr w:rsidR="00EB6564" w14:paraId="739510DE" w14:textId="77777777">
        <w:trPr>
          <w:trHeight w:val="60"/>
          <w:tblHeader/>
        </w:trPr>
        <w:tc>
          <w:tcPr>
            <w:tcW w:w="370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8BDF6DB" w14:textId="77777777" w:rsidR="00EB6564" w:rsidRDefault="00EB6564">
            <w:pPr>
              <w:pStyle w:val="06bTABLEHEADERROW"/>
              <w:jc w:val="center"/>
            </w:pPr>
            <w:r>
              <w:t>Reporting Year</w:t>
            </w:r>
          </w:p>
        </w:tc>
        <w:tc>
          <w:tcPr>
            <w:tcW w:w="370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AB3ECED" w14:textId="77777777" w:rsidR="00EB6564" w:rsidRDefault="00EB6564">
            <w:pPr>
              <w:pStyle w:val="06bTABLEHEADERROW"/>
              <w:jc w:val="center"/>
            </w:pPr>
            <w:r>
              <w:t xml:space="preserve">Consignment authorisations issued </w:t>
            </w:r>
          </w:p>
        </w:tc>
      </w:tr>
      <w:tr w:rsidR="00EB6564" w14:paraId="261B34A0" w14:textId="77777777">
        <w:trPr>
          <w:trHeight w:val="60"/>
        </w:trPr>
        <w:tc>
          <w:tcPr>
            <w:tcW w:w="37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8B50D82" w14:textId="77777777" w:rsidR="00EB6564" w:rsidRDefault="00EB6564">
            <w:pPr>
              <w:pStyle w:val="06cTABLETEXT"/>
              <w:jc w:val="center"/>
            </w:pPr>
            <w:r>
              <w:t>2017–18</w:t>
            </w:r>
          </w:p>
        </w:tc>
        <w:tc>
          <w:tcPr>
            <w:tcW w:w="37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D40D9E" w14:textId="77777777" w:rsidR="00EB6564" w:rsidRDefault="00EB6564">
            <w:pPr>
              <w:pStyle w:val="06cTABLETEXT"/>
              <w:jc w:val="center"/>
            </w:pPr>
            <w:r>
              <w:t>159</w:t>
            </w:r>
          </w:p>
        </w:tc>
      </w:tr>
      <w:tr w:rsidR="00EB6564" w14:paraId="2DF79584" w14:textId="77777777">
        <w:trPr>
          <w:trHeight w:val="60"/>
        </w:trPr>
        <w:tc>
          <w:tcPr>
            <w:tcW w:w="37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CBEA9E0" w14:textId="77777777" w:rsidR="00EB6564" w:rsidRDefault="00EB6564">
            <w:pPr>
              <w:pStyle w:val="06cTABLETEXT"/>
              <w:jc w:val="center"/>
            </w:pPr>
            <w:r>
              <w:t>2018–19</w:t>
            </w:r>
          </w:p>
        </w:tc>
        <w:tc>
          <w:tcPr>
            <w:tcW w:w="37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87E8B7" w14:textId="77777777" w:rsidR="00EB6564" w:rsidRDefault="00EB6564">
            <w:pPr>
              <w:pStyle w:val="06cTABLETEXT"/>
              <w:jc w:val="center"/>
            </w:pPr>
            <w:r>
              <w:t>223</w:t>
            </w:r>
          </w:p>
        </w:tc>
      </w:tr>
    </w:tbl>
    <w:p w14:paraId="056726AC" w14:textId="77777777" w:rsidR="00EB6564" w:rsidRDefault="00EB6564" w:rsidP="00EB6564">
      <w:pPr>
        <w:pStyle w:val="06TABLEHEADING"/>
      </w:pPr>
      <w:r>
        <w:lastRenderedPageBreak/>
        <w:t>Table 2: Quantity of controlled waste into South Australia for the period 1 July 2018 to 30 June 2019—tonnes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392"/>
        <w:gridCol w:w="1179"/>
        <w:gridCol w:w="658"/>
        <w:gridCol w:w="691"/>
        <w:gridCol w:w="577"/>
        <w:gridCol w:w="577"/>
        <w:gridCol w:w="576"/>
        <w:gridCol w:w="719"/>
        <w:gridCol w:w="577"/>
        <w:gridCol w:w="577"/>
        <w:gridCol w:w="576"/>
        <w:gridCol w:w="789"/>
      </w:tblGrid>
      <w:tr w:rsidR="00EB6564" w14:paraId="071D3EC8" w14:textId="77777777">
        <w:trPr>
          <w:trHeight w:val="340"/>
          <w:tblHeader/>
        </w:trPr>
        <w:tc>
          <w:tcPr>
            <w:tcW w:w="392"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61434111" w14:textId="77777777" w:rsidR="00EB6564" w:rsidRDefault="00EB6564">
            <w:pPr>
              <w:pStyle w:val="06bTABLEHEADERROW"/>
              <w:jc w:val="center"/>
            </w:pPr>
            <w:r>
              <w:rPr>
                <w:rStyle w:val="BOLD"/>
                <w:b/>
                <w:bCs/>
              </w:rPr>
              <w:t>Code</w:t>
            </w:r>
          </w:p>
        </w:tc>
        <w:tc>
          <w:tcPr>
            <w:tcW w:w="1179"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6C2405EF" w14:textId="77777777" w:rsidR="00EB6564" w:rsidRDefault="00EB6564">
            <w:pPr>
              <w:pStyle w:val="06bTABLEHEADERROW"/>
              <w:jc w:val="center"/>
            </w:pPr>
            <w:r>
              <w:rPr>
                <w:rStyle w:val="BOLD"/>
                <w:b/>
                <w:bCs/>
              </w:rPr>
              <w:t>Description</w:t>
            </w:r>
          </w:p>
        </w:tc>
        <w:tc>
          <w:tcPr>
            <w:tcW w:w="658"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3D049D15" w14:textId="77777777" w:rsidR="00EB6564" w:rsidRDefault="00EB6564">
            <w:pPr>
              <w:pStyle w:val="06bTABLEHEADERROW"/>
              <w:jc w:val="center"/>
            </w:pPr>
            <w:r>
              <w:t>NSW</w:t>
            </w:r>
          </w:p>
        </w:tc>
        <w:tc>
          <w:tcPr>
            <w:tcW w:w="691"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750B00D3" w14:textId="77777777" w:rsidR="00EB6564" w:rsidRDefault="00EB6564">
            <w:pPr>
              <w:pStyle w:val="06bTABLEHEADERROW"/>
              <w:jc w:val="center"/>
            </w:pPr>
            <w:r>
              <w:t>Vic</w:t>
            </w:r>
          </w:p>
        </w:tc>
        <w:tc>
          <w:tcPr>
            <w:tcW w:w="577"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422B8275" w14:textId="77777777" w:rsidR="00EB6564" w:rsidRDefault="00EB6564">
            <w:pPr>
              <w:pStyle w:val="06bTABLEHEADERROW"/>
              <w:jc w:val="center"/>
            </w:pPr>
            <w:r>
              <w:t>Qld</w:t>
            </w:r>
          </w:p>
        </w:tc>
        <w:tc>
          <w:tcPr>
            <w:tcW w:w="577"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1A389A3F" w14:textId="77777777" w:rsidR="00EB6564" w:rsidRDefault="00EB6564">
            <w:pPr>
              <w:pStyle w:val="06bTABLEHEADERROW"/>
              <w:jc w:val="center"/>
            </w:pPr>
            <w:r>
              <w:t>WA</w:t>
            </w:r>
          </w:p>
        </w:tc>
        <w:tc>
          <w:tcPr>
            <w:tcW w:w="576"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08823144" w14:textId="77777777" w:rsidR="00EB6564" w:rsidRDefault="00EB6564">
            <w:pPr>
              <w:pStyle w:val="06bTABLEHEADERROW"/>
              <w:jc w:val="center"/>
            </w:pPr>
            <w:r>
              <w:t>SA</w:t>
            </w:r>
          </w:p>
        </w:tc>
        <w:tc>
          <w:tcPr>
            <w:tcW w:w="719"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05A8B108" w14:textId="77777777" w:rsidR="00EB6564" w:rsidRDefault="00EB6564">
            <w:pPr>
              <w:pStyle w:val="06bTABLEHEADERROW"/>
              <w:jc w:val="center"/>
            </w:pPr>
            <w:r>
              <w:t>Tas</w:t>
            </w:r>
          </w:p>
        </w:tc>
        <w:tc>
          <w:tcPr>
            <w:tcW w:w="577"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339C43A4" w14:textId="77777777" w:rsidR="00EB6564" w:rsidRDefault="00EB6564">
            <w:pPr>
              <w:pStyle w:val="06bTABLEHEADERROW"/>
              <w:jc w:val="center"/>
            </w:pPr>
            <w:r>
              <w:t>ACT</w:t>
            </w:r>
          </w:p>
        </w:tc>
        <w:tc>
          <w:tcPr>
            <w:tcW w:w="577"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0CDBCC37" w14:textId="77777777" w:rsidR="00EB6564" w:rsidRDefault="00EB6564">
            <w:pPr>
              <w:pStyle w:val="06bTABLEHEADERROW"/>
              <w:jc w:val="center"/>
            </w:pPr>
            <w:r>
              <w:t>NT</w:t>
            </w:r>
          </w:p>
        </w:tc>
        <w:tc>
          <w:tcPr>
            <w:tcW w:w="576" w:type="dxa"/>
            <w:tcBorders>
              <w:top w:val="single" w:sz="8" w:space="0" w:color="FFFFFF"/>
              <w:left w:val="single" w:sz="4" w:space="0" w:color="FFFFFF"/>
              <w:bottom w:val="single" w:sz="8" w:space="0" w:color="FFFFFF"/>
              <w:right w:val="single" w:sz="4" w:space="0" w:color="FFFFFF"/>
            </w:tcBorders>
            <w:shd w:val="solid" w:color="000000" w:fill="auto"/>
            <w:tcMar>
              <w:top w:w="85" w:type="dxa"/>
              <w:left w:w="113" w:type="dxa"/>
              <w:bottom w:w="85" w:type="dxa"/>
              <w:right w:w="0" w:type="dxa"/>
            </w:tcMar>
            <w:vAlign w:val="bottom"/>
          </w:tcPr>
          <w:p w14:paraId="67360117" w14:textId="77777777" w:rsidR="00EB6564" w:rsidRDefault="00EB6564">
            <w:pPr>
              <w:pStyle w:val="06bTABLEHEADERROW"/>
            </w:pPr>
            <w:r>
              <w:t>Ext-Terr*</w:t>
            </w:r>
          </w:p>
        </w:tc>
        <w:tc>
          <w:tcPr>
            <w:tcW w:w="789"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1DD4C884" w14:textId="77777777" w:rsidR="00EB6564" w:rsidRDefault="00EB6564">
            <w:pPr>
              <w:pStyle w:val="06bTABLEHEADERROW"/>
              <w:jc w:val="center"/>
            </w:pPr>
            <w:r>
              <w:rPr>
                <w:rStyle w:val="BOLD"/>
                <w:b/>
                <w:bCs/>
              </w:rPr>
              <w:t>Total (tonnes)</w:t>
            </w:r>
          </w:p>
        </w:tc>
      </w:tr>
      <w:tr w:rsidR="00EB6564" w14:paraId="0A38C101"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7FE356F" w14:textId="77777777" w:rsidR="00EB6564" w:rsidRDefault="00EB6564">
            <w:pPr>
              <w:pStyle w:val="06cTABLETEXT"/>
              <w:jc w:val="center"/>
            </w:pPr>
            <w:r>
              <w:rPr>
                <w:rStyle w:val="BOLD"/>
              </w:rPr>
              <w:t>A</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3E548E55" w14:textId="77777777" w:rsidR="00EB6564" w:rsidRDefault="00EB6564">
            <w:pPr>
              <w:pStyle w:val="06cTABLETEXT"/>
            </w:pPr>
            <w:r>
              <w:rPr>
                <w:rStyle w:val="BOLD"/>
              </w:rPr>
              <w:t>Plating &amp; heat treatment</w:t>
            </w:r>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CE536C2" w14:textId="77777777" w:rsidR="00EB6564" w:rsidRDefault="00EB6564">
            <w:pPr>
              <w:pStyle w:val="06cTABLETEXT"/>
              <w:jc w:val="right"/>
            </w:pPr>
            <w:r>
              <w:t>0.00</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0728F30"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5EBEEB2"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730D65E" w14:textId="77777777" w:rsidR="00EB6564" w:rsidRDefault="00EB6564">
            <w:pPr>
              <w:pStyle w:val="06cTABLETEXT"/>
              <w:jc w:val="right"/>
            </w:pPr>
            <w:r>
              <w:t>0.00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79C945D" w14:textId="77777777" w:rsidR="00EB6564" w:rsidRDefault="00EB6564">
            <w:pPr>
              <w:pStyle w:val="06cTABLETEXT"/>
              <w:jc w:val="center"/>
            </w:pPr>
            <w:r>
              <w:t>N/A</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5CF480CF"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2AFE7AEA"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FBE2431" w14:textId="77777777" w:rsidR="00EB6564" w:rsidRDefault="00EB6564">
            <w:pPr>
              <w:pStyle w:val="06cTABLETEXT"/>
              <w:jc w:val="right"/>
            </w:pPr>
            <w:r>
              <w:t>0.00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3C7F6D0D" w14:textId="77777777" w:rsidR="00EB6564" w:rsidRDefault="00EB6564">
            <w:pPr>
              <w:pStyle w:val="06cTABLETEXT"/>
              <w:jc w:val="right"/>
            </w:pPr>
            <w:r>
              <w:rPr>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F87724C" w14:textId="77777777" w:rsidR="00EB6564" w:rsidRDefault="00EB6564">
            <w:pPr>
              <w:pStyle w:val="06cTABLETEXT"/>
              <w:jc w:val="right"/>
            </w:pPr>
            <w:r>
              <w:rPr>
                <w:rStyle w:val="BOLD"/>
              </w:rPr>
              <w:t>0.00</w:t>
            </w:r>
          </w:p>
        </w:tc>
      </w:tr>
      <w:tr w:rsidR="00EB6564" w14:paraId="0D6C2E8E"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E50EC59" w14:textId="77777777" w:rsidR="00EB6564" w:rsidRDefault="00EB6564">
            <w:pPr>
              <w:pStyle w:val="06cTABLETEXT"/>
              <w:jc w:val="center"/>
            </w:pPr>
            <w:r>
              <w:rPr>
                <w:rStyle w:val="BOLD"/>
              </w:rPr>
              <w:t>B</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4187F9E2" w14:textId="77777777" w:rsidR="00EB6564" w:rsidRDefault="00EB6564">
            <w:pPr>
              <w:pStyle w:val="06cTABLETEXT"/>
            </w:pPr>
            <w:r>
              <w:rPr>
                <w:rStyle w:val="BOLD"/>
              </w:rPr>
              <w:t>Acids</w:t>
            </w:r>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88A2DFE" w14:textId="77777777" w:rsidR="00EB6564" w:rsidRDefault="00EB6564">
            <w:pPr>
              <w:pStyle w:val="06cTABLETEXT"/>
              <w:jc w:val="right"/>
            </w:pPr>
            <w:r>
              <w:t>0.22</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0813296A"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62288D90"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8CBC725" w14:textId="77777777" w:rsidR="00EB6564" w:rsidRDefault="00EB6564">
            <w:pPr>
              <w:pStyle w:val="06cTABLETEXT"/>
              <w:jc w:val="right"/>
            </w:pPr>
            <w:r>
              <w:t>19.50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CA3BD9E" w14:textId="77777777" w:rsidR="00EB6564" w:rsidRDefault="00EB6564">
            <w:pPr>
              <w:pStyle w:val="06cTABLETEXT"/>
              <w:jc w:val="center"/>
            </w:pPr>
            <w:r>
              <w:t>N/A</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0AE34CF"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62CBDF1"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2D7FB11A" w14:textId="77777777" w:rsidR="00EB6564" w:rsidRDefault="00EB6564">
            <w:pPr>
              <w:pStyle w:val="06cTABLETEXT"/>
              <w:jc w:val="right"/>
            </w:pPr>
            <w:r>
              <w:t>39.02</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6B9F150" w14:textId="77777777" w:rsidR="00EB6564" w:rsidRDefault="00EB6564">
            <w:pPr>
              <w:pStyle w:val="06cTABLETEXT"/>
              <w:jc w:val="right"/>
            </w:pPr>
            <w:r>
              <w:rPr>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66B4CBF" w14:textId="77777777" w:rsidR="00EB6564" w:rsidRDefault="00EB6564">
            <w:pPr>
              <w:pStyle w:val="06cTABLETEXT"/>
              <w:jc w:val="right"/>
            </w:pPr>
            <w:r>
              <w:rPr>
                <w:rStyle w:val="BOLD"/>
              </w:rPr>
              <w:t>58.74</w:t>
            </w:r>
          </w:p>
        </w:tc>
      </w:tr>
      <w:tr w:rsidR="00EB6564" w14:paraId="5EC53105"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42B81C" w14:textId="77777777" w:rsidR="00EB6564" w:rsidRDefault="00EB6564">
            <w:pPr>
              <w:pStyle w:val="06cTABLETEXT"/>
              <w:jc w:val="center"/>
            </w:pPr>
            <w:r>
              <w:rPr>
                <w:rStyle w:val="BOLD"/>
              </w:rPr>
              <w:t>C</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3C9DB854" w14:textId="77777777" w:rsidR="00EB6564" w:rsidRDefault="00EB6564">
            <w:pPr>
              <w:pStyle w:val="06cTABLETEXT"/>
            </w:pPr>
            <w:r>
              <w:rPr>
                <w:rStyle w:val="BOLD"/>
              </w:rPr>
              <w:t>Alkalis</w:t>
            </w:r>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09B5442A" w14:textId="77777777" w:rsidR="00EB6564" w:rsidRDefault="00EB6564">
            <w:pPr>
              <w:pStyle w:val="06cTABLETEXT"/>
              <w:jc w:val="right"/>
            </w:pPr>
            <w:r>
              <w:t>0.00</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0A04A3FA" w14:textId="77777777" w:rsidR="00EB6564" w:rsidRDefault="00EB6564">
            <w:pPr>
              <w:pStyle w:val="06cTABLETEXT"/>
              <w:jc w:val="right"/>
            </w:pPr>
            <w:r>
              <w:t>3.59</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6F136172"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558E3206" w14:textId="77777777" w:rsidR="00EB6564" w:rsidRDefault="00EB6564">
            <w:pPr>
              <w:pStyle w:val="06cTABLETEXT"/>
              <w:jc w:val="right"/>
            </w:pPr>
            <w:r>
              <w:t>0.00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B21E154" w14:textId="77777777" w:rsidR="00EB6564" w:rsidRDefault="00EB6564">
            <w:pPr>
              <w:pStyle w:val="06cTABLETEXT"/>
              <w:jc w:val="center"/>
            </w:pPr>
            <w:r>
              <w:t>N/A</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6DCE227D"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80E007C"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6C355E40" w14:textId="77777777" w:rsidR="00EB6564" w:rsidRDefault="00EB6564">
            <w:pPr>
              <w:pStyle w:val="06cTABLETEXT"/>
              <w:jc w:val="right"/>
            </w:pPr>
            <w:r>
              <w:t>21.00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566DA8D9" w14:textId="77777777" w:rsidR="00EB6564" w:rsidRDefault="00EB6564">
            <w:pPr>
              <w:pStyle w:val="06cTABLETEXT"/>
              <w:jc w:val="right"/>
            </w:pPr>
            <w:r>
              <w:rPr>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7F36060" w14:textId="77777777" w:rsidR="00EB6564" w:rsidRDefault="00EB6564">
            <w:pPr>
              <w:pStyle w:val="06cTABLETEXT"/>
              <w:jc w:val="right"/>
            </w:pPr>
            <w:r>
              <w:rPr>
                <w:rStyle w:val="BOLD"/>
              </w:rPr>
              <w:t>24.59</w:t>
            </w:r>
          </w:p>
        </w:tc>
      </w:tr>
      <w:tr w:rsidR="00EB6564" w14:paraId="057A544D"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DF6671B" w14:textId="77777777" w:rsidR="00EB6564" w:rsidRDefault="00EB6564">
            <w:pPr>
              <w:pStyle w:val="06cTABLETEXT"/>
              <w:jc w:val="center"/>
            </w:pPr>
            <w:r>
              <w:rPr>
                <w:rStyle w:val="BOLD"/>
              </w:rPr>
              <w:t>D</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00DE4BEE" w14:textId="77777777" w:rsidR="00EB6564" w:rsidRDefault="00EB6564">
            <w:pPr>
              <w:pStyle w:val="06cTABLETEXT"/>
            </w:pPr>
            <w:r>
              <w:rPr>
                <w:rStyle w:val="BOLD"/>
              </w:rPr>
              <w:t>Inorganic chemicals</w:t>
            </w:r>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6B13AA1F" w14:textId="77777777" w:rsidR="00EB6564" w:rsidRDefault="00EB6564">
            <w:pPr>
              <w:pStyle w:val="06cTABLETEXT"/>
              <w:jc w:val="right"/>
            </w:pPr>
            <w:r>
              <w:t>9068.60</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6C725E19" w14:textId="77777777" w:rsidR="00EB6564" w:rsidRDefault="00EB6564">
            <w:pPr>
              <w:pStyle w:val="06cTABLETEXT"/>
              <w:jc w:val="right"/>
            </w:pPr>
            <w:r>
              <w:t>8435.83</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A90CD9B"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202C9C23" w14:textId="77777777" w:rsidR="00EB6564" w:rsidRDefault="00EB6564">
            <w:pPr>
              <w:pStyle w:val="06cTABLETEXT"/>
              <w:jc w:val="right"/>
            </w:pPr>
            <w:r>
              <w:t>44.50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A6EA2AF" w14:textId="77777777" w:rsidR="00EB6564" w:rsidRDefault="00EB6564">
            <w:pPr>
              <w:pStyle w:val="06cTABLETEXT"/>
              <w:jc w:val="center"/>
            </w:pPr>
            <w:r>
              <w:t>N/A</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316407B7" w14:textId="77777777" w:rsidR="00EB6564" w:rsidRDefault="00EB6564">
            <w:pPr>
              <w:pStyle w:val="06cTABLETEXT"/>
              <w:jc w:val="right"/>
            </w:pPr>
            <w:r>
              <w:t>330921.83</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6588BFC9"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A3266B9" w14:textId="77777777" w:rsidR="00EB6564" w:rsidRDefault="00EB6564">
            <w:pPr>
              <w:pStyle w:val="06cTABLETEXT"/>
              <w:jc w:val="right"/>
            </w:pPr>
            <w:r>
              <w:t>293.52</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0A9BA5D8" w14:textId="77777777" w:rsidR="00EB6564" w:rsidRDefault="00EB6564">
            <w:pPr>
              <w:pStyle w:val="06cTABLETEXT"/>
              <w:jc w:val="right"/>
            </w:pPr>
            <w:r>
              <w:rPr>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03612C2" w14:textId="77777777" w:rsidR="00EB6564" w:rsidRDefault="00EB6564">
            <w:pPr>
              <w:pStyle w:val="06cTABLETEXT"/>
              <w:jc w:val="right"/>
            </w:pPr>
            <w:r>
              <w:rPr>
                <w:rStyle w:val="BOLD"/>
              </w:rPr>
              <w:t>348764.28</w:t>
            </w:r>
          </w:p>
        </w:tc>
      </w:tr>
      <w:tr w:rsidR="00EB6564" w14:paraId="78614D1A"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00CDD0" w14:textId="77777777" w:rsidR="00EB6564" w:rsidRDefault="00EB6564">
            <w:pPr>
              <w:pStyle w:val="06cTABLETEXT"/>
              <w:jc w:val="center"/>
            </w:pPr>
            <w:r>
              <w:rPr>
                <w:rStyle w:val="BOLD"/>
              </w:rPr>
              <w:t>E</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56E4751C" w14:textId="77777777" w:rsidR="00EB6564" w:rsidRDefault="00EB6564">
            <w:pPr>
              <w:pStyle w:val="06cTABLETEXT"/>
            </w:pPr>
            <w:r>
              <w:rPr>
                <w:rStyle w:val="BOLD"/>
              </w:rPr>
              <w:t>Reactive chemicals</w:t>
            </w:r>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56D9721" w14:textId="77777777" w:rsidR="00EB6564" w:rsidRDefault="00EB6564">
            <w:pPr>
              <w:pStyle w:val="06cTABLETEXT"/>
              <w:jc w:val="right"/>
            </w:pPr>
            <w:r>
              <w:t>0.00</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284B8C4E"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5525277"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232A008" w14:textId="77777777" w:rsidR="00EB6564" w:rsidRDefault="00EB6564">
            <w:pPr>
              <w:pStyle w:val="06cTABLETEXT"/>
              <w:jc w:val="right"/>
            </w:pPr>
            <w:r>
              <w:t>0.00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B32360A" w14:textId="77777777" w:rsidR="00EB6564" w:rsidRDefault="00EB6564">
            <w:pPr>
              <w:pStyle w:val="06cTABLETEXT"/>
              <w:jc w:val="center"/>
            </w:pPr>
            <w:r>
              <w:t>N/A</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04FDD18"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2E1DC27"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6DC79683" w14:textId="77777777" w:rsidR="00EB6564" w:rsidRDefault="00EB6564">
            <w:pPr>
              <w:pStyle w:val="06cTABLETEXT"/>
              <w:jc w:val="right"/>
            </w:pPr>
            <w:r>
              <w:t>0.00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CE61155" w14:textId="77777777" w:rsidR="00EB6564" w:rsidRDefault="00EB6564">
            <w:pPr>
              <w:pStyle w:val="06cTABLETEXT"/>
              <w:jc w:val="right"/>
            </w:pPr>
            <w:r>
              <w:rPr>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133B987" w14:textId="77777777" w:rsidR="00EB6564" w:rsidRDefault="00EB6564">
            <w:pPr>
              <w:pStyle w:val="06cTABLETEXT"/>
              <w:jc w:val="right"/>
            </w:pPr>
            <w:r>
              <w:rPr>
                <w:rStyle w:val="BOLD"/>
              </w:rPr>
              <w:t>0.00</w:t>
            </w:r>
          </w:p>
        </w:tc>
      </w:tr>
      <w:tr w:rsidR="00EB6564" w14:paraId="5FC81547"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D7CF36" w14:textId="77777777" w:rsidR="00EB6564" w:rsidRDefault="00EB6564">
            <w:pPr>
              <w:pStyle w:val="06cTABLETEXT"/>
              <w:jc w:val="center"/>
            </w:pPr>
            <w:r>
              <w:rPr>
                <w:rStyle w:val="BOLD"/>
              </w:rPr>
              <w:t>F</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3D3532B1" w14:textId="77777777" w:rsidR="00EB6564" w:rsidRDefault="00EB6564">
            <w:pPr>
              <w:pStyle w:val="06cTABLETEXT"/>
            </w:pPr>
            <w:r>
              <w:rPr>
                <w:rStyle w:val="BOLD"/>
              </w:rPr>
              <w:t>Paints, resins, inks organic sludges</w:t>
            </w:r>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3CE6959B" w14:textId="77777777" w:rsidR="00EB6564" w:rsidRDefault="00EB6564">
            <w:pPr>
              <w:pStyle w:val="06cTABLETEXT"/>
              <w:jc w:val="right"/>
            </w:pPr>
            <w:r>
              <w:t>0.00</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50624F6" w14:textId="77777777" w:rsidR="00EB6564" w:rsidRDefault="00EB6564">
            <w:pPr>
              <w:pStyle w:val="06cTABLETEXT"/>
              <w:jc w:val="right"/>
            </w:pPr>
            <w:r>
              <w:t>97.61</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07C4E06A"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26E1FD7A" w14:textId="77777777" w:rsidR="00EB6564" w:rsidRDefault="00EB6564">
            <w:pPr>
              <w:pStyle w:val="06cTABLETEXT"/>
              <w:jc w:val="right"/>
            </w:pPr>
            <w:r>
              <w:t>0.00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6C60949" w14:textId="77777777" w:rsidR="00EB6564" w:rsidRDefault="00EB6564">
            <w:pPr>
              <w:pStyle w:val="06cTABLETEXT"/>
              <w:jc w:val="center"/>
            </w:pPr>
            <w:r>
              <w:t>N/A</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365F18CD"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9473DCC"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3D1AA655" w14:textId="77777777" w:rsidR="00EB6564" w:rsidRDefault="00EB6564">
            <w:pPr>
              <w:pStyle w:val="06cTABLETEXT"/>
              <w:jc w:val="right"/>
            </w:pPr>
            <w:r>
              <w:t>106.05</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26BE205" w14:textId="77777777" w:rsidR="00EB6564" w:rsidRDefault="00EB6564">
            <w:pPr>
              <w:pStyle w:val="06cTABLETEXT"/>
              <w:jc w:val="right"/>
            </w:pPr>
            <w:r>
              <w:rPr>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3FCABD2C" w14:textId="77777777" w:rsidR="00EB6564" w:rsidRDefault="00EB6564">
            <w:pPr>
              <w:pStyle w:val="06cTABLETEXT"/>
              <w:jc w:val="right"/>
            </w:pPr>
            <w:r>
              <w:rPr>
                <w:rStyle w:val="BOLD"/>
              </w:rPr>
              <w:t>203.66</w:t>
            </w:r>
          </w:p>
        </w:tc>
      </w:tr>
      <w:tr w:rsidR="00EB6564" w14:paraId="2AA9CBE0"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E52BE6" w14:textId="77777777" w:rsidR="00EB6564" w:rsidRDefault="00EB6564">
            <w:pPr>
              <w:pStyle w:val="06cTABLETEXT"/>
              <w:jc w:val="center"/>
            </w:pPr>
            <w:r>
              <w:rPr>
                <w:rStyle w:val="BOLD"/>
              </w:rPr>
              <w:t>G</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07D1C7A3" w14:textId="77777777" w:rsidR="00EB6564" w:rsidRDefault="00EB6564">
            <w:pPr>
              <w:pStyle w:val="06cTABLETEXT"/>
            </w:pPr>
            <w:r>
              <w:rPr>
                <w:rStyle w:val="BOLD"/>
              </w:rPr>
              <w:t>Organic solvents</w:t>
            </w:r>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5E46AB8" w14:textId="77777777" w:rsidR="00EB6564" w:rsidRDefault="00EB6564">
            <w:pPr>
              <w:pStyle w:val="06cTABLETEXT"/>
              <w:jc w:val="right"/>
            </w:pPr>
            <w:r>
              <w:t>75.14</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6DED8A7" w14:textId="77777777" w:rsidR="00EB6564" w:rsidRDefault="00EB6564">
            <w:pPr>
              <w:pStyle w:val="06cTABLETEXT"/>
              <w:jc w:val="right"/>
            </w:pPr>
            <w:r>
              <w:t>26.08</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5E2A6744"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BC88B6C" w14:textId="77777777" w:rsidR="00EB6564" w:rsidRDefault="00EB6564">
            <w:pPr>
              <w:pStyle w:val="06cTABLETEXT"/>
              <w:jc w:val="right"/>
            </w:pPr>
            <w:r>
              <w:t>0.00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7998167" w14:textId="77777777" w:rsidR="00EB6564" w:rsidRDefault="00EB6564">
            <w:pPr>
              <w:pStyle w:val="06cTABLETEXT"/>
              <w:jc w:val="center"/>
            </w:pPr>
            <w:r>
              <w:t>N/A</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57063E15"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25889A9A"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049FB9CD" w14:textId="77777777" w:rsidR="00EB6564" w:rsidRDefault="00EB6564">
            <w:pPr>
              <w:pStyle w:val="06cTABLETEXT"/>
              <w:jc w:val="right"/>
            </w:pPr>
            <w:r>
              <w:t>2.00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EA79542" w14:textId="77777777" w:rsidR="00EB6564" w:rsidRDefault="00EB6564">
            <w:pPr>
              <w:pStyle w:val="06cTABLETEXT"/>
              <w:jc w:val="right"/>
            </w:pPr>
            <w:r>
              <w:rPr>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E15F01F" w14:textId="77777777" w:rsidR="00EB6564" w:rsidRDefault="00EB6564">
            <w:pPr>
              <w:pStyle w:val="06cTABLETEXT"/>
              <w:jc w:val="right"/>
            </w:pPr>
            <w:r>
              <w:rPr>
                <w:rStyle w:val="BOLD"/>
              </w:rPr>
              <w:t>103.22</w:t>
            </w:r>
          </w:p>
        </w:tc>
      </w:tr>
      <w:tr w:rsidR="00EB6564" w14:paraId="2FB72137"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FF1888" w14:textId="77777777" w:rsidR="00EB6564" w:rsidRDefault="00EB6564">
            <w:pPr>
              <w:pStyle w:val="06cTABLETEXT"/>
              <w:jc w:val="center"/>
            </w:pPr>
            <w:r>
              <w:rPr>
                <w:rStyle w:val="BOLD"/>
              </w:rPr>
              <w:t>H</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2B5CF02D" w14:textId="77777777" w:rsidR="00EB6564" w:rsidRDefault="00EB6564">
            <w:pPr>
              <w:pStyle w:val="06cTABLETEXT"/>
            </w:pPr>
            <w:r>
              <w:rPr>
                <w:rStyle w:val="BOLD"/>
              </w:rPr>
              <w:t>Pesticides</w:t>
            </w:r>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2776AEDD" w14:textId="77777777" w:rsidR="00EB6564" w:rsidRDefault="00EB6564">
            <w:pPr>
              <w:pStyle w:val="06cTABLETEXT"/>
              <w:jc w:val="right"/>
            </w:pPr>
            <w:r>
              <w:t>19.58</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0F1F16D3"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36BB5B85"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CB2C001" w14:textId="77777777" w:rsidR="00EB6564" w:rsidRDefault="00EB6564">
            <w:pPr>
              <w:pStyle w:val="06cTABLETEXT"/>
              <w:jc w:val="right"/>
            </w:pPr>
            <w:r>
              <w:t>0.00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07CB32B" w14:textId="77777777" w:rsidR="00EB6564" w:rsidRDefault="00EB6564">
            <w:pPr>
              <w:pStyle w:val="06cTABLETEXT"/>
              <w:jc w:val="center"/>
            </w:pPr>
            <w:r>
              <w:t>N/A</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AF23311"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89DE0BA"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6BC324CC" w14:textId="77777777" w:rsidR="00EB6564" w:rsidRDefault="00EB6564">
            <w:pPr>
              <w:pStyle w:val="06cTABLETEXT"/>
              <w:jc w:val="right"/>
            </w:pPr>
            <w:r>
              <w:t>0.00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38678F29" w14:textId="77777777" w:rsidR="00EB6564" w:rsidRDefault="00EB6564">
            <w:pPr>
              <w:pStyle w:val="06cTABLETEXT"/>
              <w:jc w:val="right"/>
            </w:pPr>
            <w:r>
              <w:rPr>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7EBE4D8" w14:textId="77777777" w:rsidR="00EB6564" w:rsidRDefault="00EB6564">
            <w:pPr>
              <w:pStyle w:val="06cTABLETEXT"/>
              <w:jc w:val="right"/>
            </w:pPr>
            <w:r>
              <w:rPr>
                <w:rStyle w:val="BOLD"/>
              </w:rPr>
              <w:t>19.58</w:t>
            </w:r>
          </w:p>
        </w:tc>
      </w:tr>
      <w:tr w:rsidR="00EB6564" w14:paraId="78B37699"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820071" w14:textId="77777777" w:rsidR="00EB6564" w:rsidRDefault="00EB6564">
            <w:pPr>
              <w:pStyle w:val="06cTABLETEXT"/>
              <w:jc w:val="center"/>
            </w:pPr>
            <w:r>
              <w:rPr>
                <w:rStyle w:val="BOLD"/>
              </w:rPr>
              <w:t>J</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5957B123" w14:textId="77777777" w:rsidR="00EB6564" w:rsidRDefault="00EB6564">
            <w:pPr>
              <w:pStyle w:val="06cTABLETEXT"/>
            </w:pPr>
            <w:r>
              <w:rPr>
                <w:rStyle w:val="BOLD"/>
              </w:rPr>
              <w:t>Oils</w:t>
            </w:r>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4336D80" w14:textId="77777777" w:rsidR="00EB6564" w:rsidRDefault="00EB6564">
            <w:pPr>
              <w:pStyle w:val="06cTABLETEXT"/>
              <w:jc w:val="right"/>
            </w:pPr>
            <w:r>
              <w:t>438.82</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3FC7C8D" w14:textId="77777777" w:rsidR="00EB6564" w:rsidRDefault="00EB6564">
            <w:pPr>
              <w:pStyle w:val="06cTABLETEXT"/>
              <w:jc w:val="right"/>
            </w:pPr>
            <w:r>
              <w:t>339.13</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5842F7C6" w14:textId="77777777" w:rsidR="00EB6564" w:rsidRDefault="00EB6564">
            <w:pPr>
              <w:pStyle w:val="06cTABLETEXT"/>
              <w:jc w:val="right"/>
            </w:pPr>
            <w:r>
              <w:t>68.00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C285CDF" w14:textId="77777777" w:rsidR="00EB6564" w:rsidRDefault="00EB6564">
            <w:pPr>
              <w:pStyle w:val="06cTABLETEXT"/>
              <w:jc w:val="right"/>
            </w:pPr>
            <w:r>
              <w:t>119.68</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37F86BD" w14:textId="77777777" w:rsidR="00EB6564" w:rsidRDefault="00EB6564">
            <w:pPr>
              <w:pStyle w:val="06cTABLETEXT"/>
              <w:jc w:val="center"/>
            </w:pPr>
            <w:r>
              <w:t>N/A</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5E60F58C"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8B8E37C"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7FBEDE6" w14:textId="77777777" w:rsidR="00EB6564" w:rsidRDefault="00EB6564">
            <w:pPr>
              <w:pStyle w:val="06cTABLETEXT"/>
              <w:jc w:val="right"/>
            </w:pPr>
            <w:r>
              <w:t>2334.50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6E2994D" w14:textId="77777777" w:rsidR="00EB6564" w:rsidRDefault="00EB6564">
            <w:pPr>
              <w:pStyle w:val="06cTABLETEXT"/>
              <w:jc w:val="right"/>
            </w:pPr>
            <w:r>
              <w:rPr>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0E1FE57C" w14:textId="77777777" w:rsidR="00EB6564" w:rsidRDefault="00EB6564">
            <w:pPr>
              <w:pStyle w:val="06cTABLETEXT"/>
              <w:jc w:val="right"/>
            </w:pPr>
            <w:r>
              <w:rPr>
                <w:rStyle w:val="BOLD"/>
              </w:rPr>
              <w:t>3300.13</w:t>
            </w:r>
          </w:p>
        </w:tc>
      </w:tr>
      <w:tr w:rsidR="00EB6564" w14:paraId="48166A15"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D9C066" w14:textId="77777777" w:rsidR="00EB6564" w:rsidRDefault="00EB6564">
            <w:pPr>
              <w:pStyle w:val="06cTABLETEXT"/>
              <w:jc w:val="center"/>
            </w:pPr>
            <w:r>
              <w:rPr>
                <w:rStyle w:val="BOLD"/>
              </w:rPr>
              <w:t>K</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17B6C36D" w14:textId="77777777" w:rsidR="00EB6564" w:rsidRDefault="00EB6564">
            <w:pPr>
              <w:pStyle w:val="06cTABLETEXT"/>
            </w:pPr>
            <w:r>
              <w:rPr>
                <w:rStyle w:val="BOLD"/>
              </w:rPr>
              <w:t>Putrescible/organic waste</w:t>
            </w:r>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5973F32E" w14:textId="77777777" w:rsidR="00EB6564" w:rsidRDefault="00EB6564">
            <w:pPr>
              <w:pStyle w:val="06cTABLETEXT"/>
              <w:jc w:val="right"/>
            </w:pPr>
            <w:r>
              <w:t>0.00</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50450998"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038DFCEA"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92C57AC" w14:textId="77777777" w:rsidR="00EB6564" w:rsidRDefault="00EB6564">
            <w:pPr>
              <w:pStyle w:val="06cTABLETEXT"/>
              <w:jc w:val="right"/>
            </w:pPr>
            <w:r>
              <w:t>0.00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52C6A4E" w14:textId="77777777" w:rsidR="00EB6564" w:rsidRDefault="00EB6564">
            <w:pPr>
              <w:pStyle w:val="06cTABLETEXT"/>
              <w:jc w:val="center"/>
            </w:pPr>
            <w:r>
              <w:t>N/A</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03F6FFE4"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35C3813B"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28417F24" w14:textId="77777777" w:rsidR="00EB6564" w:rsidRDefault="00EB6564">
            <w:pPr>
              <w:pStyle w:val="06cTABLETEXT"/>
              <w:jc w:val="right"/>
            </w:pPr>
            <w:r>
              <w:t>11.00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3B73F39" w14:textId="77777777" w:rsidR="00EB6564" w:rsidRDefault="00EB6564">
            <w:pPr>
              <w:pStyle w:val="06cTABLETEXT"/>
              <w:jc w:val="right"/>
            </w:pPr>
            <w:r>
              <w:rPr>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580161EB" w14:textId="77777777" w:rsidR="00EB6564" w:rsidRDefault="00EB6564">
            <w:pPr>
              <w:pStyle w:val="06cTABLETEXT"/>
              <w:jc w:val="right"/>
            </w:pPr>
            <w:r>
              <w:rPr>
                <w:rStyle w:val="BOLD"/>
              </w:rPr>
              <w:t>11.00</w:t>
            </w:r>
          </w:p>
        </w:tc>
      </w:tr>
      <w:tr w:rsidR="00EB6564" w14:paraId="5DC2FBF8"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F08F2F" w14:textId="77777777" w:rsidR="00EB6564" w:rsidRDefault="00EB6564">
            <w:pPr>
              <w:pStyle w:val="06cTABLETEXT"/>
              <w:jc w:val="center"/>
            </w:pPr>
            <w:r>
              <w:rPr>
                <w:rStyle w:val="BOLD"/>
              </w:rPr>
              <w:t>L</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0DB1B29A" w14:textId="77777777" w:rsidR="00EB6564" w:rsidRDefault="00EB6564">
            <w:pPr>
              <w:pStyle w:val="06cTABLETEXT"/>
            </w:pPr>
            <w:r>
              <w:rPr>
                <w:rStyle w:val="BOLD"/>
              </w:rPr>
              <w:t xml:space="preserve">Industrial </w:t>
            </w:r>
            <w:proofErr w:type="spellStart"/>
            <w:r>
              <w:rPr>
                <w:rStyle w:val="BOLD"/>
              </w:rPr>
              <w:t>washwater</w:t>
            </w:r>
            <w:proofErr w:type="spellEnd"/>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51D7E15" w14:textId="77777777" w:rsidR="00EB6564" w:rsidRDefault="00EB6564">
            <w:pPr>
              <w:pStyle w:val="06cTABLETEXT"/>
              <w:jc w:val="right"/>
            </w:pPr>
            <w:r>
              <w:t>0.00</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077AD80E"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0EBF3E45"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59C4A4D9" w14:textId="77777777" w:rsidR="00EB6564" w:rsidRDefault="00EB6564">
            <w:pPr>
              <w:pStyle w:val="06cTABLETEXT"/>
              <w:jc w:val="right"/>
            </w:pPr>
            <w:r>
              <w:t>0.00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7F4F31E" w14:textId="77777777" w:rsidR="00EB6564" w:rsidRDefault="00EB6564">
            <w:pPr>
              <w:pStyle w:val="06cTABLETEXT"/>
              <w:jc w:val="center"/>
            </w:pPr>
            <w:r>
              <w:t>N/A</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3B1FC162"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C4A8D44"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631A3A2D" w14:textId="77777777" w:rsidR="00EB6564" w:rsidRDefault="00EB6564">
            <w:pPr>
              <w:pStyle w:val="06cTABLETEXT"/>
              <w:jc w:val="right"/>
            </w:pPr>
            <w:r>
              <w:t>0.00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0036AD56" w14:textId="77777777" w:rsidR="00EB6564" w:rsidRDefault="00EB6564">
            <w:pPr>
              <w:pStyle w:val="06cTABLETEXT"/>
              <w:jc w:val="right"/>
            </w:pPr>
            <w:r>
              <w:rPr>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CA47FAD" w14:textId="77777777" w:rsidR="00EB6564" w:rsidRDefault="00EB6564">
            <w:pPr>
              <w:pStyle w:val="06cTABLETEXT"/>
              <w:jc w:val="right"/>
            </w:pPr>
            <w:r>
              <w:rPr>
                <w:rStyle w:val="BOLD"/>
              </w:rPr>
              <w:t>0.00</w:t>
            </w:r>
          </w:p>
        </w:tc>
      </w:tr>
      <w:tr w:rsidR="00EB6564" w14:paraId="6389D290"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494571" w14:textId="77777777" w:rsidR="00EB6564" w:rsidRDefault="00EB6564">
            <w:pPr>
              <w:pStyle w:val="06cTABLETEXT"/>
              <w:jc w:val="center"/>
            </w:pPr>
            <w:r>
              <w:rPr>
                <w:rStyle w:val="BOLD"/>
              </w:rPr>
              <w:t>M</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41F9CC8E" w14:textId="77777777" w:rsidR="00EB6564" w:rsidRDefault="00EB6564">
            <w:pPr>
              <w:pStyle w:val="06cTABLETEXT"/>
            </w:pPr>
            <w:r>
              <w:rPr>
                <w:rStyle w:val="BOLD"/>
              </w:rPr>
              <w:t>Organic chemicals</w:t>
            </w:r>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27292886" w14:textId="77777777" w:rsidR="00EB6564" w:rsidRDefault="00EB6564">
            <w:pPr>
              <w:pStyle w:val="06cTABLETEXT"/>
              <w:jc w:val="right"/>
            </w:pPr>
            <w:r>
              <w:t>0.00</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1045459" w14:textId="77777777" w:rsidR="00EB6564" w:rsidRDefault="00EB6564">
            <w:pPr>
              <w:pStyle w:val="06cTABLETEXT"/>
              <w:jc w:val="right"/>
            </w:pPr>
            <w:r>
              <w:t>4.31</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E24D8F6"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6A42E4E" w14:textId="77777777" w:rsidR="00EB6564" w:rsidRDefault="00EB6564">
            <w:pPr>
              <w:pStyle w:val="06cTABLETEXT"/>
              <w:jc w:val="right"/>
            </w:pPr>
            <w:r>
              <w:t>0.00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391577B" w14:textId="77777777" w:rsidR="00EB6564" w:rsidRDefault="00EB6564">
            <w:pPr>
              <w:pStyle w:val="06cTABLETEXT"/>
              <w:jc w:val="center"/>
            </w:pPr>
            <w:r>
              <w:t>N/A</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9D5C7F3"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29648CF2"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17FE753" w14:textId="77777777" w:rsidR="00EB6564" w:rsidRDefault="00EB6564">
            <w:pPr>
              <w:pStyle w:val="06cTABLETEXT"/>
              <w:jc w:val="right"/>
            </w:pPr>
            <w:r>
              <w:t>5.00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2DA1299" w14:textId="77777777" w:rsidR="00EB6564" w:rsidRDefault="00EB6564">
            <w:pPr>
              <w:pStyle w:val="06cTABLETEXT"/>
              <w:jc w:val="right"/>
            </w:pPr>
            <w:r>
              <w:rPr>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3308614F" w14:textId="77777777" w:rsidR="00EB6564" w:rsidRDefault="00EB6564">
            <w:pPr>
              <w:pStyle w:val="06cTABLETEXT"/>
              <w:jc w:val="right"/>
            </w:pPr>
            <w:r>
              <w:rPr>
                <w:rStyle w:val="BOLD"/>
              </w:rPr>
              <w:t>9.31</w:t>
            </w:r>
          </w:p>
        </w:tc>
      </w:tr>
      <w:tr w:rsidR="00EB6564" w14:paraId="7BC70345"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5FC75D" w14:textId="77777777" w:rsidR="00EB6564" w:rsidRDefault="00EB6564">
            <w:pPr>
              <w:pStyle w:val="06cTABLETEXT"/>
              <w:jc w:val="center"/>
            </w:pPr>
            <w:r>
              <w:rPr>
                <w:rStyle w:val="BOLD"/>
              </w:rPr>
              <w:t>N</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2A700797" w14:textId="77777777" w:rsidR="00EB6564" w:rsidRDefault="00EB6564">
            <w:pPr>
              <w:pStyle w:val="06cTABLETEXT"/>
            </w:pPr>
            <w:r>
              <w:rPr>
                <w:rStyle w:val="BOLD"/>
              </w:rPr>
              <w:t>Soil/sludge</w:t>
            </w:r>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26DFE64D" w14:textId="77777777" w:rsidR="00EB6564" w:rsidRDefault="00EB6564">
            <w:pPr>
              <w:pStyle w:val="06cTABLETEXT"/>
              <w:jc w:val="right"/>
            </w:pPr>
            <w:r>
              <w:t>6015.40</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692E585" w14:textId="77777777" w:rsidR="00EB6564" w:rsidRDefault="00EB6564">
            <w:pPr>
              <w:pStyle w:val="06cTABLETEXT"/>
              <w:jc w:val="right"/>
            </w:pPr>
            <w:r>
              <w:t>4590.18</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C7C1F71"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0CF2345" w14:textId="77777777" w:rsidR="00EB6564" w:rsidRDefault="00EB6564">
            <w:pPr>
              <w:pStyle w:val="06cTABLETEXT"/>
              <w:jc w:val="right"/>
            </w:pPr>
            <w:r>
              <w:t>283.54</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588D339" w14:textId="77777777" w:rsidR="00EB6564" w:rsidRDefault="00EB6564">
            <w:pPr>
              <w:pStyle w:val="06cTABLETEXT"/>
              <w:jc w:val="center"/>
            </w:pPr>
            <w:r>
              <w:t>N/A</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D1C24A6"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BB6C035"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3CF88B2B" w14:textId="77777777" w:rsidR="00EB6564" w:rsidRDefault="00EB6564">
            <w:pPr>
              <w:pStyle w:val="06cTABLETEXT"/>
              <w:jc w:val="right"/>
            </w:pPr>
            <w:r>
              <w:t>360.68</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25FFC943" w14:textId="77777777" w:rsidR="00EB6564" w:rsidRDefault="00EB6564">
            <w:pPr>
              <w:pStyle w:val="06cTABLETEXT"/>
              <w:jc w:val="right"/>
            </w:pPr>
            <w:r>
              <w:rPr>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60D8E49B" w14:textId="77777777" w:rsidR="00EB6564" w:rsidRDefault="00EB6564">
            <w:pPr>
              <w:pStyle w:val="06cTABLETEXT"/>
              <w:jc w:val="right"/>
            </w:pPr>
            <w:r>
              <w:rPr>
                <w:rStyle w:val="BOLD"/>
              </w:rPr>
              <w:t>11249.80</w:t>
            </w:r>
          </w:p>
        </w:tc>
      </w:tr>
      <w:tr w:rsidR="00EB6564" w14:paraId="26031752" w14:textId="77777777">
        <w:trPr>
          <w:trHeight w:val="456"/>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D55CAA" w14:textId="77777777" w:rsidR="00EB6564" w:rsidRDefault="00EB6564">
            <w:pPr>
              <w:pStyle w:val="06cTABLETEXT"/>
              <w:jc w:val="center"/>
            </w:pPr>
            <w:r>
              <w:rPr>
                <w:rStyle w:val="BOLD"/>
              </w:rPr>
              <w:t>R</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40509D21" w14:textId="77777777" w:rsidR="00EB6564" w:rsidRDefault="00EB6564">
            <w:pPr>
              <w:pStyle w:val="06cTABLETEXT"/>
            </w:pPr>
            <w:r>
              <w:rPr>
                <w:rStyle w:val="BOLD"/>
              </w:rPr>
              <w:t>Clinical &amp; pharmaceutical</w:t>
            </w:r>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6FA8DDBE" w14:textId="77777777" w:rsidR="00EB6564" w:rsidRDefault="00EB6564">
            <w:pPr>
              <w:pStyle w:val="06cTABLETEXT"/>
              <w:jc w:val="right"/>
            </w:pPr>
            <w:r>
              <w:t>0.00</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3C4FAB4C" w14:textId="77777777" w:rsidR="00EB6564" w:rsidRDefault="00EB6564">
            <w:pPr>
              <w:pStyle w:val="06cTABLETEXT"/>
              <w:jc w:val="right"/>
            </w:pPr>
            <w:r>
              <w:t>32.38</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576B6464"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DF72BBD" w14:textId="77777777" w:rsidR="00EB6564" w:rsidRDefault="00EB6564">
            <w:pPr>
              <w:pStyle w:val="06cTABLETEXT"/>
              <w:jc w:val="right"/>
            </w:pPr>
            <w:r>
              <w:t>0.00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E55E294" w14:textId="77777777" w:rsidR="00EB6564" w:rsidRDefault="00EB6564">
            <w:pPr>
              <w:pStyle w:val="06cTABLETEXT"/>
              <w:jc w:val="center"/>
            </w:pPr>
            <w:r>
              <w:t>N/A</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5FE21756" w14:textId="77777777" w:rsidR="00EB6564" w:rsidRDefault="00EB6564">
            <w:pPr>
              <w:pStyle w:val="06cTABLETEXT"/>
              <w:jc w:val="right"/>
            </w:pPr>
            <w:r>
              <w:t>23.75</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FA63AB2"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2726B38E" w14:textId="77777777" w:rsidR="00EB6564" w:rsidRDefault="00EB6564">
            <w:pPr>
              <w:pStyle w:val="06cTABLETEXT"/>
              <w:jc w:val="right"/>
            </w:pPr>
            <w:r>
              <w:t>82.94</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2C30FDA" w14:textId="77777777" w:rsidR="00EB6564" w:rsidRDefault="00EB6564">
            <w:pPr>
              <w:pStyle w:val="06cTABLETEXT"/>
              <w:jc w:val="right"/>
            </w:pPr>
            <w:r>
              <w:rPr>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6043D9B0" w14:textId="77777777" w:rsidR="00EB6564" w:rsidRDefault="00EB6564">
            <w:pPr>
              <w:pStyle w:val="06cTABLETEXT"/>
              <w:jc w:val="right"/>
            </w:pPr>
            <w:r>
              <w:rPr>
                <w:rStyle w:val="BOLD"/>
              </w:rPr>
              <w:t>139.07</w:t>
            </w:r>
          </w:p>
        </w:tc>
      </w:tr>
      <w:tr w:rsidR="00EB6564" w14:paraId="0D54CB76"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FA26B38" w14:textId="77777777" w:rsidR="00EB6564" w:rsidRDefault="00EB6564">
            <w:pPr>
              <w:pStyle w:val="06cTABLETEXT"/>
              <w:jc w:val="center"/>
            </w:pPr>
            <w:r>
              <w:rPr>
                <w:rStyle w:val="BOLD"/>
              </w:rPr>
              <w:t>T</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74F839A7" w14:textId="77777777" w:rsidR="00EB6564" w:rsidRDefault="00EB6564">
            <w:pPr>
              <w:pStyle w:val="06cTABLETEXT"/>
            </w:pPr>
            <w:r>
              <w:rPr>
                <w:rStyle w:val="BOLD"/>
              </w:rPr>
              <w:t>Misc.</w:t>
            </w:r>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1C8B499" w14:textId="77777777" w:rsidR="00EB6564" w:rsidRDefault="00EB6564">
            <w:pPr>
              <w:pStyle w:val="06cTABLETEXT"/>
              <w:jc w:val="right"/>
            </w:pPr>
            <w:r>
              <w:t>260.89</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3BC55861"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CDC5263"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B516EF0" w14:textId="77777777" w:rsidR="00EB6564" w:rsidRDefault="00EB6564">
            <w:pPr>
              <w:pStyle w:val="06cTABLETEXT"/>
              <w:jc w:val="right"/>
            </w:pPr>
            <w:r>
              <w:t>0.00</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E19D843" w14:textId="77777777" w:rsidR="00EB6564" w:rsidRDefault="00EB6564">
            <w:pPr>
              <w:pStyle w:val="06cTABLETEXT"/>
              <w:jc w:val="center"/>
            </w:pPr>
            <w:r>
              <w:t>N/A</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08A4B79"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247E1F39" w14:textId="77777777" w:rsidR="00EB6564" w:rsidRDefault="00EB6564">
            <w:pPr>
              <w:pStyle w:val="06cTABLETEXT"/>
              <w:jc w:val="right"/>
            </w:pPr>
            <w: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1580A560" w14:textId="77777777" w:rsidR="00EB6564" w:rsidRDefault="00EB6564">
            <w:pPr>
              <w:pStyle w:val="06cTABLETEXT"/>
              <w:jc w:val="right"/>
            </w:pPr>
            <w:r>
              <w:t>346.71</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03551B49" w14:textId="77777777" w:rsidR="00EB6564" w:rsidRDefault="00EB6564">
            <w:pPr>
              <w:pStyle w:val="06cTABLETEXT"/>
              <w:jc w:val="right"/>
            </w:pPr>
            <w:r>
              <w:rPr>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30476F7" w14:textId="77777777" w:rsidR="00EB6564" w:rsidRDefault="00EB6564">
            <w:pPr>
              <w:pStyle w:val="06cTABLETEXT"/>
              <w:jc w:val="right"/>
            </w:pPr>
            <w:r>
              <w:rPr>
                <w:rStyle w:val="BOLD"/>
              </w:rPr>
              <w:t>607.60</w:t>
            </w:r>
          </w:p>
        </w:tc>
      </w:tr>
      <w:tr w:rsidR="00EB6564" w14:paraId="2FE64BFE" w14:textId="77777777">
        <w:trPr>
          <w:trHeight w:val="340"/>
        </w:trPr>
        <w:tc>
          <w:tcPr>
            <w:tcW w:w="1571"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90E1D4D" w14:textId="77777777" w:rsidR="00EB6564" w:rsidRDefault="00EB6564">
            <w:pPr>
              <w:pStyle w:val="06cTABLETEXT"/>
              <w:jc w:val="center"/>
            </w:pPr>
            <w:r>
              <w:rPr>
                <w:rStyle w:val="BOLD"/>
              </w:rPr>
              <w:t>State Totals (tonnes)</w:t>
            </w:r>
          </w:p>
        </w:tc>
        <w:tc>
          <w:tcPr>
            <w:tcW w:w="658"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D86C59F" w14:textId="77777777" w:rsidR="00EB6564" w:rsidRDefault="00EB6564">
            <w:pPr>
              <w:pStyle w:val="06cTABLETEXT"/>
              <w:jc w:val="right"/>
            </w:pPr>
            <w:r>
              <w:rPr>
                <w:rStyle w:val="BOLD"/>
              </w:rPr>
              <w:t>15878.65</w:t>
            </w:r>
          </w:p>
        </w:tc>
        <w:tc>
          <w:tcPr>
            <w:tcW w:w="691"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36585CDF" w14:textId="77777777" w:rsidR="00EB6564" w:rsidRDefault="00EB6564">
            <w:pPr>
              <w:pStyle w:val="06cTABLETEXT"/>
              <w:jc w:val="right"/>
            </w:pPr>
            <w:r>
              <w:rPr>
                <w:rStyle w:val="BOLD"/>
              </w:rPr>
              <w:t>13529.11</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6EFB771" w14:textId="77777777" w:rsidR="00EB6564" w:rsidRDefault="00EB6564">
            <w:pPr>
              <w:pStyle w:val="06cTABLETEXT"/>
              <w:jc w:val="right"/>
            </w:pPr>
            <w:r>
              <w:rPr>
                <w:rStyle w:val="BOLD"/>
              </w:rPr>
              <w:t>68.00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655D617C" w14:textId="77777777" w:rsidR="00EB6564" w:rsidRDefault="00EB6564">
            <w:pPr>
              <w:pStyle w:val="06cTABLETEXT"/>
              <w:jc w:val="right"/>
            </w:pPr>
            <w:r>
              <w:rPr>
                <w:rStyle w:val="BOLD"/>
              </w:rPr>
              <w:t>467.22</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A71C091" w14:textId="77777777" w:rsidR="00EB6564" w:rsidRDefault="00EB6564">
            <w:pPr>
              <w:pStyle w:val="06cTABLETEXT"/>
              <w:jc w:val="center"/>
            </w:pPr>
            <w:r>
              <w:rPr>
                <w:rStyle w:val="BOLD"/>
              </w:rPr>
              <w:t>0.00</w:t>
            </w:r>
          </w:p>
        </w:tc>
        <w:tc>
          <w:tcPr>
            <w:tcW w:w="71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08F55172" w14:textId="77777777" w:rsidR="00EB6564" w:rsidRDefault="00EB6564">
            <w:pPr>
              <w:pStyle w:val="06cTABLETEXT"/>
              <w:jc w:val="right"/>
            </w:pPr>
            <w:r>
              <w:rPr>
                <w:rStyle w:val="BOLD"/>
              </w:rPr>
              <w:t>330945.58</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64242ED" w14:textId="77777777" w:rsidR="00EB6564" w:rsidRDefault="00EB6564">
            <w:pPr>
              <w:pStyle w:val="06cTABLETEXT"/>
              <w:jc w:val="right"/>
            </w:pPr>
            <w:r>
              <w:rPr>
                <w:rStyle w:val="BOLD"/>
              </w:rPr>
              <w:t>0.00</w:t>
            </w:r>
          </w:p>
        </w:tc>
        <w:tc>
          <w:tcPr>
            <w:tcW w:w="5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70E66FF" w14:textId="77777777" w:rsidR="00EB6564" w:rsidRDefault="00EB6564">
            <w:pPr>
              <w:pStyle w:val="06cTABLETEXT"/>
              <w:jc w:val="right"/>
            </w:pPr>
            <w:r>
              <w:rPr>
                <w:rStyle w:val="BOLD"/>
              </w:rPr>
              <w:t>3602.42</w:t>
            </w:r>
          </w:p>
        </w:tc>
        <w:tc>
          <w:tcPr>
            <w:tcW w:w="57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7E9229DD" w14:textId="77777777" w:rsidR="00EB6564" w:rsidRDefault="00EB6564">
            <w:pPr>
              <w:pStyle w:val="06cTABLETEXT"/>
              <w:jc w:val="right"/>
            </w:pPr>
            <w:r>
              <w:rPr>
                <w:rStyle w:val="BOLD"/>
                <w:w w:val="97"/>
              </w:rPr>
              <w:t>0.00</w:t>
            </w:r>
          </w:p>
        </w:tc>
        <w:tc>
          <w:tcPr>
            <w:tcW w:w="7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28" w:type="dxa"/>
            </w:tcMar>
            <w:vAlign w:val="center"/>
          </w:tcPr>
          <w:p w14:paraId="485CEC69" w14:textId="77777777" w:rsidR="00EB6564" w:rsidRDefault="00EB6564">
            <w:pPr>
              <w:pStyle w:val="06cTABLETEXT"/>
              <w:jc w:val="right"/>
            </w:pPr>
            <w:r>
              <w:rPr>
                <w:rStyle w:val="BOLD"/>
              </w:rPr>
              <w:t>364490.98</w:t>
            </w:r>
          </w:p>
        </w:tc>
      </w:tr>
    </w:tbl>
    <w:p w14:paraId="1094A54E" w14:textId="77777777" w:rsidR="00EB6564" w:rsidRDefault="00EB6564" w:rsidP="000644CA">
      <w:pPr>
        <w:pStyle w:val="06TABLEHEADING"/>
        <w:spacing w:line="240" w:lineRule="auto"/>
      </w:pPr>
      <w:r>
        <w:lastRenderedPageBreak/>
        <w:t>Table 3: Discrepancies in movements of controlled waste into South Australia for the period 1 July 2018 to 30 June 2019—percentage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412"/>
        <w:gridCol w:w="643"/>
        <w:gridCol w:w="642"/>
        <w:gridCol w:w="643"/>
        <w:gridCol w:w="642"/>
        <w:gridCol w:w="643"/>
        <w:gridCol w:w="642"/>
        <w:gridCol w:w="643"/>
        <w:gridCol w:w="643"/>
        <w:gridCol w:w="874"/>
      </w:tblGrid>
      <w:tr w:rsidR="00EB6564" w14:paraId="6109C527" w14:textId="77777777">
        <w:trPr>
          <w:trHeight w:val="60"/>
          <w:tblHeader/>
        </w:trPr>
        <w:tc>
          <w:tcPr>
            <w:tcW w:w="141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19653EA" w14:textId="77777777" w:rsidR="00EB6564" w:rsidRDefault="00EB6564" w:rsidP="000644CA">
            <w:pPr>
              <w:pStyle w:val="06bTABLEHEADERROW"/>
              <w:spacing w:line="240" w:lineRule="auto"/>
            </w:pPr>
            <w:r>
              <w:t>Discrepancy Type</w:t>
            </w:r>
          </w:p>
        </w:tc>
        <w:tc>
          <w:tcPr>
            <w:tcW w:w="64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F1E02C9" w14:textId="77777777" w:rsidR="00EB6564" w:rsidRDefault="00EB6564" w:rsidP="000644CA">
            <w:pPr>
              <w:pStyle w:val="06bTABLEHEADERROW"/>
              <w:spacing w:line="240" w:lineRule="auto"/>
              <w:jc w:val="center"/>
            </w:pPr>
            <w:r>
              <w:t>NSW</w:t>
            </w:r>
          </w:p>
        </w:tc>
        <w:tc>
          <w:tcPr>
            <w:tcW w:w="64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D5DBD7F" w14:textId="77777777" w:rsidR="00EB6564" w:rsidRDefault="00EB6564" w:rsidP="000644CA">
            <w:pPr>
              <w:pStyle w:val="06bTABLEHEADERROW"/>
              <w:spacing w:line="240" w:lineRule="auto"/>
              <w:jc w:val="center"/>
            </w:pPr>
            <w:r>
              <w:t>Vic</w:t>
            </w:r>
          </w:p>
        </w:tc>
        <w:tc>
          <w:tcPr>
            <w:tcW w:w="64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03BA14E" w14:textId="77777777" w:rsidR="00EB6564" w:rsidRDefault="00EB6564" w:rsidP="000644CA">
            <w:pPr>
              <w:pStyle w:val="06bTABLEHEADERROW"/>
              <w:spacing w:line="240" w:lineRule="auto"/>
              <w:jc w:val="center"/>
            </w:pPr>
            <w:r>
              <w:t>Qld</w:t>
            </w:r>
          </w:p>
        </w:tc>
        <w:tc>
          <w:tcPr>
            <w:tcW w:w="64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AA80407" w14:textId="77777777" w:rsidR="00EB6564" w:rsidRDefault="00EB6564" w:rsidP="000644CA">
            <w:pPr>
              <w:pStyle w:val="06bTABLEHEADERROW"/>
              <w:spacing w:line="240" w:lineRule="auto"/>
              <w:jc w:val="center"/>
            </w:pPr>
            <w:r>
              <w:t>WA</w:t>
            </w:r>
          </w:p>
        </w:tc>
        <w:tc>
          <w:tcPr>
            <w:tcW w:w="64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AAF6074" w14:textId="77777777" w:rsidR="00EB6564" w:rsidRDefault="00EB6564" w:rsidP="000644CA">
            <w:pPr>
              <w:pStyle w:val="06bTABLEHEADERROW"/>
              <w:spacing w:line="240" w:lineRule="auto"/>
              <w:jc w:val="center"/>
            </w:pPr>
            <w:r>
              <w:t>SA</w:t>
            </w:r>
          </w:p>
        </w:tc>
        <w:tc>
          <w:tcPr>
            <w:tcW w:w="64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51408CD" w14:textId="77777777" w:rsidR="00EB6564" w:rsidRDefault="00EB6564" w:rsidP="000644CA">
            <w:pPr>
              <w:pStyle w:val="06bTABLEHEADERROW"/>
              <w:spacing w:line="240" w:lineRule="auto"/>
              <w:jc w:val="center"/>
            </w:pPr>
            <w:r>
              <w:t>Tas</w:t>
            </w:r>
          </w:p>
        </w:tc>
        <w:tc>
          <w:tcPr>
            <w:tcW w:w="64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CA25EF7" w14:textId="77777777" w:rsidR="00EB6564" w:rsidRDefault="00EB6564" w:rsidP="000644CA">
            <w:pPr>
              <w:pStyle w:val="06bTABLEHEADERROW"/>
              <w:spacing w:line="240" w:lineRule="auto"/>
              <w:jc w:val="center"/>
            </w:pPr>
            <w:r>
              <w:t>ACT</w:t>
            </w:r>
          </w:p>
        </w:tc>
        <w:tc>
          <w:tcPr>
            <w:tcW w:w="64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C21EFF0" w14:textId="77777777" w:rsidR="00EB6564" w:rsidRDefault="00EB6564" w:rsidP="000644CA">
            <w:pPr>
              <w:pStyle w:val="06bTABLEHEADERROW"/>
              <w:spacing w:line="240" w:lineRule="auto"/>
              <w:jc w:val="center"/>
            </w:pPr>
            <w:r>
              <w:t>NT</w:t>
            </w:r>
          </w:p>
        </w:tc>
        <w:tc>
          <w:tcPr>
            <w:tcW w:w="87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CFEAB98" w14:textId="77777777" w:rsidR="00EB6564" w:rsidRDefault="00EB6564" w:rsidP="000644CA">
            <w:pPr>
              <w:pStyle w:val="06bTABLEHEADERROW"/>
              <w:spacing w:line="240" w:lineRule="auto"/>
              <w:jc w:val="center"/>
            </w:pPr>
            <w:r>
              <w:t>Ext Terr *</w:t>
            </w:r>
          </w:p>
        </w:tc>
      </w:tr>
      <w:tr w:rsidR="00EB6564" w14:paraId="6D26098D" w14:textId="77777777">
        <w:trPr>
          <w:trHeight w:val="60"/>
        </w:trPr>
        <w:tc>
          <w:tcPr>
            <w:tcW w:w="141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DD4854" w14:textId="77777777" w:rsidR="00EB6564" w:rsidRDefault="00EB6564" w:rsidP="000644CA">
            <w:pPr>
              <w:pStyle w:val="06cTABLETEXT"/>
              <w:keepNext/>
              <w:spacing w:line="240" w:lineRule="auto"/>
            </w:pPr>
            <w:r>
              <w:rPr>
                <w:rStyle w:val="BOLD"/>
              </w:rPr>
              <w:t>Consignment non-arrival</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2C8C38" w14:textId="77777777" w:rsidR="00EB6564" w:rsidRDefault="00EB6564" w:rsidP="000644CA">
            <w:pPr>
              <w:pStyle w:val="06cTABLETEXT"/>
              <w:keepNext/>
              <w:spacing w:line="240" w:lineRule="auto"/>
              <w:jc w:val="center"/>
            </w:pPr>
            <w:r>
              <w:t>53%</w:t>
            </w:r>
          </w:p>
        </w:tc>
        <w:tc>
          <w:tcPr>
            <w:tcW w:w="6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A0C01AF" w14:textId="77777777" w:rsidR="00EB6564" w:rsidRDefault="00EB6564" w:rsidP="000644CA">
            <w:pPr>
              <w:pStyle w:val="06cTABLETEXT"/>
              <w:keepNext/>
              <w:spacing w:line="240" w:lineRule="auto"/>
              <w:jc w:val="center"/>
            </w:pPr>
            <w:r>
              <w:t>27%</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A95908" w14:textId="77777777" w:rsidR="00EB6564" w:rsidRDefault="00EB6564" w:rsidP="000644CA">
            <w:pPr>
              <w:pStyle w:val="06cTABLETEXT"/>
              <w:keepNext/>
              <w:spacing w:line="240" w:lineRule="auto"/>
              <w:jc w:val="center"/>
            </w:pPr>
            <w:r>
              <w:t>83%</w:t>
            </w:r>
          </w:p>
        </w:tc>
        <w:tc>
          <w:tcPr>
            <w:tcW w:w="6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0C98C87" w14:textId="77777777" w:rsidR="00EB6564" w:rsidRDefault="00EB6564" w:rsidP="000644CA">
            <w:pPr>
              <w:pStyle w:val="06cTABLETEXT"/>
              <w:keepNext/>
              <w:spacing w:line="240" w:lineRule="auto"/>
              <w:jc w:val="center"/>
            </w:pPr>
            <w:r>
              <w:t>88%</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F21045C" w14:textId="77777777" w:rsidR="00EB6564" w:rsidRDefault="00EB6564" w:rsidP="000644CA">
            <w:pPr>
              <w:pStyle w:val="06cTABLETEXT"/>
              <w:keepNext/>
              <w:spacing w:line="240" w:lineRule="auto"/>
              <w:jc w:val="center"/>
            </w:pPr>
            <w:r>
              <w:t>N/A</w:t>
            </w:r>
          </w:p>
        </w:tc>
        <w:tc>
          <w:tcPr>
            <w:tcW w:w="6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B13E3A" w14:textId="77777777" w:rsidR="00EB6564" w:rsidRDefault="00EB6564" w:rsidP="000644CA">
            <w:pPr>
              <w:pStyle w:val="06cTABLETEXT"/>
              <w:keepNext/>
              <w:spacing w:line="240" w:lineRule="auto"/>
              <w:jc w:val="center"/>
            </w:pPr>
            <w:r>
              <w:t>25%</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ACF3D7" w14:textId="77777777" w:rsidR="00EB6564" w:rsidRDefault="00EB6564" w:rsidP="000644CA">
            <w:pPr>
              <w:pStyle w:val="06cTABLETEXT"/>
              <w:keepNext/>
              <w:spacing w:line="240" w:lineRule="auto"/>
              <w:jc w:val="center"/>
            </w:pPr>
            <w:r>
              <w:t>100%</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8133E7E" w14:textId="77777777" w:rsidR="00EB6564" w:rsidRDefault="00EB6564" w:rsidP="000644CA">
            <w:pPr>
              <w:pStyle w:val="06cTABLETEXT"/>
              <w:keepNext/>
              <w:spacing w:line="240" w:lineRule="auto"/>
              <w:jc w:val="center"/>
            </w:pPr>
            <w:r>
              <w:t>80%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5515B3E" w14:textId="77777777" w:rsidR="00EB6564" w:rsidRDefault="00EB6564" w:rsidP="000644CA">
            <w:pPr>
              <w:pStyle w:val="06cTABLETEXT"/>
              <w:keepNext/>
              <w:spacing w:line="240" w:lineRule="auto"/>
              <w:jc w:val="center"/>
            </w:pPr>
            <w:r>
              <w:t>0%</w:t>
            </w:r>
          </w:p>
        </w:tc>
      </w:tr>
      <w:tr w:rsidR="00EB6564" w14:paraId="749A4A14" w14:textId="77777777">
        <w:trPr>
          <w:trHeight w:val="60"/>
        </w:trPr>
        <w:tc>
          <w:tcPr>
            <w:tcW w:w="141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749509E" w14:textId="77777777" w:rsidR="00EB6564" w:rsidRDefault="00EB6564" w:rsidP="000644CA">
            <w:pPr>
              <w:pStyle w:val="06cTABLETEXT"/>
              <w:keepNext/>
              <w:spacing w:line="240" w:lineRule="auto"/>
            </w:pPr>
            <w:r>
              <w:rPr>
                <w:rStyle w:val="BOLD"/>
              </w:rPr>
              <w:t>Transport without authorisation</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2A6BAE8" w14:textId="77777777" w:rsidR="00EB6564" w:rsidRDefault="00EB6564" w:rsidP="000644CA">
            <w:pPr>
              <w:pStyle w:val="06cTABLETEXT"/>
              <w:keepNext/>
              <w:spacing w:line="240" w:lineRule="auto"/>
              <w:jc w:val="center"/>
            </w:pPr>
            <w:r>
              <w:t>0%</w:t>
            </w:r>
          </w:p>
        </w:tc>
        <w:tc>
          <w:tcPr>
            <w:tcW w:w="6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5D1346" w14:textId="77777777" w:rsidR="00EB6564" w:rsidRDefault="00EB6564" w:rsidP="000644CA">
            <w:pPr>
              <w:pStyle w:val="06cTABLETEXT"/>
              <w:keepNext/>
              <w:spacing w:line="240" w:lineRule="auto"/>
              <w:jc w:val="center"/>
            </w:pPr>
            <w:r>
              <w:t>0%</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B938B9" w14:textId="77777777" w:rsidR="00EB6564" w:rsidRDefault="00EB6564" w:rsidP="000644CA">
            <w:pPr>
              <w:pStyle w:val="06cTABLETEXT"/>
              <w:keepNext/>
              <w:spacing w:line="240" w:lineRule="auto"/>
              <w:jc w:val="center"/>
            </w:pPr>
            <w:r>
              <w:t>0%</w:t>
            </w:r>
          </w:p>
        </w:tc>
        <w:tc>
          <w:tcPr>
            <w:tcW w:w="6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C20F50" w14:textId="77777777" w:rsidR="00EB6564" w:rsidRDefault="00EB6564" w:rsidP="000644CA">
            <w:pPr>
              <w:pStyle w:val="06cTABLETEXT"/>
              <w:keepNext/>
              <w:spacing w:line="240" w:lineRule="auto"/>
              <w:jc w:val="center"/>
            </w:pPr>
            <w:r>
              <w:t>0%</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D23E83" w14:textId="77777777" w:rsidR="00EB6564" w:rsidRDefault="00EB6564" w:rsidP="000644CA">
            <w:pPr>
              <w:pStyle w:val="06cTABLETEXT"/>
              <w:keepNext/>
              <w:spacing w:line="240" w:lineRule="auto"/>
              <w:jc w:val="center"/>
            </w:pPr>
            <w:r>
              <w:t>N/A</w:t>
            </w:r>
          </w:p>
        </w:tc>
        <w:tc>
          <w:tcPr>
            <w:tcW w:w="6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DB5083F" w14:textId="77777777" w:rsidR="00EB6564" w:rsidRDefault="00EB6564" w:rsidP="000644CA">
            <w:pPr>
              <w:pStyle w:val="06cTABLETEXT"/>
              <w:keepNext/>
              <w:spacing w:line="240" w:lineRule="auto"/>
              <w:jc w:val="center"/>
            </w:pPr>
            <w:r>
              <w:t>0%</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0A3EDD" w14:textId="77777777" w:rsidR="00EB6564" w:rsidRDefault="00EB6564" w:rsidP="000644CA">
            <w:pPr>
              <w:pStyle w:val="06cTABLETEXT"/>
              <w:keepNext/>
              <w:spacing w:line="240" w:lineRule="auto"/>
              <w:jc w:val="center"/>
            </w:pPr>
            <w:r>
              <w:t>0%</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1A864A" w14:textId="77777777" w:rsidR="00EB6564" w:rsidRDefault="00EB6564" w:rsidP="000644CA">
            <w:pPr>
              <w:pStyle w:val="06cTABLETEXT"/>
              <w:keepNext/>
              <w:spacing w:line="240" w:lineRule="auto"/>
              <w:jc w:val="center"/>
            </w:pPr>
            <w:r>
              <w:t>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59EB533" w14:textId="77777777" w:rsidR="00EB6564" w:rsidRDefault="00EB6564" w:rsidP="000644CA">
            <w:pPr>
              <w:pStyle w:val="06cTABLETEXT"/>
              <w:keepNext/>
              <w:spacing w:line="240" w:lineRule="auto"/>
              <w:jc w:val="center"/>
            </w:pPr>
            <w:r>
              <w:t>0%</w:t>
            </w:r>
          </w:p>
        </w:tc>
      </w:tr>
      <w:tr w:rsidR="00EB6564" w14:paraId="3880260F" w14:textId="77777777">
        <w:trPr>
          <w:trHeight w:val="60"/>
        </w:trPr>
        <w:tc>
          <w:tcPr>
            <w:tcW w:w="141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18D853" w14:textId="77777777" w:rsidR="00EB6564" w:rsidRDefault="00EB6564" w:rsidP="000644CA">
            <w:pPr>
              <w:pStyle w:val="06cTABLETEXT"/>
              <w:keepNext/>
              <w:spacing w:line="240" w:lineRule="auto"/>
            </w:pPr>
            <w:r>
              <w:rPr>
                <w:rStyle w:val="BOLD"/>
              </w:rPr>
              <w:t>Non-matching documentation</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2FDA1D" w14:textId="77777777" w:rsidR="00EB6564" w:rsidRDefault="00EB6564" w:rsidP="000644CA">
            <w:pPr>
              <w:pStyle w:val="06cTABLETEXT"/>
              <w:keepNext/>
              <w:spacing w:line="240" w:lineRule="auto"/>
              <w:jc w:val="center"/>
            </w:pPr>
            <w:r>
              <w:t>0%</w:t>
            </w:r>
          </w:p>
        </w:tc>
        <w:tc>
          <w:tcPr>
            <w:tcW w:w="6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CF954E" w14:textId="77777777" w:rsidR="00EB6564" w:rsidRDefault="00EB6564" w:rsidP="000644CA">
            <w:pPr>
              <w:pStyle w:val="06cTABLETEXT"/>
              <w:keepNext/>
              <w:spacing w:line="240" w:lineRule="auto"/>
              <w:jc w:val="center"/>
            </w:pPr>
            <w:r>
              <w:t>0%</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E9F9418" w14:textId="77777777" w:rsidR="00EB6564" w:rsidRDefault="00EB6564" w:rsidP="000644CA">
            <w:pPr>
              <w:pStyle w:val="06cTABLETEXT"/>
              <w:keepNext/>
              <w:spacing w:line="240" w:lineRule="auto"/>
              <w:jc w:val="center"/>
            </w:pPr>
            <w:r>
              <w:t>0%</w:t>
            </w:r>
          </w:p>
        </w:tc>
        <w:tc>
          <w:tcPr>
            <w:tcW w:w="6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B0156D9" w14:textId="77777777" w:rsidR="00EB6564" w:rsidRDefault="00EB6564" w:rsidP="000644CA">
            <w:pPr>
              <w:pStyle w:val="06cTABLETEXT"/>
              <w:keepNext/>
              <w:spacing w:line="240" w:lineRule="auto"/>
              <w:jc w:val="center"/>
            </w:pPr>
            <w:r>
              <w:t>0%</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6DC607" w14:textId="77777777" w:rsidR="00EB6564" w:rsidRDefault="00EB6564" w:rsidP="000644CA">
            <w:pPr>
              <w:pStyle w:val="06cTABLETEXT"/>
              <w:keepNext/>
              <w:spacing w:line="240" w:lineRule="auto"/>
              <w:jc w:val="center"/>
            </w:pPr>
            <w:r>
              <w:t>N/A</w:t>
            </w:r>
          </w:p>
        </w:tc>
        <w:tc>
          <w:tcPr>
            <w:tcW w:w="6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752FCD7" w14:textId="77777777" w:rsidR="00EB6564" w:rsidRDefault="00EB6564" w:rsidP="000644CA">
            <w:pPr>
              <w:pStyle w:val="06cTABLETEXT"/>
              <w:keepNext/>
              <w:spacing w:line="240" w:lineRule="auto"/>
              <w:jc w:val="center"/>
            </w:pPr>
            <w:r>
              <w:t>0%</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5BABF83" w14:textId="77777777" w:rsidR="00EB6564" w:rsidRDefault="00EB6564" w:rsidP="000644CA">
            <w:pPr>
              <w:pStyle w:val="06cTABLETEXT"/>
              <w:keepNext/>
              <w:spacing w:line="240" w:lineRule="auto"/>
              <w:jc w:val="center"/>
            </w:pPr>
            <w:r>
              <w:t>0%</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851E4BA" w14:textId="77777777" w:rsidR="00EB6564" w:rsidRDefault="00EB6564" w:rsidP="000644CA">
            <w:pPr>
              <w:pStyle w:val="06cTABLETEXT"/>
              <w:keepNext/>
              <w:spacing w:line="240" w:lineRule="auto"/>
              <w:jc w:val="center"/>
            </w:pPr>
            <w:r>
              <w:t>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8C068C4" w14:textId="77777777" w:rsidR="00EB6564" w:rsidRDefault="00EB6564" w:rsidP="000644CA">
            <w:pPr>
              <w:pStyle w:val="06cTABLETEXT"/>
              <w:keepNext/>
              <w:spacing w:line="240" w:lineRule="auto"/>
              <w:jc w:val="center"/>
            </w:pPr>
            <w:r>
              <w:t>0%</w:t>
            </w:r>
          </w:p>
        </w:tc>
      </w:tr>
      <w:tr w:rsidR="00EB6564" w14:paraId="0F51DF85" w14:textId="77777777">
        <w:trPr>
          <w:trHeight w:val="60"/>
        </w:trPr>
        <w:tc>
          <w:tcPr>
            <w:tcW w:w="141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40D4C8" w14:textId="77777777" w:rsidR="00EB6564" w:rsidRDefault="00EB6564">
            <w:pPr>
              <w:pStyle w:val="06cTABLETEXT"/>
            </w:pPr>
            <w:r>
              <w:rPr>
                <w:rStyle w:val="BOLD"/>
              </w:rPr>
              <w:t>Waste data</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2FD37F" w14:textId="77777777" w:rsidR="00EB6564" w:rsidRDefault="00EB6564">
            <w:pPr>
              <w:pStyle w:val="06cTABLETEXT"/>
              <w:jc w:val="center"/>
            </w:pPr>
            <w:r>
              <w:t>0%</w:t>
            </w:r>
          </w:p>
        </w:tc>
        <w:tc>
          <w:tcPr>
            <w:tcW w:w="6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D19CFC" w14:textId="77777777" w:rsidR="00EB6564" w:rsidRDefault="00EB6564">
            <w:pPr>
              <w:pStyle w:val="06cTABLETEXT"/>
              <w:jc w:val="center"/>
            </w:pPr>
            <w:r>
              <w:t>0%</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A802E1D" w14:textId="77777777" w:rsidR="00EB6564" w:rsidRDefault="00EB6564">
            <w:pPr>
              <w:pStyle w:val="06cTABLETEXT"/>
              <w:jc w:val="center"/>
            </w:pPr>
            <w:r>
              <w:t>0%</w:t>
            </w:r>
          </w:p>
        </w:tc>
        <w:tc>
          <w:tcPr>
            <w:tcW w:w="6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75DBB6" w14:textId="77777777" w:rsidR="00EB6564" w:rsidRDefault="00EB6564">
            <w:pPr>
              <w:pStyle w:val="06cTABLETEXT"/>
              <w:jc w:val="center"/>
            </w:pPr>
            <w:r>
              <w:t>0%</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7AB267" w14:textId="77777777" w:rsidR="00EB6564" w:rsidRDefault="00EB6564">
            <w:pPr>
              <w:pStyle w:val="06cTABLETEXT"/>
              <w:jc w:val="center"/>
            </w:pPr>
            <w:r>
              <w:t>N/A</w:t>
            </w:r>
          </w:p>
        </w:tc>
        <w:tc>
          <w:tcPr>
            <w:tcW w:w="64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41AF8BB" w14:textId="77777777" w:rsidR="00EB6564" w:rsidRDefault="00EB6564">
            <w:pPr>
              <w:pStyle w:val="06cTABLETEXT"/>
              <w:jc w:val="center"/>
            </w:pPr>
            <w:r>
              <w:t>0%</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C4D335" w14:textId="77777777" w:rsidR="00EB6564" w:rsidRDefault="00EB6564">
            <w:pPr>
              <w:pStyle w:val="06cTABLETEXT"/>
              <w:jc w:val="center"/>
            </w:pPr>
            <w:r>
              <w:t>0%</w:t>
            </w:r>
          </w:p>
        </w:tc>
        <w:tc>
          <w:tcPr>
            <w:tcW w:w="64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E777B6" w14:textId="77777777" w:rsidR="00EB6564" w:rsidRDefault="00EB6564">
            <w:pPr>
              <w:pStyle w:val="06cTABLETEXT"/>
              <w:jc w:val="center"/>
            </w:pPr>
            <w:r>
              <w:t>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E86AB2" w14:textId="77777777" w:rsidR="00EB6564" w:rsidRDefault="00EB6564">
            <w:pPr>
              <w:pStyle w:val="06cTABLETEXT"/>
              <w:jc w:val="center"/>
            </w:pPr>
            <w:r>
              <w:t>0%</w:t>
            </w:r>
          </w:p>
        </w:tc>
      </w:tr>
    </w:tbl>
    <w:p w14:paraId="2A4F34F8" w14:textId="77777777" w:rsidR="00EB6564" w:rsidRDefault="00EB6564" w:rsidP="00EB6564">
      <w:pPr>
        <w:pStyle w:val="06TABLEHEADING"/>
      </w:pPr>
      <w:r>
        <w:t>Table 4: Number of movements of controlled waste into South Australia for the period 1 July 2018 to 30 June 2019</w:t>
      </w:r>
    </w:p>
    <w:tbl>
      <w:tblPr>
        <w:tblW w:w="0" w:type="auto"/>
        <w:tblInd w:w="-5" w:type="dxa"/>
        <w:tblLayout w:type="fixed"/>
        <w:tblCellMar>
          <w:left w:w="0" w:type="dxa"/>
          <w:right w:w="0" w:type="dxa"/>
        </w:tblCellMar>
        <w:tblLook w:val="0000" w:firstRow="0" w:lastRow="0" w:firstColumn="0" w:lastColumn="0" w:noHBand="0" w:noVBand="0"/>
      </w:tblPr>
      <w:tblGrid>
        <w:gridCol w:w="794"/>
        <w:gridCol w:w="794"/>
        <w:gridCol w:w="794"/>
        <w:gridCol w:w="794"/>
        <w:gridCol w:w="794"/>
        <w:gridCol w:w="794"/>
        <w:gridCol w:w="794"/>
        <w:gridCol w:w="794"/>
        <w:gridCol w:w="1077"/>
      </w:tblGrid>
      <w:tr w:rsidR="00EB6564" w14:paraId="2CE7E77E" w14:textId="77777777">
        <w:trPr>
          <w:trHeight w:val="60"/>
          <w:tblHeader/>
        </w:trPr>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BAFCF35" w14:textId="77777777" w:rsidR="00EB6564" w:rsidRDefault="00EB6564">
            <w:pPr>
              <w:pStyle w:val="06bTABLEHEADERROW"/>
              <w:jc w:val="center"/>
            </w:pPr>
            <w:r>
              <w:t>NSW</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2ACF82C" w14:textId="77777777" w:rsidR="00EB6564" w:rsidRDefault="00EB6564">
            <w:pPr>
              <w:pStyle w:val="06bTABLEHEADERROW"/>
              <w:jc w:val="center"/>
            </w:pPr>
            <w:r>
              <w:t>Vic</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0B99A9C" w14:textId="77777777" w:rsidR="00EB6564" w:rsidRDefault="00EB6564">
            <w:pPr>
              <w:pStyle w:val="06bTABLEHEADERROW"/>
              <w:jc w:val="center"/>
            </w:pPr>
            <w:r>
              <w:t>Qld</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B6D185C" w14:textId="77777777" w:rsidR="00EB6564" w:rsidRDefault="00EB6564">
            <w:pPr>
              <w:pStyle w:val="06bTABLEHEADERROW"/>
              <w:jc w:val="center"/>
            </w:pPr>
            <w:r>
              <w:t>WA</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34C320C" w14:textId="77777777" w:rsidR="00EB6564" w:rsidRDefault="00EB6564">
            <w:pPr>
              <w:pStyle w:val="06bTABLEHEADERROW"/>
              <w:jc w:val="center"/>
            </w:pPr>
            <w:r>
              <w:t>SA</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D28F224" w14:textId="77777777" w:rsidR="00EB6564" w:rsidRDefault="00EB6564">
            <w:pPr>
              <w:pStyle w:val="06bTABLEHEADERROW"/>
              <w:jc w:val="center"/>
            </w:pPr>
            <w:r>
              <w:t>Tas</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6DE2B9E" w14:textId="77777777" w:rsidR="00EB6564" w:rsidRDefault="00EB6564">
            <w:pPr>
              <w:pStyle w:val="06bTABLEHEADERROW"/>
              <w:jc w:val="center"/>
            </w:pPr>
            <w:r>
              <w:t>ACT</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43C0C64" w14:textId="77777777" w:rsidR="00EB6564" w:rsidRDefault="00EB6564">
            <w:pPr>
              <w:pStyle w:val="06bTABLEHEADERROW"/>
              <w:jc w:val="center"/>
            </w:pPr>
            <w:r>
              <w:t>NT</w:t>
            </w:r>
          </w:p>
        </w:tc>
        <w:tc>
          <w:tcPr>
            <w:tcW w:w="10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EB41074" w14:textId="77777777" w:rsidR="00EB6564" w:rsidRDefault="00EB6564">
            <w:pPr>
              <w:pStyle w:val="06bTABLEHEADERROW"/>
              <w:jc w:val="center"/>
            </w:pPr>
            <w:r>
              <w:t>Ext Terr*</w:t>
            </w:r>
          </w:p>
        </w:tc>
      </w:tr>
      <w:tr w:rsidR="00EB6564" w14:paraId="00EA3428" w14:textId="77777777">
        <w:trPr>
          <w:trHeight w:val="60"/>
        </w:trPr>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7A88CD6" w14:textId="77777777" w:rsidR="00EB6564" w:rsidRDefault="00EB6564">
            <w:pPr>
              <w:pStyle w:val="06cTABLETEXT"/>
              <w:jc w:val="center"/>
            </w:pPr>
            <w:r>
              <w:t>525</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82FD331" w14:textId="77777777" w:rsidR="00EB6564" w:rsidRDefault="00EB6564">
            <w:pPr>
              <w:pStyle w:val="06cTABLETEXT"/>
              <w:jc w:val="center"/>
            </w:pPr>
            <w:r>
              <w:t>487</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C5FCC1" w14:textId="77777777" w:rsidR="00EB6564" w:rsidRDefault="00EB6564">
            <w:pPr>
              <w:pStyle w:val="06cTABLETEXT"/>
              <w:jc w:val="center"/>
            </w:pPr>
            <w:r>
              <w:t>4</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F7E5EFE" w14:textId="77777777" w:rsidR="00EB6564" w:rsidRDefault="00EB6564">
            <w:pPr>
              <w:pStyle w:val="06cTABLETEXT"/>
              <w:jc w:val="center"/>
            </w:pPr>
            <w:r>
              <w:t>20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0EF8CE" w14:textId="77777777" w:rsidR="00EB6564" w:rsidRDefault="00EB6564">
            <w:pPr>
              <w:pStyle w:val="06cTABLETEXT"/>
              <w:jc w:val="center"/>
            </w:pPr>
            <w:r>
              <w:t>N/A</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6C026E" w14:textId="77777777" w:rsidR="00EB6564" w:rsidRDefault="00EB6564">
            <w:pPr>
              <w:pStyle w:val="06cTABLETEXT"/>
              <w:jc w:val="center"/>
            </w:pPr>
            <w:r>
              <w:t>76</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A5F8BA"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43A4FA" w14:textId="77777777" w:rsidR="00EB6564" w:rsidRDefault="00EB6564">
            <w:pPr>
              <w:pStyle w:val="06cTABLETEXT"/>
              <w:jc w:val="center"/>
            </w:pPr>
            <w:r>
              <w:t>275</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51CE782" w14:textId="77777777" w:rsidR="00EB6564" w:rsidRDefault="00EB6564">
            <w:pPr>
              <w:pStyle w:val="06cTABLETEXT"/>
              <w:jc w:val="center"/>
            </w:pPr>
            <w:r>
              <w:t>0</w:t>
            </w:r>
          </w:p>
        </w:tc>
      </w:tr>
    </w:tbl>
    <w:p w14:paraId="2300A29C" w14:textId="77777777" w:rsidR="00EB6564" w:rsidRPr="009408AB" w:rsidRDefault="00EB6564" w:rsidP="00CB0DA6">
      <w:pPr>
        <w:pStyle w:val="Heading2"/>
      </w:pPr>
      <w:bookmarkStart w:id="61" w:name="_Toc58254415"/>
      <w:r w:rsidRPr="009408AB">
        <w:t>Tasmania</w:t>
      </w:r>
      <w:bookmarkEnd w:id="61"/>
    </w:p>
    <w:p w14:paraId="6A6AFF31" w14:textId="77777777" w:rsidR="00EB6564" w:rsidRDefault="00EB6564" w:rsidP="00EB6564">
      <w:pPr>
        <w:pStyle w:val="05BODYTEXT"/>
        <w:rPr>
          <w:rStyle w:val="ITALIC"/>
          <w:caps/>
          <w:sz w:val="20"/>
          <w:szCs w:val="20"/>
        </w:rPr>
      </w:pPr>
      <w:r>
        <w:rPr>
          <w:rStyle w:val="ITALIC"/>
        </w:rPr>
        <w:t xml:space="preserve">Report to the NEPC on the implementation of the National Environment Protection (Movement of Controlled Waste between States and Territories) Measure for Tasmania by the Hon. Peter </w:t>
      </w:r>
      <w:proofErr w:type="spellStart"/>
      <w:r>
        <w:rPr>
          <w:rStyle w:val="ITALIC"/>
        </w:rPr>
        <w:t>Gutwein</w:t>
      </w:r>
      <w:proofErr w:type="spellEnd"/>
      <w:r>
        <w:rPr>
          <w:rStyle w:val="ITALIC"/>
        </w:rPr>
        <w:t xml:space="preserve"> MP, Minister for the Environment, for the reporting year ended 30 June 2019.</w:t>
      </w:r>
    </w:p>
    <w:p w14:paraId="25CCEC0F" w14:textId="77777777" w:rsidR="00EB6564" w:rsidRDefault="00EB6564" w:rsidP="00EB6564">
      <w:pPr>
        <w:pStyle w:val="02HEADING2"/>
      </w:pPr>
      <w:r>
        <w:t>Part 1—Implementation of the NEPM and any significant issues</w:t>
      </w:r>
    </w:p>
    <w:p w14:paraId="4188B0CC" w14:textId="77777777" w:rsidR="00EB6564" w:rsidRDefault="00EB6564" w:rsidP="00EB6564">
      <w:pPr>
        <w:pStyle w:val="05BODYTEXT"/>
      </w:pPr>
      <w:r>
        <w:t xml:space="preserve">In Tasmania, the </w:t>
      </w:r>
      <w:r>
        <w:rPr>
          <w:rStyle w:val="ITALIC"/>
        </w:rPr>
        <w:t>National Environment Protection (Movement of Controlled Waste between States and Territories) Measure (NEPM)</w:t>
      </w:r>
      <w:r>
        <w:t xml:space="preserve"> is a state policy under the </w:t>
      </w:r>
      <w:r>
        <w:rPr>
          <w:rStyle w:val="ITALIC"/>
        </w:rPr>
        <w:t>State Policies and Projects Act 1993</w:t>
      </w:r>
      <w:r>
        <w:t xml:space="preserve">. The key legislative instrument for implementation of the NEPM is the </w:t>
      </w:r>
      <w:r>
        <w:rPr>
          <w:rStyle w:val="ITALIC"/>
        </w:rPr>
        <w:t>Environmental Management and Pollution Control Act 1994.</w:t>
      </w:r>
      <w:r>
        <w:t xml:space="preserve"> </w:t>
      </w:r>
    </w:p>
    <w:p w14:paraId="33F3688A" w14:textId="77777777" w:rsidR="00EB6564" w:rsidRDefault="00EB6564" w:rsidP="00EB6564">
      <w:pPr>
        <w:pStyle w:val="05BODYTEXT"/>
      </w:pPr>
      <w:r>
        <w:t xml:space="preserve">Tasmania consults with Australian jurisdictions on NEPM matters such as consignment authorisations and the appropriateness of treatment/disposal proposals. </w:t>
      </w:r>
    </w:p>
    <w:p w14:paraId="1BFE353A" w14:textId="77777777" w:rsidR="00EB6564" w:rsidRDefault="00EB6564" w:rsidP="00EB6564">
      <w:pPr>
        <w:pStyle w:val="05BODYTEXT"/>
      </w:pPr>
      <w:r>
        <w:t xml:space="preserve">Tasmania receives controlled waste from Antarctica. Waste received from Antarctica is reported under External Territories in the Tables below. </w:t>
      </w:r>
    </w:p>
    <w:p w14:paraId="024CA34D" w14:textId="77777777" w:rsidR="00EB6564" w:rsidRDefault="00EB6564" w:rsidP="00EB6564">
      <w:pPr>
        <w:pStyle w:val="02HEADING2"/>
      </w:pPr>
      <w:r>
        <w:t>Part 2—Assessment of NEPM effectiveness</w:t>
      </w:r>
    </w:p>
    <w:p w14:paraId="51218169" w14:textId="77777777" w:rsidR="00EB6564" w:rsidRDefault="00EB6564" w:rsidP="00EB6564">
      <w:pPr>
        <w:pStyle w:val="06TABLEHEADING"/>
      </w:pPr>
      <w:r>
        <w:t>Table 1: Number of consignment authorisations issued by Tasmania</w:t>
      </w:r>
    </w:p>
    <w:tbl>
      <w:tblPr>
        <w:tblW w:w="0" w:type="auto"/>
        <w:tblInd w:w="-5" w:type="dxa"/>
        <w:tblLayout w:type="fixed"/>
        <w:tblCellMar>
          <w:left w:w="0" w:type="dxa"/>
          <w:right w:w="0" w:type="dxa"/>
        </w:tblCellMar>
        <w:tblLook w:val="0000" w:firstRow="0" w:lastRow="0" w:firstColumn="0" w:lastColumn="0" w:noHBand="0" w:noVBand="0"/>
      </w:tblPr>
      <w:tblGrid>
        <w:gridCol w:w="3706"/>
        <w:gridCol w:w="3706"/>
      </w:tblGrid>
      <w:tr w:rsidR="00EB6564" w14:paraId="2B9C0539" w14:textId="77777777">
        <w:trPr>
          <w:trHeight w:val="60"/>
          <w:tblHeader/>
        </w:trPr>
        <w:tc>
          <w:tcPr>
            <w:tcW w:w="370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D6E7B15" w14:textId="77777777" w:rsidR="00EB6564" w:rsidRDefault="00EB6564">
            <w:pPr>
              <w:pStyle w:val="06bTABLEHEADERROW"/>
              <w:jc w:val="center"/>
            </w:pPr>
            <w:r>
              <w:t>Reporting Year</w:t>
            </w:r>
          </w:p>
        </w:tc>
        <w:tc>
          <w:tcPr>
            <w:tcW w:w="370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2748841" w14:textId="77777777" w:rsidR="00EB6564" w:rsidRDefault="00EB6564">
            <w:pPr>
              <w:pStyle w:val="06bTABLEHEADERROW"/>
              <w:jc w:val="center"/>
            </w:pPr>
            <w:r>
              <w:t xml:space="preserve">Consignment authorisations issued </w:t>
            </w:r>
          </w:p>
        </w:tc>
      </w:tr>
      <w:tr w:rsidR="00EB6564" w14:paraId="0A5BF87B" w14:textId="77777777">
        <w:trPr>
          <w:trHeight w:val="60"/>
        </w:trPr>
        <w:tc>
          <w:tcPr>
            <w:tcW w:w="37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B812CDB" w14:textId="77777777" w:rsidR="00EB6564" w:rsidRDefault="00EB6564">
            <w:pPr>
              <w:pStyle w:val="06cTABLETEXT"/>
              <w:jc w:val="center"/>
            </w:pPr>
            <w:r>
              <w:t>2017–18</w:t>
            </w:r>
          </w:p>
        </w:tc>
        <w:tc>
          <w:tcPr>
            <w:tcW w:w="37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5A29C88" w14:textId="77777777" w:rsidR="00EB6564" w:rsidRDefault="00EB6564">
            <w:pPr>
              <w:pStyle w:val="06cTABLETEXT"/>
              <w:jc w:val="center"/>
            </w:pPr>
            <w:r>
              <w:t>30</w:t>
            </w:r>
          </w:p>
        </w:tc>
      </w:tr>
      <w:tr w:rsidR="00EB6564" w14:paraId="5A1F0677" w14:textId="77777777">
        <w:trPr>
          <w:trHeight w:val="60"/>
        </w:trPr>
        <w:tc>
          <w:tcPr>
            <w:tcW w:w="37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584FD1" w14:textId="77777777" w:rsidR="00EB6564" w:rsidRDefault="00EB6564">
            <w:pPr>
              <w:pStyle w:val="06cTABLETEXT"/>
              <w:jc w:val="center"/>
            </w:pPr>
            <w:r>
              <w:t>2018–19</w:t>
            </w:r>
          </w:p>
        </w:tc>
        <w:tc>
          <w:tcPr>
            <w:tcW w:w="370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FAC331" w14:textId="77777777" w:rsidR="00EB6564" w:rsidRDefault="00EB6564">
            <w:pPr>
              <w:pStyle w:val="06cTABLETEXT"/>
              <w:jc w:val="center"/>
            </w:pPr>
            <w:r>
              <w:t>27</w:t>
            </w:r>
          </w:p>
        </w:tc>
      </w:tr>
    </w:tbl>
    <w:p w14:paraId="470F70EC" w14:textId="77777777" w:rsidR="00EB6564" w:rsidRDefault="00EB6564" w:rsidP="00EB6564">
      <w:pPr>
        <w:pStyle w:val="06TABLEHEADING"/>
      </w:pPr>
      <w:r>
        <w:t>Table 2: Quantity of controlled waste into Tasmania for the period 1 July 2018 to 30 June 2019—tonnes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392"/>
        <w:gridCol w:w="1190"/>
        <w:gridCol w:w="590"/>
        <w:gridCol w:w="589"/>
        <w:gridCol w:w="589"/>
        <w:gridCol w:w="589"/>
        <w:gridCol w:w="589"/>
        <w:gridCol w:w="589"/>
        <w:gridCol w:w="590"/>
        <w:gridCol w:w="589"/>
        <w:gridCol w:w="589"/>
        <w:gridCol w:w="613"/>
      </w:tblGrid>
      <w:tr w:rsidR="00EB6564" w14:paraId="18730753" w14:textId="77777777">
        <w:trPr>
          <w:trHeight w:val="340"/>
          <w:tblHeader/>
        </w:trPr>
        <w:tc>
          <w:tcPr>
            <w:tcW w:w="392"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366BF2E3" w14:textId="77777777" w:rsidR="00EB6564" w:rsidRDefault="00EB6564">
            <w:pPr>
              <w:pStyle w:val="06bTABLEHEADERROW"/>
              <w:jc w:val="center"/>
            </w:pPr>
            <w:r>
              <w:rPr>
                <w:sz w:val="15"/>
                <w:szCs w:val="15"/>
              </w:rPr>
              <w:t>Code</w:t>
            </w:r>
          </w:p>
        </w:tc>
        <w:tc>
          <w:tcPr>
            <w:tcW w:w="1190"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6651D08B" w14:textId="77777777" w:rsidR="00EB6564" w:rsidRDefault="00EB6564">
            <w:pPr>
              <w:pStyle w:val="06bTABLEHEADERROW"/>
              <w:jc w:val="center"/>
            </w:pPr>
            <w:r>
              <w:rPr>
                <w:sz w:val="15"/>
                <w:szCs w:val="15"/>
              </w:rPr>
              <w:t>Description</w:t>
            </w:r>
          </w:p>
        </w:tc>
        <w:tc>
          <w:tcPr>
            <w:tcW w:w="590"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6BBA5BC8" w14:textId="77777777" w:rsidR="00EB6564" w:rsidRDefault="00EB6564">
            <w:pPr>
              <w:pStyle w:val="06bTABLEHEADERROW"/>
              <w:jc w:val="center"/>
            </w:pPr>
            <w:r>
              <w:rPr>
                <w:sz w:val="15"/>
                <w:szCs w:val="15"/>
              </w:rPr>
              <w:t>NSW</w:t>
            </w:r>
          </w:p>
        </w:tc>
        <w:tc>
          <w:tcPr>
            <w:tcW w:w="589"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675FE816" w14:textId="77777777" w:rsidR="00EB6564" w:rsidRDefault="00EB6564">
            <w:pPr>
              <w:pStyle w:val="06bTABLEHEADERROW"/>
              <w:jc w:val="center"/>
            </w:pPr>
            <w:r>
              <w:rPr>
                <w:sz w:val="15"/>
                <w:szCs w:val="15"/>
              </w:rPr>
              <w:t>Vic</w:t>
            </w:r>
          </w:p>
        </w:tc>
        <w:tc>
          <w:tcPr>
            <w:tcW w:w="589"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65578B80" w14:textId="77777777" w:rsidR="00EB6564" w:rsidRDefault="00EB6564">
            <w:pPr>
              <w:pStyle w:val="06bTABLEHEADERROW"/>
              <w:jc w:val="center"/>
            </w:pPr>
            <w:r>
              <w:rPr>
                <w:sz w:val="15"/>
                <w:szCs w:val="15"/>
              </w:rPr>
              <w:t>Qld</w:t>
            </w:r>
          </w:p>
        </w:tc>
        <w:tc>
          <w:tcPr>
            <w:tcW w:w="589"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6A8FA2D6" w14:textId="77777777" w:rsidR="00EB6564" w:rsidRDefault="00EB6564">
            <w:pPr>
              <w:pStyle w:val="06bTABLEHEADERROW"/>
              <w:jc w:val="center"/>
            </w:pPr>
            <w:r>
              <w:rPr>
                <w:sz w:val="15"/>
                <w:szCs w:val="15"/>
              </w:rPr>
              <w:t>WA</w:t>
            </w:r>
          </w:p>
        </w:tc>
        <w:tc>
          <w:tcPr>
            <w:tcW w:w="589"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2366D6D1" w14:textId="77777777" w:rsidR="00EB6564" w:rsidRDefault="00EB6564">
            <w:pPr>
              <w:pStyle w:val="06bTABLEHEADERROW"/>
              <w:jc w:val="center"/>
            </w:pPr>
            <w:r>
              <w:rPr>
                <w:sz w:val="15"/>
                <w:szCs w:val="15"/>
              </w:rPr>
              <w:t>SA</w:t>
            </w:r>
          </w:p>
        </w:tc>
        <w:tc>
          <w:tcPr>
            <w:tcW w:w="589"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3B4BD90E" w14:textId="77777777" w:rsidR="00EB6564" w:rsidRDefault="00EB6564">
            <w:pPr>
              <w:pStyle w:val="06bTABLEHEADERROW"/>
              <w:jc w:val="center"/>
            </w:pPr>
            <w:r>
              <w:rPr>
                <w:sz w:val="15"/>
                <w:szCs w:val="15"/>
              </w:rPr>
              <w:t>Tas</w:t>
            </w:r>
          </w:p>
        </w:tc>
        <w:tc>
          <w:tcPr>
            <w:tcW w:w="590"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67D2D2B6" w14:textId="77777777" w:rsidR="00EB6564" w:rsidRDefault="00EB6564">
            <w:pPr>
              <w:pStyle w:val="06bTABLEHEADERROW"/>
              <w:jc w:val="center"/>
            </w:pPr>
            <w:r>
              <w:rPr>
                <w:caps/>
                <w:sz w:val="15"/>
                <w:szCs w:val="15"/>
              </w:rPr>
              <w:t>ACT</w:t>
            </w:r>
          </w:p>
        </w:tc>
        <w:tc>
          <w:tcPr>
            <w:tcW w:w="589"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1DEA8E26" w14:textId="77777777" w:rsidR="00EB6564" w:rsidRDefault="00EB6564">
            <w:pPr>
              <w:pStyle w:val="06bTABLEHEADERROW"/>
              <w:jc w:val="center"/>
            </w:pPr>
            <w:r>
              <w:rPr>
                <w:sz w:val="15"/>
                <w:szCs w:val="15"/>
              </w:rPr>
              <w:t>NT</w:t>
            </w:r>
          </w:p>
        </w:tc>
        <w:tc>
          <w:tcPr>
            <w:tcW w:w="589" w:type="dxa"/>
            <w:tcBorders>
              <w:top w:val="single" w:sz="8" w:space="0" w:color="FFFFFF"/>
              <w:left w:val="single" w:sz="4" w:space="0" w:color="FFFFFF"/>
              <w:bottom w:val="single" w:sz="8" w:space="0" w:color="FFFFFF"/>
              <w:right w:val="single" w:sz="4" w:space="0" w:color="FFFFFF"/>
            </w:tcBorders>
            <w:shd w:val="solid" w:color="000000" w:fill="auto"/>
            <w:tcMar>
              <w:top w:w="85" w:type="dxa"/>
              <w:left w:w="113" w:type="dxa"/>
              <w:bottom w:w="85" w:type="dxa"/>
              <w:right w:w="0" w:type="dxa"/>
            </w:tcMar>
            <w:vAlign w:val="bottom"/>
          </w:tcPr>
          <w:p w14:paraId="4A5C0F36" w14:textId="77777777" w:rsidR="00EB6564" w:rsidRDefault="00EB6564">
            <w:pPr>
              <w:pStyle w:val="06bTABLEHEADERROW"/>
            </w:pPr>
            <w:r>
              <w:rPr>
                <w:sz w:val="15"/>
                <w:szCs w:val="15"/>
              </w:rPr>
              <w:t>Ext-Terr*</w:t>
            </w:r>
          </w:p>
        </w:tc>
        <w:tc>
          <w:tcPr>
            <w:tcW w:w="613"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48C0686D" w14:textId="77777777" w:rsidR="00EB6564" w:rsidRDefault="00EB6564">
            <w:pPr>
              <w:pStyle w:val="06bTABLEHEADERROW"/>
              <w:jc w:val="center"/>
            </w:pPr>
            <w:r>
              <w:rPr>
                <w:rStyle w:val="BOLD"/>
                <w:b/>
                <w:bCs/>
                <w:sz w:val="15"/>
                <w:szCs w:val="15"/>
              </w:rPr>
              <w:t>Total (tonnes)</w:t>
            </w:r>
          </w:p>
        </w:tc>
      </w:tr>
      <w:tr w:rsidR="00EB6564" w14:paraId="0C9262AA"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FECB9F2" w14:textId="77777777" w:rsidR="00EB6564" w:rsidRDefault="00EB6564">
            <w:pPr>
              <w:pStyle w:val="06cTABLETEXT"/>
              <w:jc w:val="center"/>
            </w:pPr>
            <w:r>
              <w:rPr>
                <w:rStyle w:val="BOLD"/>
                <w:sz w:val="15"/>
                <w:szCs w:val="15"/>
              </w:rPr>
              <w:t>A</w:t>
            </w:r>
          </w:p>
        </w:tc>
        <w:tc>
          <w:tcPr>
            <w:tcW w:w="11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07A634A3" w14:textId="77777777" w:rsidR="00EB6564" w:rsidRDefault="00EB6564">
            <w:pPr>
              <w:pStyle w:val="06cTABLETEXT"/>
            </w:pPr>
            <w:r>
              <w:rPr>
                <w:rStyle w:val="BOLD"/>
              </w:rPr>
              <w:t>Plating &amp; heat treatment</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E3DFBC7"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AF0BB5C"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050AFDD"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2775314"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6BAFD09"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E8A112B" w14:textId="77777777" w:rsidR="00EB6564" w:rsidRDefault="00EB6564">
            <w:pPr>
              <w:pStyle w:val="06cTABLETEXT"/>
              <w:jc w:val="center"/>
            </w:pPr>
            <w:r>
              <w:rPr>
                <w:w w:val="97"/>
                <w:sz w:val="15"/>
                <w:szCs w:val="15"/>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1C182BA"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7C0E6D2"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E63EA8A" w14:textId="77777777" w:rsidR="00EB6564" w:rsidRDefault="00EB6564">
            <w:pPr>
              <w:pStyle w:val="06cTABLETEXT"/>
              <w:jc w:val="center"/>
            </w:pPr>
            <w:r>
              <w:rPr>
                <w:w w:val="97"/>
                <w:sz w:val="15"/>
                <w:szCs w:val="15"/>
              </w:rPr>
              <w:t>0.00</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A29B1AF" w14:textId="77777777" w:rsidR="00EB6564" w:rsidRDefault="00EB6564">
            <w:pPr>
              <w:pStyle w:val="06cTABLETEXT"/>
              <w:jc w:val="center"/>
            </w:pPr>
            <w:r>
              <w:rPr>
                <w:rStyle w:val="BOLD"/>
              </w:rPr>
              <w:t>0.00</w:t>
            </w:r>
          </w:p>
        </w:tc>
      </w:tr>
      <w:tr w:rsidR="00EB6564" w14:paraId="17702280"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6DFD04C" w14:textId="77777777" w:rsidR="00EB6564" w:rsidRDefault="00EB6564">
            <w:pPr>
              <w:pStyle w:val="06cTABLETEXT"/>
              <w:jc w:val="center"/>
            </w:pPr>
            <w:r>
              <w:rPr>
                <w:rStyle w:val="BOLD"/>
                <w:sz w:val="15"/>
                <w:szCs w:val="15"/>
              </w:rPr>
              <w:t>B</w:t>
            </w:r>
          </w:p>
        </w:tc>
        <w:tc>
          <w:tcPr>
            <w:tcW w:w="11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3346EAD2" w14:textId="77777777" w:rsidR="00EB6564" w:rsidRDefault="00EB6564">
            <w:pPr>
              <w:pStyle w:val="06cTABLETEXT"/>
            </w:pPr>
            <w:r>
              <w:rPr>
                <w:rStyle w:val="BOLD"/>
              </w:rPr>
              <w:t>Acids</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2AB53C1"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1B8E84F"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DB4E654"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FF5173B"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8890FDF"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D32A4E6" w14:textId="77777777" w:rsidR="00EB6564" w:rsidRDefault="00EB6564">
            <w:pPr>
              <w:pStyle w:val="06cTABLETEXT"/>
              <w:jc w:val="center"/>
            </w:pPr>
            <w:r>
              <w:rPr>
                <w:w w:val="97"/>
                <w:sz w:val="15"/>
                <w:szCs w:val="15"/>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AECB896"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67232B4"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60FDF8F" w14:textId="77777777" w:rsidR="00EB6564" w:rsidRDefault="00EB6564">
            <w:pPr>
              <w:pStyle w:val="06cTABLETEXT"/>
              <w:jc w:val="center"/>
            </w:pPr>
            <w:r>
              <w:t>6.00</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A004552" w14:textId="77777777" w:rsidR="00EB6564" w:rsidRDefault="00EB6564">
            <w:pPr>
              <w:pStyle w:val="06cTABLETEXT"/>
              <w:jc w:val="center"/>
            </w:pPr>
            <w:r>
              <w:rPr>
                <w:rStyle w:val="BOLD"/>
              </w:rPr>
              <w:t>6.00</w:t>
            </w:r>
          </w:p>
        </w:tc>
      </w:tr>
      <w:tr w:rsidR="00EB6564" w14:paraId="3399566C"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3E83575" w14:textId="77777777" w:rsidR="00EB6564" w:rsidRDefault="00EB6564">
            <w:pPr>
              <w:pStyle w:val="06cTABLETEXT"/>
              <w:jc w:val="center"/>
            </w:pPr>
            <w:r>
              <w:rPr>
                <w:rStyle w:val="BOLD"/>
                <w:sz w:val="15"/>
                <w:szCs w:val="15"/>
              </w:rPr>
              <w:t>C</w:t>
            </w:r>
          </w:p>
        </w:tc>
        <w:tc>
          <w:tcPr>
            <w:tcW w:w="11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3E57A2BE" w14:textId="77777777" w:rsidR="00EB6564" w:rsidRDefault="00EB6564">
            <w:pPr>
              <w:pStyle w:val="06cTABLETEXT"/>
            </w:pPr>
            <w:r>
              <w:rPr>
                <w:rStyle w:val="BOLD"/>
              </w:rPr>
              <w:t>Alkalis</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30B39AD"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0B075D8"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CA5AAB3"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A925696"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B10B63A"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B2B7A9B" w14:textId="77777777" w:rsidR="00EB6564" w:rsidRDefault="00EB6564">
            <w:pPr>
              <w:pStyle w:val="06cTABLETEXT"/>
              <w:jc w:val="center"/>
            </w:pPr>
            <w:r>
              <w:rPr>
                <w:w w:val="97"/>
                <w:sz w:val="15"/>
                <w:szCs w:val="15"/>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E0B543D"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3AB9063"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7CEF2EB" w14:textId="77777777" w:rsidR="00EB6564" w:rsidRDefault="00EB6564">
            <w:pPr>
              <w:pStyle w:val="06cTABLETEXT"/>
              <w:jc w:val="center"/>
            </w:pPr>
            <w:r>
              <w:t>0.20</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949E9C0" w14:textId="77777777" w:rsidR="00EB6564" w:rsidRDefault="00EB6564">
            <w:pPr>
              <w:pStyle w:val="06cTABLETEXT"/>
              <w:jc w:val="center"/>
            </w:pPr>
            <w:r>
              <w:rPr>
                <w:rStyle w:val="BOLD"/>
              </w:rPr>
              <w:t>0.20</w:t>
            </w:r>
          </w:p>
        </w:tc>
      </w:tr>
      <w:tr w:rsidR="00EB6564" w14:paraId="2B5F0AB2"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9547C0" w14:textId="77777777" w:rsidR="00EB6564" w:rsidRDefault="00EB6564">
            <w:pPr>
              <w:pStyle w:val="06cTABLETEXT"/>
              <w:jc w:val="center"/>
            </w:pPr>
            <w:r>
              <w:rPr>
                <w:rStyle w:val="BOLD"/>
                <w:sz w:val="15"/>
                <w:szCs w:val="15"/>
              </w:rPr>
              <w:lastRenderedPageBreak/>
              <w:t>D</w:t>
            </w:r>
          </w:p>
        </w:tc>
        <w:tc>
          <w:tcPr>
            <w:tcW w:w="11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25EE546A" w14:textId="77777777" w:rsidR="00EB6564" w:rsidRDefault="00EB6564">
            <w:pPr>
              <w:pStyle w:val="06cTABLETEXT"/>
            </w:pPr>
            <w:r>
              <w:rPr>
                <w:rStyle w:val="BOLD"/>
              </w:rPr>
              <w:t>Inorganic chemicals</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3291ACF" w14:textId="77777777" w:rsidR="00EB6564" w:rsidRDefault="00EB6564">
            <w:pPr>
              <w:pStyle w:val="06cTABLETEXT"/>
              <w:jc w:val="center"/>
            </w:pPr>
            <w:r>
              <w:t>13.20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AF648CC" w14:textId="77777777" w:rsidR="00EB6564" w:rsidRDefault="00EB6564">
            <w:pPr>
              <w:pStyle w:val="06cTABLETEXT"/>
              <w:jc w:val="center"/>
            </w:pPr>
            <w:r>
              <w:t>3892.03</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5538C87"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1430FC1"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4C02A91"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B2DD324" w14:textId="77777777" w:rsidR="00EB6564" w:rsidRDefault="00EB6564">
            <w:pPr>
              <w:pStyle w:val="06cTABLETEXT"/>
              <w:jc w:val="center"/>
            </w:pPr>
            <w:r>
              <w:rPr>
                <w:w w:val="97"/>
                <w:sz w:val="15"/>
                <w:szCs w:val="15"/>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809FD72"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24CD183"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80E52EC" w14:textId="77777777" w:rsidR="00EB6564" w:rsidRDefault="00EB6564">
            <w:pPr>
              <w:pStyle w:val="06cTABLETEXT"/>
              <w:jc w:val="center"/>
            </w:pPr>
            <w:r>
              <w:t>1.60</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8901AC0" w14:textId="77777777" w:rsidR="00EB6564" w:rsidRDefault="00EB6564">
            <w:pPr>
              <w:pStyle w:val="06cTABLETEXT"/>
              <w:jc w:val="center"/>
            </w:pPr>
            <w:r>
              <w:rPr>
                <w:rStyle w:val="BOLD"/>
              </w:rPr>
              <w:t>3906.83</w:t>
            </w:r>
          </w:p>
        </w:tc>
      </w:tr>
      <w:tr w:rsidR="00EB6564" w14:paraId="60978F54"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82A2B6C" w14:textId="77777777" w:rsidR="00EB6564" w:rsidRDefault="00EB6564">
            <w:pPr>
              <w:pStyle w:val="06cTABLETEXT"/>
              <w:jc w:val="center"/>
            </w:pPr>
            <w:r>
              <w:rPr>
                <w:rStyle w:val="BOLD"/>
                <w:sz w:val="15"/>
                <w:szCs w:val="15"/>
              </w:rPr>
              <w:t>E</w:t>
            </w:r>
          </w:p>
        </w:tc>
        <w:tc>
          <w:tcPr>
            <w:tcW w:w="11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04D0C97F" w14:textId="77777777" w:rsidR="00EB6564" w:rsidRDefault="00EB6564">
            <w:pPr>
              <w:pStyle w:val="06cTABLETEXT"/>
            </w:pPr>
            <w:r>
              <w:rPr>
                <w:rStyle w:val="BOLD"/>
              </w:rPr>
              <w:t>Reactive chemicals</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8CEB8F8"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D9AE5E7"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A72804D"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5B0B1FB"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6A8EA3C"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92EE9E5" w14:textId="77777777" w:rsidR="00EB6564" w:rsidRDefault="00EB6564">
            <w:pPr>
              <w:pStyle w:val="06cTABLETEXT"/>
              <w:jc w:val="center"/>
            </w:pPr>
            <w:r>
              <w:rPr>
                <w:w w:val="97"/>
                <w:sz w:val="15"/>
                <w:szCs w:val="15"/>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7CFD7D2"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B978720"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F27CFEE" w14:textId="77777777" w:rsidR="00EB6564" w:rsidRDefault="00EB6564">
            <w:pPr>
              <w:pStyle w:val="06cTABLETEXT"/>
              <w:jc w:val="center"/>
            </w:pPr>
            <w:r>
              <w:t>0.20</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560E0A9" w14:textId="77777777" w:rsidR="00EB6564" w:rsidRDefault="00EB6564">
            <w:pPr>
              <w:pStyle w:val="06cTABLETEXT"/>
              <w:jc w:val="center"/>
            </w:pPr>
            <w:r>
              <w:rPr>
                <w:rStyle w:val="BOLD"/>
              </w:rPr>
              <w:t>0.20</w:t>
            </w:r>
          </w:p>
        </w:tc>
      </w:tr>
      <w:tr w:rsidR="00EB6564" w14:paraId="62BAF468"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6284D9" w14:textId="77777777" w:rsidR="00EB6564" w:rsidRDefault="00EB6564">
            <w:pPr>
              <w:pStyle w:val="06cTABLETEXT"/>
              <w:jc w:val="center"/>
            </w:pPr>
            <w:r>
              <w:rPr>
                <w:rStyle w:val="BOLD"/>
                <w:sz w:val="15"/>
                <w:szCs w:val="15"/>
              </w:rPr>
              <w:t>F</w:t>
            </w:r>
          </w:p>
        </w:tc>
        <w:tc>
          <w:tcPr>
            <w:tcW w:w="11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2B8F51EC" w14:textId="77777777" w:rsidR="00EB6564" w:rsidRDefault="00EB6564">
            <w:pPr>
              <w:pStyle w:val="06cTABLETEXT"/>
            </w:pPr>
            <w:r>
              <w:rPr>
                <w:rStyle w:val="BOLD"/>
              </w:rPr>
              <w:t>Paints, resins, inks organic sludges</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446A373"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4F94F04"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B5916EF"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3D1976E"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AAB312C"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48A5980" w14:textId="77777777" w:rsidR="00EB6564" w:rsidRDefault="00EB6564">
            <w:pPr>
              <w:pStyle w:val="06cTABLETEXT"/>
              <w:jc w:val="center"/>
            </w:pPr>
            <w:r>
              <w:rPr>
                <w:w w:val="97"/>
                <w:sz w:val="15"/>
                <w:szCs w:val="15"/>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A98485D"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F1CC87D"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E443FCB" w14:textId="77777777" w:rsidR="00EB6564" w:rsidRDefault="00EB6564">
            <w:pPr>
              <w:pStyle w:val="06cTABLETEXT"/>
              <w:jc w:val="center"/>
            </w:pPr>
            <w:r>
              <w:t>2.00</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B504D86" w14:textId="77777777" w:rsidR="00EB6564" w:rsidRDefault="00EB6564">
            <w:pPr>
              <w:pStyle w:val="06cTABLETEXT"/>
              <w:jc w:val="center"/>
            </w:pPr>
            <w:r>
              <w:rPr>
                <w:rStyle w:val="BOLD"/>
              </w:rPr>
              <w:t>2.00</w:t>
            </w:r>
          </w:p>
        </w:tc>
      </w:tr>
      <w:tr w:rsidR="00EB6564" w14:paraId="7658F16A"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3F14BF" w14:textId="77777777" w:rsidR="00EB6564" w:rsidRDefault="00EB6564">
            <w:pPr>
              <w:pStyle w:val="06cTABLETEXT"/>
              <w:jc w:val="center"/>
            </w:pPr>
            <w:r>
              <w:rPr>
                <w:rStyle w:val="BOLD"/>
                <w:sz w:val="15"/>
                <w:szCs w:val="15"/>
              </w:rPr>
              <w:t>G</w:t>
            </w:r>
          </w:p>
        </w:tc>
        <w:tc>
          <w:tcPr>
            <w:tcW w:w="11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440BAA7E" w14:textId="77777777" w:rsidR="00EB6564" w:rsidRDefault="00EB6564">
            <w:pPr>
              <w:pStyle w:val="06cTABLETEXT"/>
            </w:pPr>
            <w:r>
              <w:rPr>
                <w:rStyle w:val="BOLD"/>
              </w:rPr>
              <w:t>Organic solvents</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E988C14"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D4288C0"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C84EB0A"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239CECD"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EBF6518"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F95FC4C" w14:textId="77777777" w:rsidR="00EB6564" w:rsidRDefault="00EB6564">
            <w:pPr>
              <w:pStyle w:val="06cTABLETEXT"/>
              <w:jc w:val="center"/>
            </w:pPr>
            <w:r>
              <w:rPr>
                <w:w w:val="97"/>
                <w:sz w:val="15"/>
                <w:szCs w:val="15"/>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7FCBA64"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5874C72"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28C7B25" w14:textId="77777777" w:rsidR="00EB6564" w:rsidRDefault="00EB6564">
            <w:pPr>
              <w:pStyle w:val="06cTABLETEXT"/>
              <w:jc w:val="center"/>
            </w:pPr>
            <w:r>
              <w:t>30.00</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25D0A16" w14:textId="77777777" w:rsidR="00EB6564" w:rsidRDefault="00EB6564">
            <w:pPr>
              <w:pStyle w:val="06cTABLETEXT"/>
              <w:jc w:val="center"/>
            </w:pPr>
            <w:r>
              <w:rPr>
                <w:rStyle w:val="BOLD"/>
              </w:rPr>
              <w:t>30.00</w:t>
            </w:r>
          </w:p>
        </w:tc>
      </w:tr>
      <w:tr w:rsidR="00EB6564" w14:paraId="465552F6"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D32606D" w14:textId="77777777" w:rsidR="00EB6564" w:rsidRDefault="00EB6564">
            <w:pPr>
              <w:pStyle w:val="06cTABLETEXT"/>
              <w:jc w:val="center"/>
            </w:pPr>
            <w:r>
              <w:rPr>
                <w:rStyle w:val="BOLD"/>
                <w:sz w:val="15"/>
                <w:szCs w:val="15"/>
              </w:rPr>
              <w:t>H</w:t>
            </w:r>
          </w:p>
        </w:tc>
        <w:tc>
          <w:tcPr>
            <w:tcW w:w="11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20AA0540" w14:textId="77777777" w:rsidR="00EB6564" w:rsidRDefault="00EB6564">
            <w:pPr>
              <w:pStyle w:val="06cTABLETEXT"/>
            </w:pPr>
            <w:r>
              <w:rPr>
                <w:rStyle w:val="BOLD"/>
              </w:rPr>
              <w:t>Pesticides</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5981EF3"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7E81AAF"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E546D37"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7EE8EF3"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5EEF46A"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B23752D" w14:textId="77777777" w:rsidR="00EB6564" w:rsidRDefault="00EB6564">
            <w:pPr>
              <w:pStyle w:val="06cTABLETEXT"/>
              <w:jc w:val="center"/>
            </w:pPr>
            <w:r>
              <w:rPr>
                <w:w w:val="97"/>
                <w:sz w:val="15"/>
                <w:szCs w:val="15"/>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A532420"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29DC54D"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9A70778" w14:textId="77777777" w:rsidR="00EB6564" w:rsidRDefault="00EB6564">
            <w:pPr>
              <w:pStyle w:val="06cTABLETEXT"/>
              <w:jc w:val="center"/>
            </w:pPr>
            <w:r>
              <w:rPr>
                <w:w w:val="97"/>
                <w:sz w:val="15"/>
                <w:szCs w:val="15"/>
              </w:rPr>
              <w:t>0.00</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7D66109" w14:textId="77777777" w:rsidR="00EB6564" w:rsidRDefault="00EB6564">
            <w:pPr>
              <w:pStyle w:val="06cTABLETEXT"/>
              <w:jc w:val="center"/>
            </w:pPr>
            <w:r>
              <w:rPr>
                <w:rStyle w:val="BOLD"/>
              </w:rPr>
              <w:t>0.00</w:t>
            </w:r>
          </w:p>
        </w:tc>
      </w:tr>
      <w:tr w:rsidR="00EB6564" w14:paraId="7DCA8C6D"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5C8627" w14:textId="77777777" w:rsidR="00EB6564" w:rsidRDefault="00EB6564">
            <w:pPr>
              <w:pStyle w:val="06cTABLETEXT"/>
              <w:jc w:val="center"/>
            </w:pPr>
            <w:r>
              <w:rPr>
                <w:rStyle w:val="BOLD"/>
                <w:sz w:val="15"/>
                <w:szCs w:val="15"/>
              </w:rPr>
              <w:t>J</w:t>
            </w:r>
          </w:p>
        </w:tc>
        <w:tc>
          <w:tcPr>
            <w:tcW w:w="11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42935764" w14:textId="77777777" w:rsidR="00EB6564" w:rsidRDefault="00EB6564">
            <w:pPr>
              <w:pStyle w:val="06cTABLETEXT"/>
            </w:pPr>
            <w:r>
              <w:rPr>
                <w:rStyle w:val="BOLD"/>
              </w:rPr>
              <w:t>Oils</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98C6D46"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B48D705"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46DA453"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D45BEE5"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7B9409D"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8F0B6C2" w14:textId="77777777" w:rsidR="00EB6564" w:rsidRDefault="00EB6564">
            <w:pPr>
              <w:pStyle w:val="06cTABLETEXT"/>
              <w:jc w:val="center"/>
            </w:pPr>
            <w:r>
              <w:rPr>
                <w:w w:val="97"/>
                <w:sz w:val="15"/>
                <w:szCs w:val="15"/>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59FDD5B"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0FBE4B2"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A814514" w14:textId="77777777" w:rsidR="00EB6564" w:rsidRDefault="00EB6564">
            <w:pPr>
              <w:pStyle w:val="06cTABLETEXT"/>
              <w:jc w:val="center"/>
            </w:pPr>
            <w:r>
              <w:t>65.00</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C43BD85" w14:textId="77777777" w:rsidR="00EB6564" w:rsidRDefault="00EB6564">
            <w:pPr>
              <w:pStyle w:val="06cTABLETEXT"/>
              <w:jc w:val="center"/>
            </w:pPr>
            <w:r>
              <w:rPr>
                <w:rStyle w:val="BOLD"/>
              </w:rPr>
              <w:t>65.00</w:t>
            </w:r>
          </w:p>
        </w:tc>
      </w:tr>
      <w:tr w:rsidR="00EB6564" w14:paraId="7B02B704"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E7A2E34" w14:textId="77777777" w:rsidR="00EB6564" w:rsidRDefault="00EB6564">
            <w:pPr>
              <w:pStyle w:val="06cTABLETEXT"/>
              <w:jc w:val="center"/>
            </w:pPr>
            <w:r>
              <w:rPr>
                <w:rStyle w:val="BOLD"/>
                <w:sz w:val="15"/>
                <w:szCs w:val="15"/>
              </w:rPr>
              <w:t>K</w:t>
            </w:r>
          </w:p>
        </w:tc>
        <w:tc>
          <w:tcPr>
            <w:tcW w:w="11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104B5D6E" w14:textId="77777777" w:rsidR="00EB6564" w:rsidRDefault="00EB6564">
            <w:pPr>
              <w:pStyle w:val="06cTABLETEXT"/>
            </w:pPr>
            <w:r>
              <w:rPr>
                <w:rStyle w:val="BOLD"/>
              </w:rPr>
              <w:t>Putrescible/organic waste</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64C04F3"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D66BCC4"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964608E"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AD8E7A6"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E3BB0C3"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2F8DA37" w14:textId="77777777" w:rsidR="00EB6564" w:rsidRDefault="00EB6564">
            <w:pPr>
              <w:pStyle w:val="06cTABLETEXT"/>
              <w:jc w:val="center"/>
            </w:pPr>
            <w:r>
              <w:rPr>
                <w:w w:val="97"/>
                <w:sz w:val="15"/>
                <w:szCs w:val="15"/>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FD864B8"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B9CC0AF"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798CB40" w14:textId="77777777" w:rsidR="00EB6564" w:rsidRDefault="00EB6564">
            <w:pPr>
              <w:pStyle w:val="06cTABLETEXT"/>
              <w:jc w:val="center"/>
            </w:pPr>
            <w:r>
              <w:t>92.00</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BBA0948" w14:textId="77777777" w:rsidR="00EB6564" w:rsidRDefault="00EB6564">
            <w:pPr>
              <w:pStyle w:val="06cTABLETEXT"/>
              <w:jc w:val="center"/>
            </w:pPr>
            <w:r>
              <w:rPr>
                <w:rStyle w:val="BOLD"/>
              </w:rPr>
              <w:t>92.00</w:t>
            </w:r>
          </w:p>
        </w:tc>
      </w:tr>
      <w:tr w:rsidR="00EB6564" w14:paraId="0BA4AC7F"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2340692" w14:textId="77777777" w:rsidR="00EB6564" w:rsidRDefault="00EB6564">
            <w:pPr>
              <w:pStyle w:val="06cTABLETEXT"/>
              <w:jc w:val="center"/>
            </w:pPr>
            <w:r>
              <w:rPr>
                <w:rStyle w:val="BOLD"/>
                <w:sz w:val="15"/>
                <w:szCs w:val="15"/>
              </w:rPr>
              <w:t>L</w:t>
            </w:r>
          </w:p>
        </w:tc>
        <w:tc>
          <w:tcPr>
            <w:tcW w:w="11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10ECDB18" w14:textId="77777777" w:rsidR="00EB6564" w:rsidRDefault="00EB6564">
            <w:pPr>
              <w:pStyle w:val="06cTABLETEXT"/>
            </w:pPr>
            <w:r>
              <w:rPr>
                <w:rStyle w:val="BOLD"/>
              </w:rPr>
              <w:t xml:space="preserve">Industrial </w:t>
            </w:r>
            <w:proofErr w:type="spellStart"/>
            <w:r>
              <w:rPr>
                <w:rStyle w:val="BOLD"/>
              </w:rPr>
              <w:t>washwater</w:t>
            </w:r>
            <w:proofErr w:type="spellEnd"/>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99DE934"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A0866A6"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F56EAAF"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476297F"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422B285"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22779CD" w14:textId="77777777" w:rsidR="00EB6564" w:rsidRDefault="00EB6564">
            <w:pPr>
              <w:pStyle w:val="06cTABLETEXT"/>
              <w:jc w:val="center"/>
            </w:pPr>
            <w:r>
              <w:rPr>
                <w:w w:val="97"/>
                <w:sz w:val="15"/>
                <w:szCs w:val="15"/>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F786D03"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9FAE721"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981AB11" w14:textId="77777777" w:rsidR="00EB6564" w:rsidRDefault="00EB6564">
            <w:pPr>
              <w:pStyle w:val="06cTABLETEXT"/>
              <w:jc w:val="center"/>
            </w:pPr>
            <w:r>
              <w:rPr>
                <w:w w:val="97"/>
                <w:sz w:val="15"/>
                <w:szCs w:val="15"/>
              </w:rPr>
              <w:t>0.00</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E8C68FE" w14:textId="77777777" w:rsidR="00EB6564" w:rsidRDefault="00EB6564">
            <w:pPr>
              <w:pStyle w:val="06cTABLETEXT"/>
              <w:jc w:val="center"/>
            </w:pPr>
            <w:r>
              <w:rPr>
                <w:rStyle w:val="BOLD"/>
              </w:rPr>
              <w:t>0.00</w:t>
            </w:r>
          </w:p>
        </w:tc>
      </w:tr>
      <w:tr w:rsidR="00EB6564" w14:paraId="6C5172CA"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7A3DE8" w14:textId="77777777" w:rsidR="00EB6564" w:rsidRDefault="00EB6564">
            <w:pPr>
              <w:pStyle w:val="06cTABLETEXT"/>
              <w:jc w:val="center"/>
            </w:pPr>
            <w:r>
              <w:rPr>
                <w:rStyle w:val="BOLD"/>
                <w:sz w:val="15"/>
                <w:szCs w:val="15"/>
              </w:rPr>
              <w:t>M</w:t>
            </w:r>
          </w:p>
        </w:tc>
        <w:tc>
          <w:tcPr>
            <w:tcW w:w="11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37A5C8D8" w14:textId="77777777" w:rsidR="00EB6564" w:rsidRDefault="00EB6564">
            <w:pPr>
              <w:pStyle w:val="06cTABLETEXT"/>
            </w:pPr>
            <w:r>
              <w:rPr>
                <w:rStyle w:val="BOLD"/>
              </w:rPr>
              <w:t>Organic chemicals</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E16DEF5"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E744AB2"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E628BDE"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59CB192"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754F36C"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10B57B7" w14:textId="77777777" w:rsidR="00EB6564" w:rsidRDefault="00EB6564">
            <w:pPr>
              <w:pStyle w:val="06cTABLETEXT"/>
              <w:jc w:val="center"/>
            </w:pPr>
            <w:r>
              <w:rPr>
                <w:w w:val="97"/>
                <w:sz w:val="15"/>
                <w:szCs w:val="15"/>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B30ED62"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F0FA3A3"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60598A8" w14:textId="77777777" w:rsidR="00EB6564" w:rsidRDefault="00EB6564">
            <w:pPr>
              <w:pStyle w:val="06cTABLETEXT"/>
              <w:jc w:val="center"/>
            </w:pPr>
            <w:r>
              <w:t>0.15</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FBE22FF" w14:textId="77777777" w:rsidR="00EB6564" w:rsidRDefault="00EB6564">
            <w:pPr>
              <w:pStyle w:val="06cTABLETEXT"/>
              <w:jc w:val="center"/>
            </w:pPr>
            <w:r>
              <w:rPr>
                <w:rStyle w:val="BOLD"/>
              </w:rPr>
              <w:t>0.15</w:t>
            </w:r>
          </w:p>
        </w:tc>
      </w:tr>
      <w:tr w:rsidR="00EB6564" w14:paraId="7CC07550"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BADADCA" w14:textId="77777777" w:rsidR="00EB6564" w:rsidRDefault="00EB6564">
            <w:pPr>
              <w:pStyle w:val="06cTABLETEXT"/>
              <w:jc w:val="center"/>
            </w:pPr>
            <w:r>
              <w:rPr>
                <w:rStyle w:val="BOLD"/>
                <w:sz w:val="15"/>
                <w:szCs w:val="15"/>
              </w:rPr>
              <w:t>N</w:t>
            </w:r>
          </w:p>
        </w:tc>
        <w:tc>
          <w:tcPr>
            <w:tcW w:w="11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20F0E258" w14:textId="77777777" w:rsidR="00EB6564" w:rsidRDefault="00EB6564">
            <w:pPr>
              <w:pStyle w:val="06cTABLETEXT"/>
            </w:pPr>
            <w:r>
              <w:rPr>
                <w:rStyle w:val="BOLD"/>
              </w:rPr>
              <w:t>Soil/sludge</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4281A24"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17FBE8E"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CBE2182"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5183C7C"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DD54D17"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AFB68B6" w14:textId="77777777" w:rsidR="00EB6564" w:rsidRDefault="00EB6564">
            <w:pPr>
              <w:pStyle w:val="06cTABLETEXT"/>
              <w:jc w:val="center"/>
            </w:pPr>
            <w:r>
              <w:rPr>
                <w:w w:val="97"/>
                <w:sz w:val="15"/>
                <w:szCs w:val="15"/>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9ECE39D"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FE4BB2D"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4ED8F94" w14:textId="77777777" w:rsidR="00EB6564" w:rsidRDefault="00EB6564">
            <w:pPr>
              <w:pStyle w:val="06cTABLETEXT"/>
              <w:jc w:val="center"/>
            </w:pPr>
            <w:r>
              <w:t>49.50</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8A9FFA1" w14:textId="77777777" w:rsidR="00EB6564" w:rsidRDefault="00EB6564">
            <w:pPr>
              <w:pStyle w:val="06cTABLETEXT"/>
              <w:jc w:val="center"/>
            </w:pPr>
            <w:r>
              <w:rPr>
                <w:rStyle w:val="BOLD"/>
              </w:rPr>
              <w:t>49.50</w:t>
            </w:r>
          </w:p>
        </w:tc>
      </w:tr>
      <w:tr w:rsidR="00EB6564" w14:paraId="04F89CEF"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61763E" w14:textId="77777777" w:rsidR="00EB6564" w:rsidRDefault="00EB6564">
            <w:pPr>
              <w:pStyle w:val="06cTABLETEXT"/>
              <w:jc w:val="center"/>
            </w:pPr>
            <w:r>
              <w:rPr>
                <w:rStyle w:val="BOLD"/>
                <w:sz w:val="15"/>
                <w:szCs w:val="15"/>
              </w:rPr>
              <w:t>R</w:t>
            </w:r>
          </w:p>
        </w:tc>
        <w:tc>
          <w:tcPr>
            <w:tcW w:w="11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7C023636" w14:textId="77777777" w:rsidR="00EB6564" w:rsidRDefault="00EB6564">
            <w:pPr>
              <w:pStyle w:val="06cTABLETEXT"/>
            </w:pPr>
            <w:r>
              <w:rPr>
                <w:rStyle w:val="BOLD"/>
              </w:rPr>
              <w:t>Clinical &amp; pharmaceutical</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BE6A209"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9E32D2D"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B490590"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B676CEF"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9CADDFA"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6B2686E" w14:textId="77777777" w:rsidR="00EB6564" w:rsidRDefault="00EB6564">
            <w:pPr>
              <w:pStyle w:val="06cTABLETEXT"/>
              <w:jc w:val="center"/>
            </w:pPr>
            <w:r>
              <w:rPr>
                <w:w w:val="97"/>
                <w:sz w:val="15"/>
                <w:szCs w:val="15"/>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55D2F09"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2E23567"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B276EAF" w14:textId="77777777" w:rsidR="00EB6564" w:rsidRDefault="00EB6564">
            <w:pPr>
              <w:pStyle w:val="06cTABLETEXT"/>
              <w:jc w:val="center"/>
            </w:pPr>
            <w:r>
              <w:t>0.80</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2CE073E" w14:textId="77777777" w:rsidR="00EB6564" w:rsidRDefault="00EB6564">
            <w:pPr>
              <w:pStyle w:val="06cTABLETEXT"/>
              <w:jc w:val="center"/>
            </w:pPr>
            <w:r>
              <w:rPr>
                <w:rStyle w:val="BOLD"/>
              </w:rPr>
              <w:t>0.80</w:t>
            </w:r>
          </w:p>
        </w:tc>
      </w:tr>
      <w:tr w:rsidR="00EB6564" w14:paraId="3628CDF1"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0A93445" w14:textId="77777777" w:rsidR="00EB6564" w:rsidRDefault="00EB6564">
            <w:pPr>
              <w:pStyle w:val="06cTABLETEXT"/>
              <w:jc w:val="center"/>
            </w:pPr>
            <w:r>
              <w:rPr>
                <w:rStyle w:val="BOLD"/>
                <w:sz w:val="15"/>
                <w:szCs w:val="15"/>
              </w:rPr>
              <w:t>T</w:t>
            </w:r>
          </w:p>
        </w:tc>
        <w:tc>
          <w:tcPr>
            <w:tcW w:w="11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0" w:type="dxa"/>
            </w:tcMar>
            <w:vAlign w:val="center"/>
          </w:tcPr>
          <w:p w14:paraId="064724CB" w14:textId="77777777" w:rsidR="00EB6564" w:rsidRDefault="00EB6564">
            <w:pPr>
              <w:pStyle w:val="06cTABLETEXT"/>
            </w:pPr>
            <w:r>
              <w:rPr>
                <w:rStyle w:val="BOLD"/>
              </w:rPr>
              <w:t>Misc.</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25B3E89"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17AEFDA"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4504F31"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7FAF234"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12A81D7"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6C403DA" w14:textId="77777777" w:rsidR="00EB6564" w:rsidRDefault="00EB6564">
            <w:pPr>
              <w:pStyle w:val="06cTABLETEXT"/>
              <w:jc w:val="center"/>
            </w:pPr>
            <w:r>
              <w:rPr>
                <w:w w:val="97"/>
                <w:sz w:val="15"/>
                <w:szCs w:val="15"/>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8D48782"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C5F3A61" w14:textId="77777777" w:rsidR="00EB6564" w:rsidRDefault="00EB6564">
            <w:pPr>
              <w:pStyle w:val="06cTABLETEXT"/>
              <w:jc w:val="center"/>
            </w:pPr>
            <w:r>
              <w:rPr>
                <w:w w:val="97"/>
                <w:sz w:val="15"/>
                <w:szCs w:val="15"/>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C4F5EE6" w14:textId="77777777" w:rsidR="00EB6564" w:rsidRDefault="00EB6564">
            <w:pPr>
              <w:pStyle w:val="06cTABLETEXT"/>
              <w:jc w:val="center"/>
            </w:pPr>
            <w:r>
              <w:t>1.80</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BF87837" w14:textId="77777777" w:rsidR="00EB6564" w:rsidRDefault="00EB6564">
            <w:pPr>
              <w:pStyle w:val="06cTABLETEXT"/>
              <w:jc w:val="center"/>
            </w:pPr>
            <w:r>
              <w:rPr>
                <w:rStyle w:val="BOLD"/>
              </w:rPr>
              <w:t>1.80</w:t>
            </w:r>
          </w:p>
        </w:tc>
      </w:tr>
      <w:tr w:rsidR="00EB6564" w14:paraId="312E069A" w14:textId="77777777">
        <w:trPr>
          <w:trHeight w:val="340"/>
        </w:trPr>
        <w:tc>
          <w:tcPr>
            <w:tcW w:w="1582" w:type="dxa"/>
            <w:gridSpan w:val="2"/>
            <w:tcBorders>
              <w:top w:val="single" w:sz="4" w:space="0" w:color="FFFFFF"/>
              <w:left w:val="single" w:sz="4" w:space="0" w:color="FFFFFF"/>
              <w:bottom w:val="single" w:sz="4" w:space="0" w:color="FFFFFF"/>
              <w:right w:val="single" w:sz="4" w:space="0" w:color="FFFFFF"/>
            </w:tcBorders>
            <w:shd w:val="solid" w:color="CECECE" w:fill="auto"/>
            <w:tcMar>
              <w:top w:w="85" w:type="dxa"/>
              <w:left w:w="28" w:type="dxa"/>
              <w:bottom w:w="85" w:type="dxa"/>
              <w:right w:w="28" w:type="dxa"/>
            </w:tcMar>
            <w:vAlign w:val="center"/>
          </w:tcPr>
          <w:p w14:paraId="5671690C" w14:textId="77777777" w:rsidR="00EB6564" w:rsidRDefault="00EB6564">
            <w:pPr>
              <w:pStyle w:val="06cTABLETEXT"/>
              <w:jc w:val="center"/>
            </w:pPr>
            <w:r>
              <w:rPr>
                <w:rStyle w:val="BOLD"/>
                <w:sz w:val="15"/>
                <w:szCs w:val="15"/>
              </w:rPr>
              <w:t>State Totals (tonnes)</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7D7CAAC" w14:textId="77777777" w:rsidR="00EB6564" w:rsidRDefault="00EB6564">
            <w:pPr>
              <w:pStyle w:val="06cTABLETEXT"/>
              <w:jc w:val="center"/>
            </w:pPr>
            <w:r>
              <w:rPr>
                <w:rStyle w:val="BOLD"/>
              </w:rPr>
              <w:t>13.20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C87161C" w14:textId="77777777" w:rsidR="00EB6564" w:rsidRDefault="00EB6564">
            <w:pPr>
              <w:pStyle w:val="06cTABLETEXT"/>
              <w:jc w:val="center"/>
            </w:pPr>
            <w:r>
              <w:rPr>
                <w:rStyle w:val="BOLD"/>
              </w:rPr>
              <w:t>3892.03</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567D9AF" w14:textId="77777777" w:rsidR="00EB6564" w:rsidRDefault="00EB6564">
            <w:pPr>
              <w:pStyle w:val="06cTABLETEXT"/>
              <w:jc w:val="center"/>
            </w:pPr>
            <w:r>
              <w:rPr>
                <w:rStyle w:val="BOLD"/>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C16DA2D" w14:textId="77777777" w:rsidR="00EB6564" w:rsidRDefault="00EB6564">
            <w:pPr>
              <w:pStyle w:val="06cTABLETEXT"/>
              <w:jc w:val="center"/>
            </w:pPr>
            <w:r>
              <w:rPr>
                <w:rStyle w:val="BOLD"/>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3BCD4C0" w14:textId="77777777" w:rsidR="00EB6564" w:rsidRDefault="00EB6564">
            <w:pPr>
              <w:pStyle w:val="06cTABLETEXT"/>
              <w:jc w:val="center"/>
            </w:pPr>
            <w:r>
              <w:rPr>
                <w:rStyle w:val="BOLD"/>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E3AB2E0" w14:textId="77777777" w:rsidR="00EB6564" w:rsidRDefault="00EB6564">
            <w:pPr>
              <w:pStyle w:val="06cTABLETEXT"/>
              <w:jc w:val="center"/>
            </w:pPr>
            <w:r>
              <w:rPr>
                <w:rStyle w:val="BOLD"/>
              </w:rPr>
              <w:t>0.00</w:t>
            </w:r>
          </w:p>
        </w:tc>
        <w:tc>
          <w:tcPr>
            <w:tcW w:w="590"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CED0F24" w14:textId="77777777" w:rsidR="00EB6564" w:rsidRDefault="00EB6564">
            <w:pPr>
              <w:pStyle w:val="06cTABLETEXT"/>
              <w:jc w:val="center"/>
            </w:pPr>
            <w:r>
              <w:rPr>
                <w:rStyle w:val="BOLD"/>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D6ADB20" w14:textId="77777777" w:rsidR="00EB6564" w:rsidRDefault="00EB6564">
            <w:pPr>
              <w:pStyle w:val="06cTABLETEXT"/>
              <w:jc w:val="center"/>
            </w:pPr>
            <w:r>
              <w:rPr>
                <w:rStyle w:val="BOLD"/>
              </w:rPr>
              <w:t>0.00</w:t>
            </w:r>
          </w:p>
        </w:tc>
        <w:tc>
          <w:tcPr>
            <w:tcW w:w="589"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7654EFD" w14:textId="77777777" w:rsidR="00EB6564" w:rsidRDefault="00EB6564">
            <w:pPr>
              <w:pStyle w:val="06cTABLETEXT"/>
              <w:jc w:val="center"/>
            </w:pPr>
            <w:r>
              <w:rPr>
                <w:rStyle w:val="BOLD"/>
              </w:rPr>
              <w:t>249.25</w:t>
            </w:r>
          </w:p>
        </w:tc>
        <w:tc>
          <w:tcPr>
            <w:tcW w:w="613"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4941D1F" w14:textId="77777777" w:rsidR="00EB6564" w:rsidRDefault="00EB6564">
            <w:pPr>
              <w:pStyle w:val="06cTABLETEXT"/>
              <w:jc w:val="center"/>
            </w:pPr>
            <w:r>
              <w:rPr>
                <w:rStyle w:val="BOLD"/>
              </w:rPr>
              <w:t>4154.48</w:t>
            </w:r>
          </w:p>
        </w:tc>
      </w:tr>
    </w:tbl>
    <w:p w14:paraId="4DC021B4" w14:textId="77777777" w:rsidR="00EB6564" w:rsidRDefault="00EB6564" w:rsidP="00EB6564">
      <w:pPr>
        <w:pStyle w:val="05BODYTEXT"/>
      </w:pPr>
    </w:p>
    <w:p w14:paraId="65DF700D" w14:textId="77777777" w:rsidR="00EB6564" w:rsidRDefault="00EB6564" w:rsidP="00EB6564">
      <w:pPr>
        <w:pStyle w:val="06TABLEHEADING"/>
      </w:pPr>
      <w:r>
        <w:t>Table 3: Discrepancies in movements of controlled waste into Tasmania for the period 1 July 2018 to 30 June 2019—percentage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426"/>
        <w:gridCol w:w="640"/>
        <w:gridCol w:w="640"/>
        <w:gridCol w:w="639"/>
        <w:gridCol w:w="640"/>
        <w:gridCol w:w="639"/>
        <w:gridCol w:w="640"/>
        <w:gridCol w:w="639"/>
        <w:gridCol w:w="640"/>
        <w:gridCol w:w="874"/>
      </w:tblGrid>
      <w:tr w:rsidR="00EB6564" w14:paraId="2E1F66B0" w14:textId="77777777">
        <w:trPr>
          <w:trHeight w:val="60"/>
          <w:tblHeader/>
        </w:trPr>
        <w:tc>
          <w:tcPr>
            <w:tcW w:w="1426"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7DA8E8B" w14:textId="77777777" w:rsidR="00EB6564" w:rsidRDefault="00EB6564">
            <w:pPr>
              <w:pStyle w:val="06bTABLEHEADERROW"/>
            </w:pPr>
            <w:r>
              <w:t>Discrepancy Type</w:t>
            </w:r>
          </w:p>
        </w:tc>
        <w:tc>
          <w:tcPr>
            <w:tcW w:w="64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69B52F3" w14:textId="77777777" w:rsidR="00EB6564" w:rsidRDefault="00EB6564">
            <w:pPr>
              <w:pStyle w:val="06bTABLEHEADERROW"/>
              <w:jc w:val="center"/>
            </w:pPr>
            <w:r>
              <w:t>NSW</w:t>
            </w:r>
          </w:p>
        </w:tc>
        <w:tc>
          <w:tcPr>
            <w:tcW w:w="64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FC9EFB2" w14:textId="77777777" w:rsidR="00EB6564" w:rsidRDefault="00EB6564">
            <w:pPr>
              <w:pStyle w:val="06bTABLEHEADERROW"/>
              <w:jc w:val="center"/>
            </w:pPr>
            <w:r>
              <w:t>Vic</w:t>
            </w:r>
          </w:p>
        </w:tc>
        <w:tc>
          <w:tcPr>
            <w:tcW w:w="63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0FD5B13" w14:textId="77777777" w:rsidR="00EB6564" w:rsidRDefault="00EB6564">
            <w:pPr>
              <w:pStyle w:val="06bTABLEHEADERROW"/>
              <w:jc w:val="center"/>
            </w:pPr>
            <w:r>
              <w:t>Qld</w:t>
            </w:r>
          </w:p>
        </w:tc>
        <w:tc>
          <w:tcPr>
            <w:tcW w:w="64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29BD8D2" w14:textId="77777777" w:rsidR="00EB6564" w:rsidRDefault="00EB6564">
            <w:pPr>
              <w:pStyle w:val="06bTABLEHEADERROW"/>
              <w:jc w:val="center"/>
            </w:pPr>
            <w:r>
              <w:t>WA</w:t>
            </w:r>
          </w:p>
        </w:tc>
        <w:tc>
          <w:tcPr>
            <w:tcW w:w="63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FD9BFEF" w14:textId="77777777" w:rsidR="00EB6564" w:rsidRDefault="00EB6564">
            <w:pPr>
              <w:pStyle w:val="06bTABLEHEADERROW"/>
              <w:jc w:val="center"/>
            </w:pPr>
            <w:r>
              <w:t>SA</w:t>
            </w:r>
          </w:p>
        </w:tc>
        <w:tc>
          <w:tcPr>
            <w:tcW w:w="64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FA53740" w14:textId="77777777" w:rsidR="00EB6564" w:rsidRDefault="00EB6564">
            <w:pPr>
              <w:pStyle w:val="06bTABLEHEADERROW"/>
              <w:jc w:val="center"/>
            </w:pPr>
            <w:r>
              <w:t>Tas</w:t>
            </w:r>
          </w:p>
        </w:tc>
        <w:tc>
          <w:tcPr>
            <w:tcW w:w="63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0455CCE" w14:textId="77777777" w:rsidR="00EB6564" w:rsidRDefault="00EB6564">
            <w:pPr>
              <w:pStyle w:val="06bTABLEHEADERROW"/>
              <w:jc w:val="center"/>
            </w:pPr>
            <w:r>
              <w:t>ACT</w:t>
            </w:r>
          </w:p>
        </w:tc>
        <w:tc>
          <w:tcPr>
            <w:tcW w:w="64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0061A6A" w14:textId="77777777" w:rsidR="00EB6564" w:rsidRDefault="00EB6564">
            <w:pPr>
              <w:pStyle w:val="06bTABLEHEADERROW"/>
              <w:jc w:val="center"/>
            </w:pPr>
            <w:r>
              <w:t>NT</w:t>
            </w:r>
          </w:p>
        </w:tc>
        <w:tc>
          <w:tcPr>
            <w:tcW w:w="87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530043C" w14:textId="77777777" w:rsidR="00EB6564" w:rsidRDefault="00EB6564">
            <w:pPr>
              <w:pStyle w:val="06bTABLEHEADERROW"/>
              <w:jc w:val="center"/>
            </w:pPr>
            <w:r>
              <w:t>Ext Terr *</w:t>
            </w:r>
          </w:p>
        </w:tc>
      </w:tr>
      <w:tr w:rsidR="00EB6564" w14:paraId="12ED452F" w14:textId="77777777">
        <w:trPr>
          <w:trHeight w:val="60"/>
        </w:trPr>
        <w:tc>
          <w:tcPr>
            <w:tcW w:w="142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5B32F34" w14:textId="77777777" w:rsidR="00EB6564" w:rsidRDefault="00EB6564">
            <w:pPr>
              <w:pStyle w:val="06cTABLETEXT"/>
            </w:pPr>
            <w:r>
              <w:rPr>
                <w:rStyle w:val="BOLD"/>
              </w:rPr>
              <w:t>Consignment non-arrival</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6269962"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D726FB" w14:textId="77777777" w:rsidR="00EB6564" w:rsidRDefault="00EB6564">
            <w:pPr>
              <w:pStyle w:val="06cTABLETEXT"/>
              <w:jc w:val="center"/>
            </w:pPr>
            <w:r>
              <w:t>0%</w:t>
            </w:r>
          </w:p>
        </w:tc>
        <w:tc>
          <w:tcPr>
            <w:tcW w:w="6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5FF57FB"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FDF0821" w14:textId="77777777" w:rsidR="00EB6564" w:rsidRDefault="00EB6564">
            <w:pPr>
              <w:pStyle w:val="06cTABLETEXT"/>
              <w:jc w:val="center"/>
            </w:pPr>
            <w:r>
              <w:t>0</w:t>
            </w:r>
          </w:p>
        </w:tc>
        <w:tc>
          <w:tcPr>
            <w:tcW w:w="6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A47D2EC"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073882C" w14:textId="77777777" w:rsidR="00EB6564" w:rsidRDefault="00EB6564">
            <w:pPr>
              <w:pStyle w:val="06cTABLETEXT"/>
              <w:jc w:val="center"/>
            </w:pPr>
            <w:r>
              <w:t>N/A</w:t>
            </w:r>
          </w:p>
        </w:tc>
        <w:tc>
          <w:tcPr>
            <w:tcW w:w="6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3BAAB2"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B1036AB" w14:textId="77777777" w:rsidR="00EB6564" w:rsidRDefault="00EB6564">
            <w:pPr>
              <w:pStyle w:val="06cTABLETEXT"/>
              <w:jc w:val="center"/>
            </w:pPr>
            <w:r>
              <w:t>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80E2D51" w14:textId="77777777" w:rsidR="00EB6564" w:rsidRDefault="00EB6564">
            <w:pPr>
              <w:pStyle w:val="06cTABLETEXT"/>
              <w:jc w:val="center"/>
            </w:pPr>
            <w:r>
              <w:t>0%</w:t>
            </w:r>
          </w:p>
        </w:tc>
      </w:tr>
      <w:tr w:rsidR="00EB6564" w14:paraId="2538ADFB" w14:textId="77777777">
        <w:trPr>
          <w:trHeight w:val="60"/>
        </w:trPr>
        <w:tc>
          <w:tcPr>
            <w:tcW w:w="142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83DDDD" w14:textId="77777777" w:rsidR="00EB6564" w:rsidRDefault="00EB6564">
            <w:pPr>
              <w:pStyle w:val="06cTABLETEXT"/>
            </w:pPr>
            <w:r>
              <w:rPr>
                <w:rStyle w:val="BOLD"/>
              </w:rPr>
              <w:t>Transport without authorisation</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E32D31"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A499CB2" w14:textId="77777777" w:rsidR="00EB6564" w:rsidRDefault="00EB6564">
            <w:pPr>
              <w:pStyle w:val="06cTABLETEXT"/>
              <w:jc w:val="center"/>
            </w:pPr>
            <w:r>
              <w:t>0%</w:t>
            </w:r>
          </w:p>
        </w:tc>
        <w:tc>
          <w:tcPr>
            <w:tcW w:w="6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50D4814"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932B5E" w14:textId="77777777" w:rsidR="00EB6564" w:rsidRDefault="00EB6564">
            <w:pPr>
              <w:pStyle w:val="06cTABLETEXT"/>
              <w:jc w:val="center"/>
            </w:pPr>
            <w:r>
              <w:t>0%</w:t>
            </w:r>
          </w:p>
        </w:tc>
        <w:tc>
          <w:tcPr>
            <w:tcW w:w="6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F3719E"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5A8447" w14:textId="77777777" w:rsidR="00EB6564" w:rsidRDefault="00EB6564">
            <w:pPr>
              <w:pStyle w:val="06cTABLETEXT"/>
              <w:jc w:val="center"/>
            </w:pPr>
            <w:r>
              <w:t>N/A</w:t>
            </w:r>
          </w:p>
        </w:tc>
        <w:tc>
          <w:tcPr>
            <w:tcW w:w="6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917562"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50DF0E" w14:textId="77777777" w:rsidR="00EB6564" w:rsidRDefault="00EB6564">
            <w:pPr>
              <w:pStyle w:val="06cTABLETEXT"/>
              <w:jc w:val="center"/>
            </w:pPr>
            <w:r>
              <w:t>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8A0D9B" w14:textId="77777777" w:rsidR="00EB6564" w:rsidRDefault="00EB6564">
            <w:pPr>
              <w:pStyle w:val="06cTABLETEXT"/>
              <w:jc w:val="center"/>
            </w:pPr>
            <w:r>
              <w:t>0%</w:t>
            </w:r>
          </w:p>
        </w:tc>
      </w:tr>
      <w:tr w:rsidR="00EB6564" w14:paraId="73CE36C0" w14:textId="77777777">
        <w:trPr>
          <w:trHeight w:val="60"/>
        </w:trPr>
        <w:tc>
          <w:tcPr>
            <w:tcW w:w="142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A773248" w14:textId="77777777" w:rsidR="00EB6564" w:rsidRDefault="00EB6564">
            <w:pPr>
              <w:pStyle w:val="06cTABLETEXT"/>
            </w:pPr>
            <w:r>
              <w:rPr>
                <w:rStyle w:val="BOLD"/>
              </w:rPr>
              <w:t>Non-matching documentation</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9D09B32"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DE98FD" w14:textId="77777777" w:rsidR="00EB6564" w:rsidRDefault="00EB6564">
            <w:pPr>
              <w:pStyle w:val="06cTABLETEXT"/>
              <w:jc w:val="center"/>
            </w:pPr>
            <w:r>
              <w:t>0%</w:t>
            </w:r>
          </w:p>
        </w:tc>
        <w:tc>
          <w:tcPr>
            <w:tcW w:w="6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A01B38"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941102D" w14:textId="77777777" w:rsidR="00EB6564" w:rsidRDefault="00EB6564">
            <w:pPr>
              <w:pStyle w:val="06cTABLETEXT"/>
              <w:jc w:val="center"/>
            </w:pPr>
            <w:r>
              <w:t>0%</w:t>
            </w:r>
          </w:p>
        </w:tc>
        <w:tc>
          <w:tcPr>
            <w:tcW w:w="6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0169093"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CB5258E" w14:textId="77777777" w:rsidR="00EB6564" w:rsidRDefault="00EB6564">
            <w:pPr>
              <w:pStyle w:val="06cTABLETEXT"/>
              <w:jc w:val="center"/>
            </w:pPr>
            <w:r>
              <w:t>N/A</w:t>
            </w:r>
          </w:p>
        </w:tc>
        <w:tc>
          <w:tcPr>
            <w:tcW w:w="6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C6E7D5F"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5CC759C" w14:textId="77777777" w:rsidR="00EB6564" w:rsidRDefault="00EB6564">
            <w:pPr>
              <w:pStyle w:val="06cTABLETEXT"/>
              <w:jc w:val="center"/>
            </w:pPr>
            <w:r>
              <w:t>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FC8C22F" w14:textId="77777777" w:rsidR="00EB6564" w:rsidRDefault="00EB6564">
            <w:pPr>
              <w:pStyle w:val="06cTABLETEXT"/>
              <w:jc w:val="center"/>
            </w:pPr>
            <w:r>
              <w:t>0%</w:t>
            </w:r>
          </w:p>
        </w:tc>
      </w:tr>
      <w:tr w:rsidR="00EB6564" w14:paraId="408F776F" w14:textId="77777777">
        <w:trPr>
          <w:trHeight w:val="60"/>
        </w:trPr>
        <w:tc>
          <w:tcPr>
            <w:tcW w:w="1426"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174E00" w14:textId="77777777" w:rsidR="00EB6564" w:rsidRDefault="00EB6564">
            <w:pPr>
              <w:pStyle w:val="06cTABLETEXT"/>
            </w:pPr>
            <w:r>
              <w:rPr>
                <w:rStyle w:val="BOLD"/>
              </w:rPr>
              <w:t>Waste data</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181F5B"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77B93B" w14:textId="77777777" w:rsidR="00EB6564" w:rsidRDefault="00EB6564">
            <w:pPr>
              <w:pStyle w:val="06cTABLETEXT"/>
              <w:jc w:val="center"/>
            </w:pPr>
            <w:r>
              <w:t>0%</w:t>
            </w:r>
          </w:p>
        </w:tc>
        <w:tc>
          <w:tcPr>
            <w:tcW w:w="6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09D7BC"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EA63630" w14:textId="77777777" w:rsidR="00EB6564" w:rsidRDefault="00EB6564">
            <w:pPr>
              <w:pStyle w:val="06cTABLETEXT"/>
              <w:jc w:val="center"/>
            </w:pPr>
            <w:r>
              <w:t>0%</w:t>
            </w:r>
          </w:p>
        </w:tc>
        <w:tc>
          <w:tcPr>
            <w:tcW w:w="6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79C90C"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22A3B4" w14:textId="77777777" w:rsidR="00EB6564" w:rsidRDefault="00EB6564">
            <w:pPr>
              <w:pStyle w:val="06cTABLETEXT"/>
              <w:jc w:val="center"/>
            </w:pPr>
            <w:r>
              <w:t>N/A</w:t>
            </w:r>
          </w:p>
        </w:tc>
        <w:tc>
          <w:tcPr>
            <w:tcW w:w="63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BEF2222" w14:textId="77777777" w:rsidR="00EB6564" w:rsidRDefault="00EB6564">
            <w:pPr>
              <w:pStyle w:val="06cTABLETEXT"/>
              <w:jc w:val="center"/>
            </w:pPr>
            <w:r>
              <w:t>0%</w:t>
            </w:r>
          </w:p>
        </w:tc>
        <w:tc>
          <w:tcPr>
            <w:tcW w:w="64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FFD41DB" w14:textId="77777777" w:rsidR="00EB6564" w:rsidRDefault="00EB6564">
            <w:pPr>
              <w:pStyle w:val="06cTABLETEXT"/>
              <w:jc w:val="center"/>
            </w:pPr>
            <w:r>
              <w:t>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1D41753" w14:textId="77777777" w:rsidR="00EB6564" w:rsidRDefault="00EB6564">
            <w:pPr>
              <w:pStyle w:val="06cTABLETEXT"/>
              <w:jc w:val="center"/>
            </w:pPr>
            <w:r>
              <w:t>0%</w:t>
            </w:r>
          </w:p>
        </w:tc>
      </w:tr>
    </w:tbl>
    <w:p w14:paraId="5AE5C494" w14:textId="77777777" w:rsidR="00EB6564" w:rsidRDefault="00EB6564" w:rsidP="00EB6564">
      <w:pPr>
        <w:pStyle w:val="05BODYTEXT"/>
      </w:pPr>
    </w:p>
    <w:p w14:paraId="3BB337C9" w14:textId="77777777" w:rsidR="00EB6564" w:rsidRDefault="00EB6564" w:rsidP="00EB6564">
      <w:pPr>
        <w:pStyle w:val="06TABLEHEADING"/>
      </w:pPr>
      <w:r>
        <w:lastRenderedPageBreak/>
        <w:t xml:space="preserve"> Table 4: Number of movements of controlled waste into Tasmania for the period 1 July 2018 to 30 June 2019</w:t>
      </w:r>
    </w:p>
    <w:tbl>
      <w:tblPr>
        <w:tblW w:w="0" w:type="auto"/>
        <w:tblInd w:w="-5" w:type="dxa"/>
        <w:tblLayout w:type="fixed"/>
        <w:tblCellMar>
          <w:left w:w="0" w:type="dxa"/>
          <w:right w:w="0" w:type="dxa"/>
        </w:tblCellMar>
        <w:tblLook w:val="0000" w:firstRow="0" w:lastRow="0" w:firstColumn="0" w:lastColumn="0" w:noHBand="0" w:noVBand="0"/>
      </w:tblPr>
      <w:tblGrid>
        <w:gridCol w:w="794"/>
        <w:gridCol w:w="794"/>
        <w:gridCol w:w="794"/>
        <w:gridCol w:w="794"/>
        <w:gridCol w:w="794"/>
        <w:gridCol w:w="794"/>
        <w:gridCol w:w="794"/>
        <w:gridCol w:w="794"/>
        <w:gridCol w:w="1077"/>
      </w:tblGrid>
      <w:tr w:rsidR="00EB6564" w14:paraId="6328FA77" w14:textId="77777777">
        <w:trPr>
          <w:trHeight w:val="60"/>
          <w:tblHeader/>
        </w:trPr>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56FE193" w14:textId="77777777" w:rsidR="00EB6564" w:rsidRDefault="00EB6564">
            <w:pPr>
              <w:pStyle w:val="06bTABLEHEADERROW"/>
              <w:jc w:val="center"/>
            </w:pPr>
            <w:r>
              <w:t>NSW</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02DB027" w14:textId="77777777" w:rsidR="00EB6564" w:rsidRDefault="00EB6564">
            <w:pPr>
              <w:pStyle w:val="06bTABLEHEADERROW"/>
              <w:jc w:val="center"/>
            </w:pPr>
            <w:r>
              <w:t>Vic</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3CB8349" w14:textId="77777777" w:rsidR="00EB6564" w:rsidRDefault="00EB6564">
            <w:pPr>
              <w:pStyle w:val="06bTABLEHEADERROW"/>
              <w:jc w:val="center"/>
            </w:pPr>
            <w:r>
              <w:t>Qld</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1786D6B" w14:textId="77777777" w:rsidR="00EB6564" w:rsidRDefault="00EB6564">
            <w:pPr>
              <w:pStyle w:val="06bTABLEHEADERROW"/>
              <w:jc w:val="center"/>
            </w:pPr>
            <w:r>
              <w:t>WA</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40AA346" w14:textId="77777777" w:rsidR="00EB6564" w:rsidRDefault="00EB6564">
            <w:pPr>
              <w:pStyle w:val="06bTABLEHEADERROW"/>
              <w:jc w:val="center"/>
            </w:pPr>
            <w:r>
              <w:t>SA</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7268295" w14:textId="77777777" w:rsidR="00EB6564" w:rsidRDefault="00EB6564">
            <w:pPr>
              <w:pStyle w:val="06bTABLEHEADERROW"/>
              <w:jc w:val="center"/>
            </w:pPr>
            <w:r>
              <w:t>Tas</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B6C52EA" w14:textId="77777777" w:rsidR="00EB6564" w:rsidRDefault="00EB6564">
            <w:pPr>
              <w:pStyle w:val="06bTABLEHEADERROW"/>
              <w:jc w:val="center"/>
            </w:pPr>
            <w:r>
              <w:t>ACT</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5B5AB1B" w14:textId="77777777" w:rsidR="00EB6564" w:rsidRDefault="00EB6564">
            <w:pPr>
              <w:pStyle w:val="06bTABLEHEADERROW"/>
              <w:jc w:val="center"/>
            </w:pPr>
            <w:r>
              <w:t>NT</w:t>
            </w:r>
          </w:p>
        </w:tc>
        <w:tc>
          <w:tcPr>
            <w:tcW w:w="10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5720B50" w14:textId="77777777" w:rsidR="00EB6564" w:rsidRDefault="00EB6564">
            <w:pPr>
              <w:pStyle w:val="06bTABLEHEADERROW"/>
              <w:jc w:val="center"/>
            </w:pPr>
            <w:r>
              <w:t>Ext Terr*</w:t>
            </w:r>
          </w:p>
        </w:tc>
      </w:tr>
      <w:tr w:rsidR="00EB6564" w14:paraId="34B8A552" w14:textId="77777777">
        <w:trPr>
          <w:trHeight w:val="60"/>
        </w:trPr>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1D917B" w14:textId="77777777" w:rsidR="00EB6564" w:rsidRDefault="00EB6564">
            <w:pPr>
              <w:pStyle w:val="06cTABLETEXT"/>
              <w:jc w:val="center"/>
            </w:pPr>
            <w:r>
              <w:t>1</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62E4E4" w14:textId="77777777" w:rsidR="00EB6564" w:rsidRDefault="00EB6564">
            <w:pPr>
              <w:pStyle w:val="06cTABLETEXT"/>
              <w:jc w:val="center"/>
            </w:pPr>
            <w:r>
              <w:t>223</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7F3C411"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DB56D5B"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4312A34"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2CE754"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B36493"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32613D2" w14:textId="77777777" w:rsidR="00EB6564" w:rsidRDefault="00EB6564">
            <w:pPr>
              <w:pStyle w:val="06cTABLETEXT"/>
              <w:jc w:val="center"/>
            </w:pPr>
            <w:r>
              <w:t>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6D356E0" w14:textId="77777777" w:rsidR="00EB6564" w:rsidRDefault="00EB6564">
            <w:pPr>
              <w:pStyle w:val="06cTABLETEXT"/>
              <w:jc w:val="center"/>
            </w:pPr>
            <w:r>
              <w:t>26</w:t>
            </w:r>
          </w:p>
        </w:tc>
      </w:tr>
    </w:tbl>
    <w:p w14:paraId="7C7A81BD" w14:textId="77777777" w:rsidR="00EB6564" w:rsidRPr="009408AB" w:rsidRDefault="00EB6564" w:rsidP="00CB0DA6">
      <w:pPr>
        <w:pStyle w:val="Heading2"/>
      </w:pPr>
      <w:bookmarkStart w:id="62" w:name="_Toc58254416"/>
      <w:r w:rsidRPr="009408AB">
        <w:t>Australian Capital Territory</w:t>
      </w:r>
      <w:bookmarkEnd w:id="62"/>
    </w:p>
    <w:p w14:paraId="02D03722" w14:textId="77777777" w:rsidR="00EB6564" w:rsidRDefault="00EB6564" w:rsidP="00EB6564">
      <w:pPr>
        <w:pStyle w:val="05BODYTEXT"/>
        <w:rPr>
          <w:rStyle w:val="ITALIC"/>
        </w:rPr>
      </w:pPr>
      <w:r>
        <w:rPr>
          <w:rStyle w:val="ITALIC"/>
        </w:rPr>
        <w:t>Report to the NEPC on the implementation of the National Environment Protection (Movement of Controlled Waste between States and Territories) Measure for ACT by Environment Protection Authority for the reporting year ended 30 June 2019.</w:t>
      </w:r>
    </w:p>
    <w:p w14:paraId="08DFD66B" w14:textId="77777777" w:rsidR="00EB6564" w:rsidRDefault="00EB6564" w:rsidP="00EB6564">
      <w:pPr>
        <w:pStyle w:val="02HEADING2"/>
      </w:pPr>
      <w:r>
        <w:t>Part 1—Implementation of the NEPM and any significant issues</w:t>
      </w:r>
    </w:p>
    <w:p w14:paraId="0E3169CB" w14:textId="77777777" w:rsidR="00EB6564" w:rsidRDefault="00EB6564" w:rsidP="00EB6564">
      <w:pPr>
        <w:pStyle w:val="05BODYTEXT"/>
      </w:pPr>
      <w:r>
        <w:t>Access Canberra, within the Chief Minister, Treasury and Economic Development Directorate, is responsible for the implementation and administration of the National Environment Protection (Movement of Controlled Waste between States and Territories) Measure (the NEPM).</w:t>
      </w:r>
    </w:p>
    <w:p w14:paraId="18B44D95" w14:textId="77777777" w:rsidR="00EB6564" w:rsidRDefault="00EB6564" w:rsidP="00EB6564">
      <w:pPr>
        <w:pStyle w:val="05BODYTEXT"/>
      </w:pPr>
      <w:r>
        <w:t>The Environment Planning and Sustainable Development Directorate is responsible for the development of legislation and policy to ensure the NEPM is appropriately implemented in the Australian Capital Territory (ACT).</w:t>
      </w:r>
    </w:p>
    <w:p w14:paraId="5811043D" w14:textId="77777777" w:rsidR="00EB6564" w:rsidRDefault="00EB6564" w:rsidP="00EB6564">
      <w:pPr>
        <w:pStyle w:val="05BODYTEXT"/>
      </w:pPr>
      <w:r>
        <w:t xml:space="preserve">The provisions of the NEPM are implemented through the </w:t>
      </w:r>
      <w:r>
        <w:rPr>
          <w:rStyle w:val="ITALIC"/>
        </w:rPr>
        <w:t>Environment Protection Act 1997</w:t>
      </w:r>
      <w:r>
        <w:t xml:space="preserve"> and </w:t>
      </w:r>
      <w:r>
        <w:rPr>
          <w:rStyle w:val="ITALIC"/>
        </w:rPr>
        <w:t>Environment Protection Regulation 2005</w:t>
      </w:r>
      <w:r>
        <w:t>.</w:t>
      </w:r>
    </w:p>
    <w:p w14:paraId="1FDC75B6" w14:textId="77777777" w:rsidR="00EB6564" w:rsidRDefault="00EB6564" w:rsidP="00EB6564">
      <w:pPr>
        <w:pStyle w:val="05BODYTEXT"/>
      </w:pPr>
      <w:r>
        <w:t xml:space="preserve">The NEPM has been fully implemented and operational in the ACT since March 2000 with no major issues identified with its operation. </w:t>
      </w:r>
    </w:p>
    <w:p w14:paraId="679C854E" w14:textId="77777777" w:rsidR="00EB6564" w:rsidRDefault="00EB6564" w:rsidP="00EB6564">
      <w:pPr>
        <w:pStyle w:val="05BODYTEXT"/>
      </w:pPr>
      <w:r>
        <w:t>NEPM information sheets (which include an explanation of producer, transporter and waste facility responsibilities and instructions on how to complete a waste transport certificate) have been produced by the ACT Government to assist stakeholders in meeting their statutory obligations.</w:t>
      </w:r>
    </w:p>
    <w:p w14:paraId="7AB2F865" w14:textId="77777777" w:rsidR="00EB6564" w:rsidRDefault="00EB6564" w:rsidP="00EB6564">
      <w:pPr>
        <w:pStyle w:val="05BODYTEXT"/>
      </w:pPr>
      <w:r>
        <w:t>All parties bound by the NEPM have complied with the NEPM’s protocols and information reporting requirements. Regular contact has been maintained with other jurisdictions to ensure cooperative administration of the NEPM.</w:t>
      </w:r>
    </w:p>
    <w:p w14:paraId="3EF02C95" w14:textId="77777777" w:rsidR="00EB6564" w:rsidRDefault="00EB6564" w:rsidP="00EB6564">
      <w:pPr>
        <w:pStyle w:val="05BODYTEXT"/>
      </w:pPr>
      <w:r>
        <w:t>Movements have continued into the ACT from most jurisdictions for the treatment of polychlorinated biphenyl free contaminated oil by Ampcontrol Services (NSW) Pty Ltd and from the surrounding New South Wales regions for the treatment of clinical waste by Daniels Health Services Pty Ltd.</w:t>
      </w:r>
    </w:p>
    <w:p w14:paraId="1EEB2D91" w14:textId="77777777" w:rsidR="00EB6564" w:rsidRDefault="00EB6564" w:rsidP="00EB6564">
      <w:pPr>
        <w:pStyle w:val="02HEADING2"/>
      </w:pPr>
      <w:r>
        <w:t>Part 2—Assessment of NEPM effectiveness</w:t>
      </w:r>
    </w:p>
    <w:p w14:paraId="3F3FDA8F" w14:textId="77777777" w:rsidR="00EB6564" w:rsidRDefault="00EB6564" w:rsidP="00EB6564">
      <w:pPr>
        <w:pStyle w:val="06TABLEHEADING"/>
      </w:pPr>
      <w:r>
        <w:t>Table 1: Number of consignment authorisations issued by the Australian Capital Territory</w:t>
      </w:r>
    </w:p>
    <w:tbl>
      <w:tblPr>
        <w:tblW w:w="0" w:type="auto"/>
        <w:tblInd w:w="-5" w:type="dxa"/>
        <w:tblLayout w:type="fixed"/>
        <w:tblCellMar>
          <w:left w:w="0" w:type="dxa"/>
          <w:right w:w="0" w:type="dxa"/>
        </w:tblCellMar>
        <w:tblLook w:val="0000" w:firstRow="0" w:lastRow="0" w:firstColumn="0" w:lastColumn="0" w:noHBand="0" w:noVBand="0"/>
      </w:tblPr>
      <w:tblGrid>
        <w:gridCol w:w="3720"/>
        <w:gridCol w:w="3720"/>
      </w:tblGrid>
      <w:tr w:rsidR="00EB6564" w14:paraId="355CBBE1" w14:textId="77777777">
        <w:trPr>
          <w:trHeight w:val="60"/>
          <w:tblHeader/>
        </w:trPr>
        <w:tc>
          <w:tcPr>
            <w:tcW w:w="372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FB07359" w14:textId="77777777" w:rsidR="00EB6564" w:rsidRDefault="00EB6564">
            <w:pPr>
              <w:pStyle w:val="06bTABLEHEADERROW"/>
              <w:jc w:val="center"/>
            </w:pPr>
            <w:r>
              <w:t>Reporting Year</w:t>
            </w:r>
          </w:p>
        </w:tc>
        <w:tc>
          <w:tcPr>
            <w:tcW w:w="3720"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F45D72C" w14:textId="77777777" w:rsidR="00EB6564" w:rsidRDefault="00EB6564">
            <w:pPr>
              <w:pStyle w:val="06bTABLEHEADERROW"/>
              <w:jc w:val="center"/>
            </w:pPr>
            <w:r>
              <w:t xml:space="preserve">Consignment authorisations issued </w:t>
            </w:r>
          </w:p>
        </w:tc>
      </w:tr>
      <w:tr w:rsidR="00EB6564" w14:paraId="2A64FCF3" w14:textId="77777777">
        <w:trPr>
          <w:trHeight w:val="60"/>
        </w:trPr>
        <w:tc>
          <w:tcPr>
            <w:tcW w:w="372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1A07B2F" w14:textId="77777777" w:rsidR="00EB6564" w:rsidRDefault="00EB6564">
            <w:pPr>
              <w:pStyle w:val="06cTABLETEXT"/>
              <w:jc w:val="center"/>
            </w:pPr>
            <w:r>
              <w:t>2017–18</w:t>
            </w:r>
          </w:p>
        </w:tc>
        <w:tc>
          <w:tcPr>
            <w:tcW w:w="372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4A288C0" w14:textId="77777777" w:rsidR="00EB6564" w:rsidRDefault="00EB6564">
            <w:pPr>
              <w:pStyle w:val="06cTABLETEXT"/>
              <w:jc w:val="center"/>
            </w:pPr>
            <w:r>
              <w:t>49</w:t>
            </w:r>
          </w:p>
        </w:tc>
      </w:tr>
      <w:tr w:rsidR="00EB6564" w14:paraId="1934DCD6" w14:textId="77777777">
        <w:trPr>
          <w:trHeight w:val="60"/>
        </w:trPr>
        <w:tc>
          <w:tcPr>
            <w:tcW w:w="372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F48CFE3" w14:textId="77777777" w:rsidR="00EB6564" w:rsidRDefault="00EB6564">
            <w:pPr>
              <w:pStyle w:val="06cTABLETEXT"/>
              <w:jc w:val="center"/>
            </w:pPr>
            <w:r>
              <w:t>2018–19</w:t>
            </w:r>
          </w:p>
        </w:tc>
        <w:tc>
          <w:tcPr>
            <w:tcW w:w="3720"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75C40F6" w14:textId="77777777" w:rsidR="00EB6564" w:rsidRDefault="00EB6564">
            <w:pPr>
              <w:pStyle w:val="06cTABLETEXT"/>
              <w:jc w:val="center"/>
            </w:pPr>
            <w:r>
              <w:t>57</w:t>
            </w:r>
          </w:p>
        </w:tc>
      </w:tr>
    </w:tbl>
    <w:p w14:paraId="1C08AB73" w14:textId="77777777" w:rsidR="00EB6564" w:rsidRDefault="00EB6564" w:rsidP="00EB6564">
      <w:pPr>
        <w:pStyle w:val="05BODYTEXT"/>
      </w:pPr>
    </w:p>
    <w:p w14:paraId="69183042" w14:textId="77777777" w:rsidR="00EB6564" w:rsidRDefault="00EB6564" w:rsidP="00EB6564">
      <w:pPr>
        <w:pStyle w:val="06TABLEHEADING"/>
      </w:pPr>
      <w:r>
        <w:t>Table 2: Quantity of controlled waste into the Australian Capital Territory for the period 1 July 2018 to 30 June 2019—Tonnes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05"/>
        <w:gridCol w:w="1179"/>
        <w:gridCol w:w="567"/>
        <w:gridCol w:w="567"/>
        <w:gridCol w:w="567"/>
        <w:gridCol w:w="567"/>
        <w:gridCol w:w="567"/>
        <w:gridCol w:w="566"/>
        <w:gridCol w:w="567"/>
        <w:gridCol w:w="567"/>
        <w:gridCol w:w="567"/>
        <w:gridCol w:w="708"/>
      </w:tblGrid>
      <w:tr w:rsidR="00EB6564" w14:paraId="4A3BC30F" w14:textId="77777777">
        <w:trPr>
          <w:trHeight w:val="340"/>
          <w:tblHeader/>
        </w:trPr>
        <w:tc>
          <w:tcPr>
            <w:tcW w:w="505"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60005214" w14:textId="77777777" w:rsidR="00EB6564" w:rsidRDefault="00EB6564">
            <w:pPr>
              <w:pStyle w:val="06bTABLEHEADERROW"/>
              <w:jc w:val="center"/>
            </w:pPr>
            <w:r>
              <w:t>Code</w:t>
            </w:r>
          </w:p>
        </w:tc>
        <w:tc>
          <w:tcPr>
            <w:tcW w:w="1179"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0759BE02" w14:textId="77777777" w:rsidR="00EB6564" w:rsidRDefault="00EB6564">
            <w:pPr>
              <w:pStyle w:val="06bTABLEHEADERROW"/>
              <w:jc w:val="center"/>
            </w:pPr>
            <w:r>
              <w:t>Description</w:t>
            </w:r>
          </w:p>
        </w:tc>
        <w:tc>
          <w:tcPr>
            <w:tcW w:w="567"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18DB060E" w14:textId="77777777" w:rsidR="00EB6564" w:rsidRDefault="00EB6564">
            <w:pPr>
              <w:pStyle w:val="06bTABLEHEADERROW"/>
              <w:jc w:val="center"/>
            </w:pPr>
            <w:r>
              <w:t>NSW</w:t>
            </w:r>
          </w:p>
        </w:tc>
        <w:tc>
          <w:tcPr>
            <w:tcW w:w="567"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25840AD3" w14:textId="77777777" w:rsidR="00EB6564" w:rsidRDefault="00EB6564">
            <w:pPr>
              <w:pStyle w:val="06bTABLEHEADERROW"/>
              <w:jc w:val="center"/>
            </w:pPr>
            <w:r>
              <w:t>Vic</w:t>
            </w:r>
          </w:p>
        </w:tc>
        <w:tc>
          <w:tcPr>
            <w:tcW w:w="567"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559FFBEB" w14:textId="77777777" w:rsidR="00EB6564" w:rsidRDefault="00EB6564">
            <w:pPr>
              <w:pStyle w:val="06bTABLEHEADERROW"/>
              <w:jc w:val="center"/>
            </w:pPr>
            <w:r>
              <w:t>Qld</w:t>
            </w:r>
          </w:p>
        </w:tc>
        <w:tc>
          <w:tcPr>
            <w:tcW w:w="567"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75905A35" w14:textId="77777777" w:rsidR="00EB6564" w:rsidRDefault="00EB6564">
            <w:pPr>
              <w:pStyle w:val="06bTABLEHEADERROW"/>
              <w:jc w:val="center"/>
            </w:pPr>
            <w:r>
              <w:t>WA</w:t>
            </w:r>
          </w:p>
        </w:tc>
        <w:tc>
          <w:tcPr>
            <w:tcW w:w="567"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3DE19C6A" w14:textId="77777777" w:rsidR="00EB6564" w:rsidRDefault="00EB6564">
            <w:pPr>
              <w:pStyle w:val="06bTABLEHEADERROW"/>
              <w:jc w:val="center"/>
            </w:pPr>
            <w:r>
              <w:t>SA</w:t>
            </w:r>
          </w:p>
        </w:tc>
        <w:tc>
          <w:tcPr>
            <w:tcW w:w="566"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133A5D69" w14:textId="77777777" w:rsidR="00EB6564" w:rsidRDefault="00EB6564">
            <w:pPr>
              <w:pStyle w:val="06bTABLEHEADERROW"/>
              <w:jc w:val="center"/>
            </w:pPr>
            <w:r>
              <w:t>Tas</w:t>
            </w:r>
          </w:p>
        </w:tc>
        <w:tc>
          <w:tcPr>
            <w:tcW w:w="567"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411E42E3" w14:textId="77777777" w:rsidR="00EB6564" w:rsidRDefault="00EB6564">
            <w:pPr>
              <w:pStyle w:val="06bTABLEHEADERROW"/>
              <w:jc w:val="center"/>
            </w:pPr>
            <w:r>
              <w:t>ACT</w:t>
            </w:r>
          </w:p>
        </w:tc>
        <w:tc>
          <w:tcPr>
            <w:tcW w:w="567"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40F8CBB7" w14:textId="77777777" w:rsidR="00EB6564" w:rsidRDefault="00EB6564">
            <w:pPr>
              <w:pStyle w:val="06bTABLEHEADERROW"/>
              <w:jc w:val="center"/>
            </w:pPr>
            <w:r>
              <w:t>NT</w:t>
            </w:r>
          </w:p>
        </w:tc>
        <w:tc>
          <w:tcPr>
            <w:tcW w:w="567" w:type="dxa"/>
            <w:tcBorders>
              <w:top w:val="single" w:sz="8" w:space="0" w:color="FFFFFF"/>
              <w:left w:val="single" w:sz="4" w:space="0" w:color="FFFFFF"/>
              <w:bottom w:val="single" w:sz="8" w:space="0" w:color="FFFFFF"/>
              <w:right w:val="single" w:sz="4" w:space="0" w:color="FFFFFF"/>
            </w:tcBorders>
            <w:shd w:val="solid" w:color="000000" w:fill="auto"/>
            <w:tcMar>
              <w:top w:w="85" w:type="dxa"/>
              <w:left w:w="170" w:type="dxa"/>
              <w:bottom w:w="85" w:type="dxa"/>
              <w:right w:w="0" w:type="dxa"/>
            </w:tcMar>
            <w:vAlign w:val="bottom"/>
          </w:tcPr>
          <w:p w14:paraId="23AC0FBD" w14:textId="77777777" w:rsidR="00EB6564" w:rsidRDefault="00EB6564">
            <w:pPr>
              <w:pStyle w:val="06bTABLEHEADERROW"/>
            </w:pPr>
            <w:r>
              <w:t>Ext-Terr*</w:t>
            </w:r>
          </w:p>
        </w:tc>
        <w:tc>
          <w:tcPr>
            <w:tcW w:w="708"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1AE47A7D" w14:textId="77777777" w:rsidR="00EB6564" w:rsidRDefault="00EB6564">
            <w:pPr>
              <w:pStyle w:val="06bTABLEHEADERROW"/>
              <w:jc w:val="center"/>
            </w:pPr>
            <w:r>
              <w:rPr>
                <w:rStyle w:val="BOLD"/>
                <w:b/>
                <w:bCs/>
              </w:rPr>
              <w:t>Total (tonnes)</w:t>
            </w:r>
          </w:p>
        </w:tc>
      </w:tr>
      <w:tr w:rsidR="00EB6564" w14:paraId="061CCA35"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71B6F262" w14:textId="77777777" w:rsidR="00EB6564" w:rsidRDefault="00EB6564">
            <w:pPr>
              <w:pStyle w:val="06cTABLETEXT"/>
              <w:jc w:val="center"/>
            </w:pPr>
            <w:r>
              <w:rPr>
                <w:rStyle w:val="BOLD"/>
              </w:rPr>
              <w:t>A</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127D94F0" w14:textId="77777777" w:rsidR="00EB6564" w:rsidRDefault="00EB6564">
            <w:pPr>
              <w:pStyle w:val="06cTABLETEXT"/>
            </w:pPr>
            <w:r>
              <w:rPr>
                <w:rStyle w:val="BOLD"/>
              </w:rPr>
              <w:t>Plating &amp; heat treatment</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6C76E10"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BD64277"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5C0A360"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A48730B"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8722652" w14:textId="77777777" w:rsidR="00EB6564" w:rsidRDefault="00EB6564">
            <w:pPr>
              <w:pStyle w:val="06cTABLETEXT"/>
              <w:jc w:val="center"/>
            </w:pPr>
            <w:r>
              <w:rPr>
                <w:w w:val="97"/>
                <w:sz w:val="15"/>
                <w:szCs w:val="15"/>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E34C98A"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A24A459" w14:textId="77777777" w:rsidR="00EB6564" w:rsidRDefault="00EB6564">
            <w:pPr>
              <w:pStyle w:val="06cTABLETEXT"/>
              <w:jc w:val="center"/>
            </w:pPr>
            <w:r>
              <w:rPr>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AC1D5DA"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935FF36" w14:textId="77777777" w:rsidR="00EB6564" w:rsidRDefault="00EB6564">
            <w:pPr>
              <w:pStyle w:val="06cTABLETEXT"/>
              <w:jc w:val="center"/>
            </w:pPr>
            <w:r>
              <w:rPr>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78C8D7E" w14:textId="77777777" w:rsidR="00EB6564" w:rsidRDefault="00EB6564">
            <w:pPr>
              <w:pStyle w:val="06cTABLETEXT"/>
              <w:jc w:val="center"/>
            </w:pPr>
            <w:r>
              <w:rPr>
                <w:rStyle w:val="BOLD"/>
              </w:rPr>
              <w:t>0.00</w:t>
            </w:r>
          </w:p>
        </w:tc>
      </w:tr>
      <w:tr w:rsidR="00EB6564" w14:paraId="59572DB7"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98605E8" w14:textId="77777777" w:rsidR="00EB6564" w:rsidRDefault="00EB6564">
            <w:pPr>
              <w:pStyle w:val="06cTABLETEXT"/>
              <w:jc w:val="center"/>
            </w:pPr>
            <w:r>
              <w:rPr>
                <w:rStyle w:val="BOLD"/>
              </w:rPr>
              <w:t>B</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459D6707" w14:textId="77777777" w:rsidR="00EB6564" w:rsidRDefault="00EB6564">
            <w:pPr>
              <w:pStyle w:val="06cTABLETEXT"/>
            </w:pPr>
            <w:r>
              <w:rPr>
                <w:rStyle w:val="BOLD"/>
              </w:rPr>
              <w:t>Acids</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28657E7"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6E70306"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76BC94E"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D16A427"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8A45ECF" w14:textId="77777777" w:rsidR="00EB6564" w:rsidRDefault="00EB6564">
            <w:pPr>
              <w:pStyle w:val="06cTABLETEXT"/>
              <w:jc w:val="center"/>
            </w:pPr>
            <w:r>
              <w:rPr>
                <w:w w:val="97"/>
                <w:sz w:val="15"/>
                <w:szCs w:val="15"/>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4D60197"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107E842" w14:textId="77777777" w:rsidR="00EB6564" w:rsidRDefault="00EB6564">
            <w:pPr>
              <w:pStyle w:val="06cTABLETEXT"/>
              <w:jc w:val="center"/>
            </w:pPr>
            <w:r>
              <w:rPr>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765DCC2"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9D2BB79" w14:textId="77777777" w:rsidR="00EB6564" w:rsidRDefault="00EB6564">
            <w:pPr>
              <w:pStyle w:val="06cTABLETEXT"/>
              <w:jc w:val="center"/>
            </w:pPr>
            <w:r>
              <w:rPr>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46ECA63" w14:textId="77777777" w:rsidR="00EB6564" w:rsidRDefault="00EB6564">
            <w:pPr>
              <w:pStyle w:val="06cTABLETEXT"/>
              <w:jc w:val="center"/>
            </w:pPr>
            <w:r>
              <w:rPr>
                <w:rStyle w:val="BOLD"/>
              </w:rPr>
              <w:t>0.00</w:t>
            </w:r>
          </w:p>
        </w:tc>
      </w:tr>
      <w:tr w:rsidR="00EB6564" w14:paraId="243EC331"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00819D60" w14:textId="77777777" w:rsidR="00EB6564" w:rsidRDefault="00EB6564">
            <w:pPr>
              <w:pStyle w:val="06cTABLETEXT"/>
              <w:jc w:val="center"/>
            </w:pPr>
            <w:r>
              <w:rPr>
                <w:rStyle w:val="BOLD"/>
              </w:rPr>
              <w:t>C</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077F21D4" w14:textId="77777777" w:rsidR="00EB6564" w:rsidRDefault="00EB6564">
            <w:pPr>
              <w:pStyle w:val="06cTABLETEXT"/>
            </w:pPr>
            <w:r>
              <w:rPr>
                <w:rStyle w:val="BOLD"/>
              </w:rPr>
              <w:t>Alkalis</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3416D1A"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0034E6E"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9E4BB33"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6EE5EAE"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1B31A2B" w14:textId="77777777" w:rsidR="00EB6564" w:rsidRDefault="00EB6564">
            <w:pPr>
              <w:pStyle w:val="06cTABLETEXT"/>
              <w:jc w:val="center"/>
            </w:pPr>
            <w:r>
              <w:rPr>
                <w:w w:val="97"/>
                <w:sz w:val="15"/>
                <w:szCs w:val="15"/>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EFFBF1C"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45366B2" w14:textId="77777777" w:rsidR="00EB6564" w:rsidRDefault="00EB6564">
            <w:pPr>
              <w:pStyle w:val="06cTABLETEXT"/>
              <w:jc w:val="center"/>
            </w:pPr>
            <w:r>
              <w:rPr>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E97861E"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601035F" w14:textId="77777777" w:rsidR="00EB6564" w:rsidRDefault="00EB6564">
            <w:pPr>
              <w:pStyle w:val="06cTABLETEXT"/>
              <w:jc w:val="center"/>
            </w:pPr>
            <w:r>
              <w:rPr>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FEAF826" w14:textId="77777777" w:rsidR="00EB6564" w:rsidRDefault="00EB6564">
            <w:pPr>
              <w:pStyle w:val="06cTABLETEXT"/>
              <w:jc w:val="center"/>
            </w:pPr>
            <w:r>
              <w:rPr>
                <w:rStyle w:val="BOLD"/>
              </w:rPr>
              <w:t>0.00</w:t>
            </w:r>
          </w:p>
        </w:tc>
      </w:tr>
      <w:tr w:rsidR="00EB6564" w14:paraId="1EEB9A05"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6D2EC2B" w14:textId="77777777" w:rsidR="00EB6564" w:rsidRDefault="00EB6564">
            <w:pPr>
              <w:pStyle w:val="06cTABLETEXT"/>
              <w:jc w:val="center"/>
            </w:pPr>
            <w:r>
              <w:rPr>
                <w:rStyle w:val="BOLD"/>
              </w:rPr>
              <w:t>D</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34BAFE65" w14:textId="77777777" w:rsidR="00EB6564" w:rsidRDefault="00EB6564">
            <w:pPr>
              <w:pStyle w:val="06cTABLETEXT"/>
            </w:pPr>
            <w:r>
              <w:rPr>
                <w:rStyle w:val="BOLD"/>
              </w:rPr>
              <w:t>Inorganic chemicals</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4BE3B31"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0F179C1"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AD8A85F"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4C01464"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7DAE591" w14:textId="77777777" w:rsidR="00EB6564" w:rsidRDefault="00EB6564">
            <w:pPr>
              <w:pStyle w:val="06cTABLETEXT"/>
              <w:jc w:val="center"/>
            </w:pPr>
            <w:r>
              <w:rPr>
                <w:w w:val="97"/>
                <w:sz w:val="15"/>
                <w:szCs w:val="15"/>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3A5D015"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B2C7865" w14:textId="77777777" w:rsidR="00EB6564" w:rsidRDefault="00EB6564">
            <w:pPr>
              <w:pStyle w:val="06cTABLETEXT"/>
              <w:jc w:val="center"/>
            </w:pPr>
            <w:r>
              <w:rPr>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4136819"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78D63C5" w14:textId="77777777" w:rsidR="00EB6564" w:rsidRDefault="00EB6564">
            <w:pPr>
              <w:pStyle w:val="06cTABLETEXT"/>
              <w:jc w:val="center"/>
            </w:pPr>
            <w:r>
              <w:rPr>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6394A7E" w14:textId="77777777" w:rsidR="00EB6564" w:rsidRDefault="00EB6564">
            <w:pPr>
              <w:pStyle w:val="06cTABLETEXT"/>
              <w:jc w:val="center"/>
            </w:pPr>
            <w:r>
              <w:rPr>
                <w:rStyle w:val="BOLD"/>
              </w:rPr>
              <w:t>0.00</w:t>
            </w:r>
          </w:p>
        </w:tc>
      </w:tr>
      <w:tr w:rsidR="00EB6564" w14:paraId="18068859"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4F8067EA" w14:textId="77777777" w:rsidR="00EB6564" w:rsidRDefault="00EB6564">
            <w:pPr>
              <w:pStyle w:val="06cTABLETEXT"/>
              <w:jc w:val="center"/>
            </w:pPr>
            <w:r>
              <w:rPr>
                <w:rStyle w:val="BOLD"/>
              </w:rPr>
              <w:t>E</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0C1F5B65" w14:textId="77777777" w:rsidR="00EB6564" w:rsidRDefault="00EB6564">
            <w:pPr>
              <w:pStyle w:val="06cTABLETEXT"/>
            </w:pPr>
            <w:r>
              <w:rPr>
                <w:rStyle w:val="BOLD"/>
              </w:rPr>
              <w:t>Reactive chemicals</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A01EDEF"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711C52A"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FC59FD7"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B91F52B"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977220C" w14:textId="77777777" w:rsidR="00EB6564" w:rsidRDefault="00EB6564">
            <w:pPr>
              <w:pStyle w:val="06cTABLETEXT"/>
              <w:jc w:val="center"/>
            </w:pPr>
            <w:r>
              <w:rPr>
                <w:w w:val="97"/>
                <w:sz w:val="15"/>
                <w:szCs w:val="15"/>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A6225BC"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24E9568" w14:textId="77777777" w:rsidR="00EB6564" w:rsidRDefault="00EB6564">
            <w:pPr>
              <w:pStyle w:val="06cTABLETEXT"/>
              <w:jc w:val="center"/>
            </w:pPr>
            <w:r>
              <w:rPr>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BC69724"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CA10A2E" w14:textId="77777777" w:rsidR="00EB6564" w:rsidRDefault="00EB6564">
            <w:pPr>
              <w:pStyle w:val="06cTABLETEXT"/>
              <w:jc w:val="center"/>
            </w:pPr>
            <w:r>
              <w:rPr>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9107933" w14:textId="77777777" w:rsidR="00EB6564" w:rsidRDefault="00EB6564">
            <w:pPr>
              <w:pStyle w:val="06cTABLETEXT"/>
              <w:jc w:val="center"/>
            </w:pPr>
            <w:r>
              <w:rPr>
                <w:rStyle w:val="BOLD"/>
              </w:rPr>
              <w:t>0.00</w:t>
            </w:r>
          </w:p>
        </w:tc>
      </w:tr>
      <w:tr w:rsidR="00EB6564" w14:paraId="169A5C1F"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4DA98A9C" w14:textId="77777777" w:rsidR="00EB6564" w:rsidRDefault="00EB6564">
            <w:pPr>
              <w:pStyle w:val="06cTABLETEXT"/>
              <w:jc w:val="center"/>
            </w:pPr>
            <w:r>
              <w:rPr>
                <w:rStyle w:val="BOLD"/>
              </w:rPr>
              <w:lastRenderedPageBreak/>
              <w:t>F</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7C375910" w14:textId="77777777" w:rsidR="00EB6564" w:rsidRDefault="00EB6564">
            <w:pPr>
              <w:pStyle w:val="06cTABLETEXT"/>
            </w:pPr>
            <w:r>
              <w:rPr>
                <w:rStyle w:val="BOLD"/>
              </w:rPr>
              <w:t>Paints, resins, inks organic sludges</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260A535"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0AEDFC3"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FCAF8E8"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8BBB78C"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47D3DF2" w14:textId="77777777" w:rsidR="00EB6564" w:rsidRDefault="00EB6564">
            <w:pPr>
              <w:pStyle w:val="06cTABLETEXT"/>
              <w:jc w:val="center"/>
            </w:pPr>
            <w:r>
              <w:rPr>
                <w:w w:val="97"/>
                <w:sz w:val="15"/>
                <w:szCs w:val="15"/>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3BE165A"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E6C3F54" w14:textId="77777777" w:rsidR="00EB6564" w:rsidRDefault="00EB6564">
            <w:pPr>
              <w:pStyle w:val="06cTABLETEXT"/>
              <w:jc w:val="center"/>
            </w:pPr>
            <w:r>
              <w:rPr>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9C6620B"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AAC0262" w14:textId="77777777" w:rsidR="00EB6564" w:rsidRDefault="00EB6564">
            <w:pPr>
              <w:pStyle w:val="06cTABLETEXT"/>
              <w:jc w:val="center"/>
            </w:pPr>
            <w:r>
              <w:rPr>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3E440E4" w14:textId="77777777" w:rsidR="00EB6564" w:rsidRDefault="00EB6564">
            <w:pPr>
              <w:pStyle w:val="06cTABLETEXT"/>
              <w:jc w:val="center"/>
            </w:pPr>
            <w:r>
              <w:rPr>
                <w:rStyle w:val="BOLD"/>
              </w:rPr>
              <w:t>0.00</w:t>
            </w:r>
          </w:p>
        </w:tc>
      </w:tr>
      <w:tr w:rsidR="00EB6564" w14:paraId="7355569A"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ACCDD51" w14:textId="77777777" w:rsidR="00EB6564" w:rsidRDefault="00EB6564">
            <w:pPr>
              <w:pStyle w:val="06cTABLETEXT"/>
              <w:jc w:val="center"/>
            </w:pPr>
            <w:r>
              <w:rPr>
                <w:rStyle w:val="BOLD"/>
              </w:rPr>
              <w:t>G</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60532DE9" w14:textId="77777777" w:rsidR="00EB6564" w:rsidRDefault="00EB6564">
            <w:pPr>
              <w:pStyle w:val="06cTABLETEXT"/>
            </w:pPr>
            <w:r>
              <w:rPr>
                <w:rStyle w:val="BOLD"/>
              </w:rPr>
              <w:t>Organic solvents</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2153A67"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36E7DCD"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0DCE908"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5E49D4B"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E73015D" w14:textId="77777777" w:rsidR="00EB6564" w:rsidRDefault="00EB6564">
            <w:pPr>
              <w:pStyle w:val="06cTABLETEXT"/>
              <w:jc w:val="center"/>
            </w:pPr>
            <w:r>
              <w:rPr>
                <w:w w:val="97"/>
                <w:sz w:val="15"/>
                <w:szCs w:val="15"/>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D0832B0"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E8D64FA" w14:textId="77777777" w:rsidR="00EB6564" w:rsidRDefault="00EB6564">
            <w:pPr>
              <w:pStyle w:val="06cTABLETEXT"/>
              <w:jc w:val="center"/>
            </w:pPr>
            <w:r>
              <w:rPr>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16798E6"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E616D5E" w14:textId="77777777" w:rsidR="00EB6564" w:rsidRDefault="00EB6564">
            <w:pPr>
              <w:pStyle w:val="06cTABLETEXT"/>
              <w:jc w:val="center"/>
            </w:pPr>
            <w:r>
              <w:rPr>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AADA9BB" w14:textId="77777777" w:rsidR="00EB6564" w:rsidRDefault="00EB6564">
            <w:pPr>
              <w:pStyle w:val="06cTABLETEXT"/>
              <w:jc w:val="center"/>
            </w:pPr>
            <w:r>
              <w:rPr>
                <w:rStyle w:val="BOLD"/>
              </w:rPr>
              <w:t>0.00</w:t>
            </w:r>
          </w:p>
        </w:tc>
      </w:tr>
      <w:tr w:rsidR="00EB6564" w14:paraId="4261B7C1"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2BE852E6" w14:textId="77777777" w:rsidR="00EB6564" w:rsidRDefault="00EB6564">
            <w:pPr>
              <w:pStyle w:val="06cTABLETEXT"/>
              <w:jc w:val="center"/>
            </w:pPr>
            <w:r>
              <w:rPr>
                <w:rStyle w:val="BOLD"/>
              </w:rPr>
              <w:t>H</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0AC10C43" w14:textId="77777777" w:rsidR="00EB6564" w:rsidRDefault="00EB6564">
            <w:pPr>
              <w:pStyle w:val="06cTABLETEXT"/>
            </w:pPr>
            <w:r>
              <w:rPr>
                <w:rStyle w:val="BOLD"/>
              </w:rPr>
              <w:t>Pesticides</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B001D7D"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E781243"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F61639E"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6375E9D"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535B268" w14:textId="77777777" w:rsidR="00EB6564" w:rsidRDefault="00EB6564">
            <w:pPr>
              <w:pStyle w:val="06cTABLETEXT"/>
              <w:jc w:val="center"/>
            </w:pPr>
            <w:r>
              <w:rPr>
                <w:w w:val="97"/>
                <w:sz w:val="15"/>
                <w:szCs w:val="15"/>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80A25E9"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85D2539" w14:textId="77777777" w:rsidR="00EB6564" w:rsidRDefault="00EB6564">
            <w:pPr>
              <w:pStyle w:val="06cTABLETEXT"/>
              <w:jc w:val="center"/>
            </w:pPr>
            <w:r>
              <w:rPr>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869E3C9"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154550A" w14:textId="77777777" w:rsidR="00EB6564" w:rsidRDefault="00EB6564">
            <w:pPr>
              <w:pStyle w:val="06cTABLETEXT"/>
              <w:jc w:val="center"/>
            </w:pPr>
            <w:r>
              <w:rPr>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B4F0AE5" w14:textId="77777777" w:rsidR="00EB6564" w:rsidRDefault="00EB6564">
            <w:pPr>
              <w:pStyle w:val="06cTABLETEXT"/>
              <w:jc w:val="center"/>
            </w:pPr>
            <w:r>
              <w:rPr>
                <w:rStyle w:val="BOLD"/>
              </w:rPr>
              <w:t>0.00</w:t>
            </w:r>
          </w:p>
        </w:tc>
      </w:tr>
      <w:tr w:rsidR="00EB6564" w14:paraId="6BCA24B7"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9D32DCF" w14:textId="77777777" w:rsidR="00EB6564" w:rsidRDefault="00EB6564">
            <w:pPr>
              <w:pStyle w:val="06cTABLETEXT"/>
              <w:jc w:val="center"/>
            </w:pPr>
            <w:r>
              <w:rPr>
                <w:rStyle w:val="BOLD"/>
              </w:rPr>
              <w:t>J</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75913351" w14:textId="77777777" w:rsidR="00EB6564" w:rsidRDefault="00EB6564">
            <w:pPr>
              <w:pStyle w:val="06cTABLETEXT"/>
            </w:pPr>
            <w:r>
              <w:rPr>
                <w:rStyle w:val="BOLD"/>
              </w:rPr>
              <w:t>Oils</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E6A9173" w14:textId="77777777" w:rsidR="00EB6564" w:rsidRDefault="00EB6564">
            <w:pPr>
              <w:pStyle w:val="06cTABLETEXT"/>
              <w:jc w:val="center"/>
            </w:pPr>
            <w:r>
              <w:t>262.35</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95ADFB0" w14:textId="77777777" w:rsidR="00EB6564" w:rsidRDefault="00EB6564">
            <w:pPr>
              <w:pStyle w:val="06cTABLETEXT"/>
              <w:jc w:val="center"/>
            </w:pPr>
            <w:r>
              <w:t>45.00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E4446E4" w14:textId="77777777" w:rsidR="00EB6564" w:rsidRDefault="00EB6564">
            <w:pPr>
              <w:pStyle w:val="06cTABLETEXT"/>
              <w:jc w:val="center"/>
            </w:pPr>
            <w:r>
              <w:t>30.30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C607E81"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CE20770" w14:textId="77777777" w:rsidR="00EB6564" w:rsidRDefault="00EB6564">
            <w:pPr>
              <w:pStyle w:val="06cTABLETEXT"/>
              <w:jc w:val="center"/>
            </w:pPr>
            <w:r>
              <w:rPr>
                <w:w w:val="97"/>
                <w:sz w:val="15"/>
                <w:szCs w:val="15"/>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6440EBA"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BF5FADF" w14:textId="77777777" w:rsidR="00EB6564" w:rsidRDefault="00EB6564">
            <w:pPr>
              <w:pStyle w:val="06cTABLETEXT"/>
              <w:jc w:val="center"/>
            </w:pPr>
            <w:r>
              <w:rPr>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6A5F5E3"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7D6B3C4" w14:textId="77777777" w:rsidR="00EB6564" w:rsidRDefault="00EB6564">
            <w:pPr>
              <w:pStyle w:val="06cTABLETEXT"/>
              <w:jc w:val="center"/>
            </w:pPr>
            <w:r>
              <w:rPr>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2BB7026" w14:textId="77777777" w:rsidR="00EB6564" w:rsidRDefault="00EB6564">
            <w:pPr>
              <w:pStyle w:val="06cTABLETEXT"/>
              <w:jc w:val="center"/>
            </w:pPr>
            <w:r>
              <w:rPr>
                <w:rStyle w:val="BOLD"/>
              </w:rPr>
              <w:t>337.65</w:t>
            </w:r>
          </w:p>
        </w:tc>
      </w:tr>
      <w:tr w:rsidR="00EB6564" w14:paraId="50D0827D"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44EF6230" w14:textId="77777777" w:rsidR="00EB6564" w:rsidRDefault="00EB6564">
            <w:pPr>
              <w:pStyle w:val="06cTABLETEXT"/>
              <w:jc w:val="center"/>
            </w:pPr>
            <w:r>
              <w:rPr>
                <w:rStyle w:val="BOLD"/>
              </w:rPr>
              <w:t>K</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2E96B6F6" w14:textId="77777777" w:rsidR="00EB6564" w:rsidRDefault="00EB6564">
            <w:pPr>
              <w:pStyle w:val="06cTABLETEXT"/>
            </w:pPr>
            <w:r>
              <w:rPr>
                <w:rStyle w:val="BOLD"/>
              </w:rPr>
              <w:t>Putrescible/organic waste</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6F5C7F1" w14:textId="77777777" w:rsidR="00EB6564" w:rsidRDefault="00EB6564">
            <w:pPr>
              <w:pStyle w:val="06cTABLETEXT"/>
              <w:jc w:val="center"/>
            </w:pPr>
            <w:r>
              <w:t>12.50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E045AD0"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81CDDD8"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67759BF"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BBAC9A8" w14:textId="77777777" w:rsidR="00EB6564" w:rsidRDefault="00EB6564">
            <w:pPr>
              <w:pStyle w:val="06cTABLETEXT"/>
              <w:jc w:val="center"/>
            </w:pPr>
            <w:r>
              <w:rPr>
                <w:w w:val="97"/>
                <w:sz w:val="15"/>
                <w:szCs w:val="15"/>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7D700A3"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E400F15" w14:textId="77777777" w:rsidR="00EB6564" w:rsidRDefault="00EB6564">
            <w:pPr>
              <w:pStyle w:val="06cTABLETEXT"/>
              <w:jc w:val="center"/>
            </w:pPr>
            <w:r>
              <w:rPr>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A8F765D"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CBCB08A" w14:textId="77777777" w:rsidR="00EB6564" w:rsidRDefault="00EB6564">
            <w:pPr>
              <w:pStyle w:val="06cTABLETEXT"/>
              <w:jc w:val="center"/>
            </w:pPr>
            <w:r>
              <w:rPr>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DCD8767" w14:textId="77777777" w:rsidR="00EB6564" w:rsidRDefault="00EB6564">
            <w:pPr>
              <w:pStyle w:val="06cTABLETEXT"/>
              <w:jc w:val="center"/>
            </w:pPr>
            <w:r>
              <w:rPr>
                <w:rStyle w:val="BOLD"/>
              </w:rPr>
              <w:t>12.50</w:t>
            </w:r>
          </w:p>
        </w:tc>
      </w:tr>
      <w:tr w:rsidR="00EB6564" w14:paraId="5C24CFB0"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A2AC9DA" w14:textId="77777777" w:rsidR="00EB6564" w:rsidRDefault="00EB6564">
            <w:pPr>
              <w:pStyle w:val="06cTABLETEXT"/>
              <w:jc w:val="center"/>
            </w:pPr>
            <w:r>
              <w:rPr>
                <w:rStyle w:val="BOLD"/>
              </w:rPr>
              <w:t>L</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068EA53D" w14:textId="77777777" w:rsidR="00EB6564" w:rsidRDefault="00EB6564">
            <w:pPr>
              <w:pStyle w:val="06cTABLETEXT"/>
            </w:pPr>
            <w:r>
              <w:rPr>
                <w:rStyle w:val="BOLD"/>
              </w:rPr>
              <w:t xml:space="preserve">Industrial </w:t>
            </w:r>
            <w:proofErr w:type="spellStart"/>
            <w:r>
              <w:rPr>
                <w:rStyle w:val="BOLD"/>
              </w:rPr>
              <w:t>washwater</w:t>
            </w:r>
            <w:proofErr w:type="spellEnd"/>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965BDFF"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F36B940"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16DAF62"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7EE01FD"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0CF3A5F" w14:textId="77777777" w:rsidR="00EB6564" w:rsidRDefault="00EB6564">
            <w:pPr>
              <w:pStyle w:val="06cTABLETEXT"/>
              <w:jc w:val="center"/>
            </w:pPr>
            <w:r>
              <w:rPr>
                <w:w w:val="97"/>
                <w:sz w:val="15"/>
                <w:szCs w:val="15"/>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8FF4B32"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4F47A3B" w14:textId="77777777" w:rsidR="00EB6564" w:rsidRDefault="00EB6564">
            <w:pPr>
              <w:pStyle w:val="06cTABLETEXT"/>
              <w:jc w:val="center"/>
            </w:pPr>
            <w:r>
              <w:rPr>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20204B2"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27B03A5" w14:textId="77777777" w:rsidR="00EB6564" w:rsidRDefault="00EB6564">
            <w:pPr>
              <w:pStyle w:val="06cTABLETEXT"/>
              <w:jc w:val="center"/>
            </w:pPr>
            <w:r>
              <w:rPr>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447A8D5" w14:textId="77777777" w:rsidR="00EB6564" w:rsidRDefault="00EB6564">
            <w:pPr>
              <w:pStyle w:val="06cTABLETEXT"/>
              <w:jc w:val="center"/>
            </w:pPr>
            <w:r>
              <w:rPr>
                <w:rStyle w:val="BOLD"/>
              </w:rPr>
              <w:t>0.00</w:t>
            </w:r>
          </w:p>
        </w:tc>
      </w:tr>
      <w:tr w:rsidR="00EB6564" w14:paraId="4A81CBC1"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0B408AC0" w14:textId="77777777" w:rsidR="00EB6564" w:rsidRDefault="00EB6564">
            <w:pPr>
              <w:pStyle w:val="06cTABLETEXT"/>
              <w:jc w:val="center"/>
            </w:pPr>
            <w:r>
              <w:rPr>
                <w:rStyle w:val="BOLD"/>
              </w:rPr>
              <w:t>M</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4617AC3C" w14:textId="77777777" w:rsidR="00EB6564" w:rsidRDefault="00EB6564">
            <w:pPr>
              <w:pStyle w:val="06cTABLETEXT"/>
            </w:pPr>
            <w:r>
              <w:rPr>
                <w:rStyle w:val="BOLD"/>
              </w:rPr>
              <w:t>Organic chemicals</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5375463"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6AD2499"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B61B1C3"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DED57D0"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54E9577" w14:textId="77777777" w:rsidR="00EB6564" w:rsidRDefault="00EB6564">
            <w:pPr>
              <w:pStyle w:val="06cTABLETEXT"/>
              <w:jc w:val="center"/>
            </w:pPr>
            <w:r>
              <w:rPr>
                <w:w w:val="97"/>
                <w:sz w:val="15"/>
                <w:szCs w:val="15"/>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2C8B3F9"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8AD24B5" w14:textId="77777777" w:rsidR="00EB6564" w:rsidRDefault="00EB6564">
            <w:pPr>
              <w:pStyle w:val="06cTABLETEXT"/>
              <w:jc w:val="center"/>
            </w:pPr>
            <w:r>
              <w:rPr>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5661803"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8B3DFEA" w14:textId="77777777" w:rsidR="00EB6564" w:rsidRDefault="00EB6564">
            <w:pPr>
              <w:pStyle w:val="06cTABLETEXT"/>
              <w:jc w:val="center"/>
            </w:pPr>
            <w:r>
              <w:rPr>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7A1F005" w14:textId="77777777" w:rsidR="00EB6564" w:rsidRDefault="00EB6564">
            <w:pPr>
              <w:pStyle w:val="06cTABLETEXT"/>
              <w:jc w:val="center"/>
            </w:pPr>
            <w:r>
              <w:rPr>
                <w:rStyle w:val="BOLD"/>
              </w:rPr>
              <w:t>0.00</w:t>
            </w:r>
          </w:p>
        </w:tc>
      </w:tr>
      <w:tr w:rsidR="00EB6564" w14:paraId="63987D2F"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70728014" w14:textId="77777777" w:rsidR="00EB6564" w:rsidRDefault="00EB6564">
            <w:pPr>
              <w:pStyle w:val="06cTABLETEXT"/>
              <w:jc w:val="center"/>
            </w:pPr>
            <w:r>
              <w:rPr>
                <w:rStyle w:val="BOLD"/>
              </w:rPr>
              <w:t>N</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73A87EB7" w14:textId="77777777" w:rsidR="00EB6564" w:rsidRDefault="00EB6564">
            <w:pPr>
              <w:pStyle w:val="06cTABLETEXT"/>
            </w:pPr>
            <w:r>
              <w:rPr>
                <w:rStyle w:val="BOLD"/>
              </w:rPr>
              <w:t>Soil/sludge</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221231A3" w14:textId="77777777" w:rsidR="00EB6564" w:rsidRDefault="00EB6564">
            <w:pPr>
              <w:pStyle w:val="06cTABLETEXT"/>
              <w:jc w:val="center"/>
            </w:pPr>
            <w:r>
              <w:t>81.59</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F06F722"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943A0AE"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277F811"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F74A19A" w14:textId="77777777" w:rsidR="00EB6564" w:rsidRDefault="00EB6564">
            <w:pPr>
              <w:pStyle w:val="06cTABLETEXT"/>
              <w:jc w:val="center"/>
            </w:pPr>
            <w:r>
              <w:rPr>
                <w:w w:val="97"/>
                <w:sz w:val="15"/>
                <w:szCs w:val="15"/>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386893D9"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1EFCABE6" w14:textId="77777777" w:rsidR="00EB6564" w:rsidRDefault="00EB6564">
            <w:pPr>
              <w:pStyle w:val="06cTABLETEXT"/>
              <w:jc w:val="center"/>
            </w:pPr>
            <w:r>
              <w:rPr>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E5B55A5"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0F17288" w14:textId="77777777" w:rsidR="00EB6564" w:rsidRDefault="00EB6564">
            <w:pPr>
              <w:pStyle w:val="06cTABLETEXT"/>
              <w:jc w:val="center"/>
            </w:pPr>
            <w:r>
              <w:rPr>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9C3B234" w14:textId="77777777" w:rsidR="00EB6564" w:rsidRDefault="00EB6564">
            <w:pPr>
              <w:pStyle w:val="06cTABLETEXT"/>
              <w:jc w:val="center"/>
            </w:pPr>
            <w:r>
              <w:rPr>
                <w:rStyle w:val="BOLD"/>
              </w:rPr>
              <w:t>81.59</w:t>
            </w:r>
          </w:p>
        </w:tc>
      </w:tr>
      <w:tr w:rsidR="00EB6564" w14:paraId="2FA82FBE"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C075D7F" w14:textId="77777777" w:rsidR="00EB6564" w:rsidRDefault="00EB6564">
            <w:pPr>
              <w:pStyle w:val="06cTABLETEXT"/>
              <w:jc w:val="center"/>
            </w:pPr>
            <w:r>
              <w:rPr>
                <w:rStyle w:val="BOLD"/>
              </w:rPr>
              <w:t>R</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719AC0C7" w14:textId="77777777" w:rsidR="00EB6564" w:rsidRDefault="00EB6564">
            <w:pPr>
              <w:pStyle w:val="06cTABLETEXT"/>
            </w:pPr>
            <w:r>
              <w:rPr>
                <w:rStyle w:val="BOLD"/>
              </w:rPr>
              <w:t>Clinical &amp; pharmaceutical</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8E28502" w14:textId="77777777" w:rsidR="00EB6564" w:rsidRDefault="00EB6564">
            <w:pPr>
              <w:pStyle w:val="06cTABLETEXT"/>
              <w:jc w:val="center"/>
            </w:pPr>
            <w:r>
              <w:t>242.63</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5157B2B"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422C124"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4585579"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BD3E32B" w14:textId="77777777" w:rsidR="00EB6564" w:rsidRDefault="00EB6564">
            <w:pPr>
              <w:pStyle w:val="06cTABLETEXT"/>
              <w:jc w:val="center"/>
            </w:pPr>
            <w:r>
              <w:rPr>
                <w:w w:val="97"/>
                <w:sz w:val="15"/>
                <w:szCs w:val="15"/>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ABEA4C9"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EC4ADC0" w14:textId="77777777" w:rsidR="00EB6564" w:rsidRDefault="00EB6564">
            <w:pPr>
              <w:pStyle w:val="06cTABLETEXT"/>
              <w:jc w:val="center"/>
            </w:pPr>
            <w:r>
              <w:rPr>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A4A8CF8"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90EE76C" w14:textId="77777777" w:rsidR="00EB6564" w:rsidRDefault="00EB6564">
            <w:pPr>
              <w:pStyle w:val="06cTABLETEXT"/>
              <w:jc w:val="center"/>
            </w:pPr>
            <w:r>
              <w:rPr>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BD11890" w14:textId="77777777" w:rsidR="00EB6564" w:rsidRDefault="00EB6564">
            <w:pPr>
              <w:pStyle w:val="06cTABLETEXT"/>
              <w:jc w:val="center"/>
            </w:pPr>
            <w:r>
              <w:rPr>
                <w:rStyle w:val="BOLD"/>
              </w:rPr>
              <w:t>242.63</w:t>
            </w:r>
          </w:p>
        </w:tc>
      </w:tr>
      <w:tr w:rsidR="00EB6564" w14:paraId="30678AAB"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23C6749" w14:textId="77777777" w:rsidR="00EB6564" w:rsidRDefault="00EB6564">
            <w:pPr>
              <w:pStyle w:val="06cTABLETEXT"/>
              <w:jc w:val="center"/>
            </w:pPr>
            <w:r>
              <w:rPr>
                <w:rStyle w:val="BOLD"/>
              </w:rPr>
              <w:t>T</w:t>
            </w:r>
          </w:p>
        </w:tc>
        <w:tc>
          <w:tcPr>
            <w:tcW w:w="1179"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42533E80" w14:textId="77777777" w:rsidR="00EB6564" w:rsidRDefault="00EB6564">
            <w:pPr>
              <w:pStyle w:val="06cTABLETEXT"/>
            </w:pPr>
            <w:r>
              <w:rPr>
                <w:rStyle w:val="BOLD"/>
              </w:rPr>
              <w:t>Misc.</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E918C52"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0C0D4C6"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0AF5F24"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62E185D3"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00D7D944" w14:textId="77777777" w:rsidR="00EB6564" w:rsidRDefault="00EB6564">
            <w:pPr>
              <w:pStyle w:val="06cTABLETEXT"/>
              <w:jc w:val="center"/>
            </w:pPr>
            <w:r>
              <w:rPr>
                <w:w w:val="97"/>
                <w:sz w:val="15"/>
                <w:szCs w:val="15"/>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73B6B641"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437AD06E" w14:textId="77777777" w:rsidR="00EB6564" w:rsidRDefault="00EB6564">
            <w:pPr>
              <w:pStyle w:val="06cTABLETEXT"/>
              <w:jc w:val="center"/>
            </w:pPr>
            <w:r>
              <w:rPr>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599AD1DE" w14:textId="77777777" w:rsidR="00EB6564" w:rsidRDefault="00EB6564">
            <w:pPr>
              <w:pStyle w:val="06cTABLETEXT"/>
              <w:jc w:val="center"/>
            </w:pPr>
            <w:r>
              <w:rPr>
                <w:w w:val="97"/>
                <w:sz w:val="15"/>
                <w:szCs w:val="15"/>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0" w:type="dxa"/>
            </w:tcMar>
            <w:vAlign w:val="center"/>
          </w:tcPr>
          <w:p w14:paraId="23721D8C" w14:textId="77777777" w:rsidR="00EB6564" w:rsidRDefault="00EB6564">
            <w:pPr>
              <w:pStyle w:val="06cTABLETEXT"/>
              <w:jc w:val="center"/>
            </w:pPr>
            <w:r>
              <w:rPr>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BE44CE9" w14:textId="77777777" w:rsidR="00EB6564" w:rsidRDefault="00EB6564">
            <w:pPr>
              <w:pStyle w:val="06cTABLETEXT"/>
              <w:jc w:val="center"/>
            </w:pPr>
            <w:r>
              <w:rPr>
                <w:rStyle w:val="BOLD"/>
              </w:rPr>
              <w:t>0.00</w:t>
            </w:r>
          </w:p>
        </w:tc>
      </w:tr>
      <w:tr w:rsidR="00EB6564" w14:paraId="2094AA9B" w14:textId="77777777">
        <w:trPr>
          <w:trHeight w:val="340"/>
        </w:trPr>
        <w:tc>
          <w:tcPr>
            <w:tcW w:w="1684" w:type="dxa"/>
            <w:gridSpan w:val="2"/>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0F3F9E10" w14:textId="77777777" w:rsidR="00EB6564" w:rsidRDefault="00EB6564">
            <w:pPr>
              <w:pStyle w:val="06cTABLETEXT"/>
              <w:jc w:val="center"/>
            </w:pPr>
            <w:r>
              <w:rPr>
                <w:rStyle w:val="BOLD"/>
              </w:rPr>
              <w:t>State Totals (tonnes)</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69F7A6C" w14:textId="77777777" w:rsidR="00EB6564" w:rsidRDefault="00EB6564">
            <w:pPr>
              <w:pStyle w:val="06cTABLETEXT"/>
              <w:jc w:val="center"/>
            </w:pPr>
            <w:r>
              <w:rPr>
                <w:rStyle w:val="BOLD"/>
              </w:rPr>
              <w:t>599.07</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F2833F5" w14:textId="77777777" w:rsidR="00EB6564" w:rsidRDefault="00EB6564">
            <w:pPr>
              <w:pStyle w:val="06cTABLETEXT"/>
              <w:jc w:val="center"/>
            </w:pPr>
            <w:r>
              <w:rPr>
                <w:rStyle w:val="BOLD"/>
              </w:rPr>
              <w:t>45.00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45E3D15" w14:textId="77777777" w:rsidR="00EB6564" w:rsidRDefault="00EB6564">
            <w:pPr>
              <w:pStyle w:val="06cTABLETEXT"/>
              <w:jc w:val="center"/>
            </w:pPr>
            <w:r>
              <w:rPr>
                <w:rStyle w:val="BOLD"/>
              </w:rPr>
              <w:t>30.30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E5A2ADD" w14:textId="77777777" w:rsidR="00EB6564" w:rsidRDefault="00EB6564">
            <w:pPr>
              <w:pStyle w:val="06cTABLETEXT"/>
              <w:jc w:val="center"/>
            </w:pPr>
            <w:r>
              <w:rPr>
                <w:rStyle w:val="BOLD"/>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42B5121" w14:textId="77777777" w:rsidR="00EB6564" w:rsidRDefault="00EB6564">
            <w:pPr>
              <w:pStyle w:val="06cTABLETEXT"/>
              <w:jc w:val="center"/>
            </w:pPr>
            <w:r>
              <w:rPr>
                <w:rStyle w:val="BOLD"/>
              </w:rPr>
              <w:t>0.00</w:t>
            </w:r>
          </w:p>
        </w:tc>
        <w:tc>
          <w:tcPr>
            <w:tcW w:w="566"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CD427BE" w14:textId="77777777" w:rsidR="00EB6564" w:rsidRDefault="00EB6564">
            <w:pPr>
              <w:pStyle w:val="06cTABLETEXT"/>
              <w:jc w:val="center"/>
            </w:pPr>
            <w:r>
              <w:rPr>
                <w:rStyle w:val="BOLD"/>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2058C2C" w14:textId="77777777" w:rsidR="00EB6564" w:rsidRDefault="00EB6564">
            <w:pPr>
              <w:pStyle w:val="06cTABLETEXT"/>
              <w:jc w:val="center"/>
            </w:pPr>
            <w:r>
              <w:rPr>
                <w:rStyle w:val="BOLD"/>
                <w:w w:val="97"/>
                <w:sz w:val="15"/>
                <w:szCs w:val="15"/>
              </w:rPr>
              <w:t>N/A</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9DF6042" w14:textId="77777777" w:rsidR="00EB6564" w:rsidRDefault="00EB6564">
            <w:pPr>
              <w:pStyle w:val="06cTABLETEXT"/>
              <w:jc w:val="center"/>
            </w:pPr>
            <w:r>
              <w:rPr>
                <w:rStyle w:val="BOLD"/>
              </w:rPr>
              <w:t>0.00</w:t>
            </w:r>
          </w:p>
        </w:tc>
        <w:tc>
          <w:tcPr>
            <w:tcW w:w="567"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97C8983" w14:textId="77777777" w:rsidR="00EB6564" w:rsidRDefault="00EB6564">
            <w:pPr>
              <w:pStyle w:val="06cTABLETEXT"/>
              <w:jc w:val="center"/>
            </w:pPr>
            <w:r>
              <w:rPr>
                <w:rStyle w:val="BOLD"/>
                <w:w w:val="97"/>
                <w:sz w:val="15"/>
                <w:szCs w:val="15"/>
              </w:rPr>
              <w:t>0.00</w:t>
            </w:r>
          </w:p>
        </w:tc>
        <w:tc>
          <w:tcPr>
            <w:tcW w:w="708"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9B42FA5" w14:textId="77777777" w:rsidR="00EB6564" w:rsidRDefault="00EB6564">
            <w:pPr>
              <w:pStyle w:val="06cTABLETEXT"/>
              <w:jc w:val="center"/>
            </w:pPr>
            <w:r>
              <w:rPr>
                <w:rStyle w:val="BOLD"/>
              </w:rPr>
              <w:t>674.37</w:t>
            </w:r>
          </w:p>
        </w:tc>
      </w:tr>
    </w:tbl>
    <w:p w14:paraId="78EC4053" w14:textId="77777777" w:rsidR="00EB6564" w:rsidRDefault="00EB6564" w:rsidP="00EB6564">
      <w:pPr>
        <w:pStyle w:val="06TABLEHEADING"/>
        <w:spacing w:before="227"/>
      </w:pPr>
      <w:r>
        <w:t>Table 3: Discrepancies in movements of controlled waste into the Australian Capital Territory for the period 1 July 2018 to 30 June 2019—percentage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384"/>
        <w:gridCol w:w="648"/>
        <w:gridCol w:w="649"/>
        <w:gridCol w:w="648"/>
        <w:gridCol w:w="649"/>
        <w:gridCol w:w="648"/>
        <w:gridCol w:w="649"/>
        <w:gridCol w:w="648"/>
        <w:gridCol w:w="648"/>
        <w:gridCol w:w="874"/>
      </w:tblGrid>
      <w:tr w:rsidR="00EB6564" w14:paraId="0317818B" w14:textId="77777777">
        <w:trPr>
          <w:trHeight w:val="60"/>
          <w:tblHeader/>
        </w:trPr>
        <w:tc>
          <w:tcPr>
            <w:tcW w:w="138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A6CB7DA" w14:textId="77777777" w:rsidR="00EB6564" w:rsidRDefault="00EB6564">
            <w:pPr>
              <w:pStyle w:val="06bTABLEHEADERROW"/>
            </w:pPr>
            <w:r>
              <w:t>Discrepancy Type</w:t>
            </w:r>
          </w:p>
        </w:tc>
        <w:tc>
          <w:tcPr>
            <w:tcW w:w="64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7D5EECD" w14:textId="77777777" w:rsidR="00EB6564" w:rsidRDefault="00EB6564">
            <w:pPr>
              <w:pStyle w:val="06bTABLEHEADERROW"/>
              <w:jc w:val="center"/>
            </w:pPr>
            <w:r>
              <w:t>NSW</w:t>
            </w:r>
          </w:p>
        </w:tc>
        <w:tc>
          <w:tcPr>
            <w:tcW w:w="64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53708B0" w14:textId="77777777" w:rsidR="00EB6564" w:rsidRDefault="00EB6564">
            <w:pPr>
              <w:pStyle w:val="06bTABLEHEADERROW"/>
              <w:jc w:val="center"/>
            </w:pPr>
            <w:r>
              <w:t>Vic</w:t>
            </w:r>
          </w:p>
        </w:tc>
        <w:tc>
          <w:tcPr>
            <w:tcW w:w="64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B551616" w14:textId="77777777" w:rsidR="00EB6564" w:rsidRDefault="00EB6564">
            <w:pPr>
              <w:pStyle w:val="06bTABLEHEADERROW"/>
              <w:jc w:val="center"/>
            </w:pPr>
            <w:r>
              <w:t>Qld</w:t>
            </w:r>
          </w:p>
        </w:tc>
        <w:tc>
          <w:tcPr>
            <w:tcW w:w="64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A3D3524" w14:textId="77777777" w:rsidR="00EB6564" w:rsidRDefault="00EB6564">
            <w:pPr>
              <w:pStyle w:val="06bTABLEHEADERROW"/>
              <w:jc w:val="center"/>
            </w:pPr>
            <w:r>
              <w:t>WA</w:t>
            </w:r>
          </w:p>
        </w:tc>
        <w:tc>
          <w:tcPr>
            <w:tcW w:w="64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92C7653" w14:textId="77777777" w:rsidR="00EB6564" w:rsidRDefault="00EB6564">
            <w:pPr>
              <w:pStyle w:val="06bTABLEHEADERROW"/>
              <w:jc w:val="center"/>
            </w:pPr>
            <w:r>
              <w:t>SA</w:t>
            </w:r>
          </w:p>
        </w:tc>
        <w:tc>
          <w:tcPr>
            <w:tcW w:w="64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9C43C99" w14:textId="77777777" w:rsidR="00EB6564" w:rsidRDefault="00EB6564">
            <w:pPr>
              <w:pStyle w:val="06bTABLEHEADERROW"/>
              <w:jc w:val="center"/>
            </w:pPr>
            <w:r>
              <w:t>Tas</w:t>
            </w:r>
          </w:p>
        </w:tc>
        <w:tc>
          <w:tcPr>
            <w:tcW w:w="64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8558962" w14:textId="77777777" w:rsidR="00EB6564" w:rsidRDefault="00EB6564">
            <w:pPr>
              <w:pStyle w:val="06bTABLEHEADERROW"/>
              <w:jc w:val="center"/>
            </w:pPr>
            <w:r>
              <w:t>ACT</w:t>
            </w:r>
          </w:p>
        </w:tc>
        <w:tc>
          <w:tcPr>
            <w:tcW w:w="64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484393D" w14:textId="77777777" w:rsidR="00EB6564" w:rsidRDefault="00EB6564">
            <w:pPr>
              <w:pStyle w:val="06bTABLEHEADERROW"/>
              <w:jc w:val="center"/>
            </w:pPr>
            <w:r>
              <w:t>NT</w:t>
            </w:r>
          </w:p>
        </w:tc>
        <w:tc>
          <w:tcPr>
            <w:tcW w:w="87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F949B51" w14:textId="77777777" w:rsidR="00EB6564" w:rsidRDefault="00EB6564">
            <w:pPr>
              <w:pStyle w:val="06bTABLEHEADERROW"/>
              <w:jc w:val="center"/>
            </w:pPr>
            <w:r>
              <w:t>Ext Terr *</w:t>
            </w:r>
          </w:p>
        </w:tc>
      </w:tr>
      <w:tr w:rsidR="00EB6564" w14:paraId="3B14C9FC" w14:textId="77777777">
        <w:trPr>
          <w:trHeight w:val="60"/>
        </w:trPr>
        <w:tc>
          <w:tcPr>
            <w:tcW w:w="1384"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7D16293" w14:textId="77777777" w:rsidR="00EB6564" w:rsidRDefault="00EB6564">
            <w:pPr>
              <w:pStyle w:val="06cTABLETEXT"/>
            </w:pPr>
            <w:r>
              <w:rPr>
                <w:rStyle w:val="BOLD"/>
              </w:rPr>
              <w:t>Consignment non-arrival</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76BF7A44"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2AC283E2"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034A2E47"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4FDDFD9C"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2571CC6"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2F78CE8"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5DE563DD" w14:textId="77777777" w:rsidR="00EB6564" w:rsidRDefault="00EB6564">
            <w:pPr>
              <w:pStyle w:val="06cTABLETEXT"/>
              <w:jc w:val="center"/>
            </w:pPr>
            <w:r>
              <w:t>N/A</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44350F58" w14:textId="77777777" w:rsidR="00EB6564" w:rsidRDefault="00EB6564">
            <w:pPr>
              <w:pStyle w:val="06cTABLETEXT"/>
              <w:jc w:val="center"/>
            </w:pPr>
            <w:r>
              <w:t>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429A78B0" w14:textId="77777777" w:rsidR="00EB6564" w:rsidRDefault="00EB6564">
            <w:pPr>
              <w:pStyle w:val="06cTABLETEXT"/>
              <w:jc w:val="center"/>
            </w:pPr>
            <w:r>
              <w:t>0%</w:t>
            </w:r>
          </w:p>
        </w:tc>
      </w:tr>
      <w:tr w:rsidR="00EB6564" w14:paraId="344D7131" w14:textId="77777777">
        <w:trPr>
          <w:trHeight w:val="60"/>
        </w:trPr>
        <w:tc>
          <w:tcPr>
            <w:tcW w:w="1384"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27959E6B" w14:textId="77777777" w:rsidR="00EB6564" w:rsidRDefault="00EB6564">
            <w:pPr>
              <w:pStyle w:val="06cTABLETEXT"/>
            </w:pPr>
            <w:r>
              <w:rPr>
                <w:rStyle w:val="BOLD"/>
              </w:rPr>
              <w:t>Transport without authorisation</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1EB287E"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257D3767"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4FC324C9"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0C671FF8"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B42249D"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3838BBA"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48943F9A" w14:textId="77777777" w:rsidR="00EB6564" w:rsidRDefault="00EB6564">
            <w:pPr>
              <w:pStyle w:val="06cTABLETEXT"/>
              <w:jc w:val="center"/>
            </w:pPr>
            <w:r>
              <w:t>N/A</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7A58D966" w14:textId="77777777" w:rsidR="00EB6564" w:rsidRDefault="00EB6564">
            <w:pPr>
              <w:pStyle w:val="06cTABLETEXT"/>
              <w:jc w:val="center"/>
            </w:pPr>
            <w:r>
              <w:t>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D9911D2" w14:textId="77777777" w:rsidR="00EB6564" w:rsidRDefault="00EB6564">
            <w:pPr>
              <w:pStyle w:val="06cTABLETEXT"/>
              <w:jc w:val="center"/>
            </w:pPr>
            <w:r>
              <w:t>0%</w:t>
            </w:r>
          </w:p>
        </w:tc>
      </w:tr>
      <w:tr w:rsidR="00EB6564" w14:paraId="1F415AF5" w14:textId="77777777">
        <w:trPr>
          <w:trHeight w:val="60"/>
        </w:trPr>
        <w:tc>
          <w:tcPr>
            <w:tcW w:w="1384"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9FC3EB8" w14:textId="77777777" w:rsidR="00EB6564" w:rsidRDefault="00EB6564">
            <w:pPr>
              <w:pStyle w:val="06cTABLETEXT"/>
            </w:pPr>
            <w:r>
              <w:rPr>
                <w:rStyle w:val="BOLD"/>
              </w:rPr>
              <w:t>Non-matching documentation</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7CFECB1E"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55C33987"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D82E528"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19E05B2"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064D7986"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53BC6D2"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41474885" w14:textId="77777777" w:rsidR="00EB6564" w:rsidRDefault="00EB6564">
            <w:pPr>
              <w:pStyle w:val="06cTABLETEXT"/>
              <w:jc w:val="center"/>
            </w:pPr>
            <w:r>
              <w:t>N/A</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6B5F52C" w14:textId="77777777" w:rsidR="00EB6564" w:rsidRDefault="00EB6564">
            <w:pPr>
              <w:pStyle w:val="06cTABLETEXT"/>
              <w:jc w:val="center"/>
            </w:pPr>
            <w:r>
              <w:t>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D8B9789" w14:textId="77777777" w:rsidR="00EB6564" w:rsidRDefault="00EB6564">
            <w:pPr>
              <w:pStyle w:val="06cTABLETEXT"/>
              <w:jc w:val="center"/>
            </w:pPr>
            <w:r>
              <w:t>0%</w:t>
            </w:r>
          </w:p>
        </w:tc>
      </w:tr>
      <w:tr w:rsidR="00EB6564" w14:paraId="7E9D4F63" w14:textId="77777777">
        <w:trPr>
          <w:trHeight w:val="60"/>
        </w:trPr>
        <w:tc>
          <w:tcPr>
            <w:tcW w:w="1384"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294B29F8" w14:textId="77777777" w:rsidR="00EB6564" w:rsidRDefault="00EB6564">
            <w:pPr>
              <w:pStyle w:val="06cTABLETEXT"/>
            </w:pPr>
            <w:r>
              <w:rPr>
                <w:rStyle w:val="BOLD"/>
              </w:rPr>
              <w:t>Waste data</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4395D514"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61C2CC4"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1EE4680"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0D137A8A"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F50B209" w14:textId="77777777" w:rsidR="00EB6564" w:rsidRDefault="00EB6564">
            <w:pPr>
              <w:pStyle w:val="06cTABLETEXT"/>
              <w:jc w:val="center"/>
            </w:pPr>
            <w:r>
              <w:t>0%</w:t>
            </w:r>
          </w:p>
        </w:tc>
        <w:tc>
          <w:tcPr>
            <w:tcW w:w="649"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5CADC10" w14:textId="77777777" w:rsidR="00EB6564" w:rsidRDefault="00EB6564">
            <w:pPr>
              <w:pStyle w:val="06cTABLETEXT"/>
              <w:jc w:val="center"/>
            </w:pPr>
            <w:r>
              <w:t>0%</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22690EA8" w14:textId="77777777" w:rsidR="00EB6564" w:rsidRDefault="00EB6564">
            <w:pPr>
              <w:pStyle w:val="06cTABLETEXT"/>
              <w:jc w:val="center"/>
            </w:pPr>
            <w:r>
              <w:t>N/A</w:t>
            </w:r>
          </w:p>
        </w:tc>
        <w:tc>
          <w:tcPr>
            <w:tcW w:w="648"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3640964" w14:textId="77777777" w:rsidR="00EB6564" w:rsidRDefault="00EB6564">
            <w:pPr>
              <w:pStyle w:val="06cTABLETEXT"/>
              <w:jc w:val="center"/>
            </w:pPr>
            <w:r>
              <w:t>0%</w:t>
            </w:r>
          </w:p>
        </w:tc>
        <w:tc>
          <w:tcPr>
            <w:tcW w:w="874"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FC90A50" w14:textId="77777777" w:rsidR="00EB6564" w:rsidRDefault="00EB6564">
            <w:pPr>
              <w:pStyle w:val="06cTABLETEXT"/>
              <w:jc w:val="center"/>
            </w:pPr>
            <w:r>
              <w:t>0%</w:t>
            </w:r>
          </w:p>
        </w:tc>
      </w:tr>
    </w:tbl>
    <w:p w14:paraId="14B2DDD2" w14:textId="77777777" w:rsidR="00EB6564" w:rsidRDefault="00EB6564" w:rsidP="00EB6564">
      <w:pPr>
        <w:pStyle w:val="06TABLEHEADING"/>
        <w:spacing w:before="227"/>
      </w:pPr>
      <w:r>
        <w:t>Table 4: Number of movements of controlled waste into the Australian Capital Territory for the period 1 July 2018 to 30 June 2019</w:t>
      </w:r>
    </w:p>
    <w:tbl>
      <w:tblPr>
        <w:tblW w:w="0" w:type="auto"/>
        <w:tblInd w:w="-5" w:type="dxa"/>
        <w:tblLayout w:type="fixed"/>
        <w:tblCellMar>
          <w:left w:w="0" w:type="dxa"/>
          <w:right w:w="0" w:type="dxa"/>
        </w:tblCellMar>
        <w:tblLook w:val="0000" w:firstRow="0" w:lastRow="0" w:firstColumn="0" w:lastColumn="0" w:noHBand="0" w:noVBand="0"/>
      </w:tblPr>
      <w:tblGrid>
        <w:gridCol w:w="794"/>
        <w:gridCol w:w="794"/>
        <w:gridCol w:w="794"/>
        <w:gridCol w:w="794"/>
        <w:gridCol w:w="794"/>
        <w:gridCol w:w="794"/>
        <w:gridCol w:w="794"/>
        <w:gridCol w:w="794"/>
        <w:gridCol w:w="1077"/>
      </w:tblGrid>
      <w:tr w:rsidR="00EB6564" w14:paraId="2B9458A2" w14:textId="77777777">
        <w:trPr>
          <w:trHeight w:val="60"/>
          <w:tblHeader/>
        </w:trPr>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CF47FDB" w14:textId="77777777" w:rsidR="00EB6564" w:rsidRDefault="00EB6564">
            <w:pPr>
              <w:pStyle w:val="06bTABLEHEADERROW"/>
              <w:jc w:val="center"/>
            </w:pPr>
            <w:r>
              <w:t>NSW</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AD9C1BC" w14:textId="77777777" w:rsidR="00EB6564" w:rsidRDefault="00EB6564">
            <w:pPr>
              <w:pStyle w:val="06bTABLEHEADERROW"/>
              <w:jc w:val="center"/>
            </w:pPr>
            <w:r>
              <w:t>Vic</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EEA2695" w14:textId="77777777" w:rsidR="00EB6564" w:rsidRDefault="00EB6564">
            <w:pPr>
              <w:pStyle w:val="06bTABLEHEADERROW"/>
              <w:jc w:val="center"/>
            </w:pPr>
            <w:r>
              <w:t>Qld</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7D70171" w14:textId="77777777" w:rsidR="00EB6564" w:rsidRDefault="00EB6564">
            <w:pPr>
              <w:pStyle w:val="06bTABLEHEADERROW"/>
              <w:jc w:val="center"/>
            </w:pPr>
            <w:r>
              <w:t>WA</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E5F0153" w14:textId="77777777" w:rsidR="00EB6564" w:rsidRDefault="00EB6564">
            <w:pPr>
              <w:pStyle w:val="06bTABLEHEADERROW"/>
              <w:jc w:val="center"/>
            </w:pPr>
            <w:r>
              <w:t>SA</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DC2AC9C" w14:textId="77777777" w:rsidR="00EB6564" w:rsidRDefault="00EB6564">
            <w:pPr>
              <w:pStyle w:val="06bTABLEHEADERROW"/>
              <w:jc w:val="center"/>
            </w:pPr>
            <w:r>
              <w:t>Tas</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064C63F" w14:textId="77777777" w:rsidR="00EB6564" w:rsidRDefault="00EB6564">
            <w:pPr>
              <w:pStyle w:val="06bTABLEHEADERROW"/>
              <w:jc w:val="center"/>
            </w:pPr>
            <w:r>
              <w:t>ACT</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516362E" w14:textId="77777777" w:rsidR="00EB6564" w:rsidRDefault="00EB6564">
            <w:pPr>
              <w:pStyle w:val="06bTABLEHEADERROW"/>
              <w:jc w:val="center"/>
            </w:pPr>
            <w:r>
              <w:t>NT</w:t>
            </w:r>
          </w:p>
        </w:tc>
        <w:tc>
          <w:tcPr>
            <w:tcW w:w="10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0294DA3" w14:textId="77777777" w:rsidR="00EB6564" w:rsidRDefault="00EB6564">
            <w:pPr>
              <w:pStyle w:val="06bTABLEHEADERROW"/>
              <w:jc w:val="center"/>
            </w:pPr>
            <w:r>
              <w:t>Ext Terr*</w:t>
            </w:r>
          </w:p>
        </w:tc>
      </w:tr>
      <w:tr w:rsidR="00EB6564" w14:paraId="04689185" w14:textId="77777777">
        <w:trPr>
          <w:trHeight w:val="60"/>
        </w:trPr>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5190056" w14:textId="77777777" w:rsidR="00EB6564" w:rsidRDefault="00EB6564">
            <w:pPr>
              <w:pStyle w:val="06cTABLETEXT"/>
              <w:jc w:val="center"/>
            </w:pPr>
            <w:r>
              <w:t>764</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B2EDA01" w14:textId="77777777" w:rsidR="00EB6564" w:rsidRDefault="00EB6564">
            <w:pPr>
              <w:pStyle w:val="06cTABLETEXT"/>
              <w:jc w:val="center"/>
            </w:pPr>
            <w:r>
              <w:t>4</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F6E2E75" w14:textId="77777777" w:rsidR="00EB6564" w:rsidRDefault="00EB6564">
            <w:pPr>
              <w:pStyle w:val="06cTABLETEXT"/>
              <w:jc w:val="center"/>
            </w:pPr>
            <w:r>
              <w:t>2</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0F90D08"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D75AD2B"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6812C7B"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49426B4"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29D8DD2" w14:textId="77777777" w:rsidR="00EB6564" w:rsidRDefault="00EB6564">
            <w:pPr>
              <w:pStyle w:val="06cTABLETEXT"/>
              <w:jc w:val="center"/>
            </w:pPr>
            <w:r>
              <w:t>0</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156A79A" w14:textId="77777777" w:rsidR="00EB6564" w:rsidRDefault="00EB6564">
            <w:pPr>
              <w:pStyle w:val="06cTABLETEXT"/>
              <w:jc w:val="center"/>
            </w:pPr>
            <w:r>
              <w:t>0</w:t>
            </w:r>
          </w:p>
        </w:tc>
      </w:tr>
    </w:tbl>
    <w:p w14:paraId="3AA3553D" w14:textId="77777777" w:rsidR="00EB6564" w:rsidRDefault="00EB6564" w:rsidP="00EB6564">
      <w:pPr>
        <w:pStyle w:val="02HEADING2"/>
        <w:spacing w:before="0"/>
      </w:pPr>
    </w:p>
    <w:p w14:paraId="2709C84C" w14:textId="77777777" w:rsidR="00EB6564" w:rsidRPr="009408AB" w:rsidRDefault="00EB6564" w:rsidP="00CB0DA6">
      <w:pPr>
        <w:pStyle w:val="Heading2"/>
      </w:pPr>
      <w:bookmarkStart w:id="63" w:name="_Toc58254417"/>
      <w:r w:rsidRPr="009408AB">
        <w:t>Northern Territory</w:t>
      </w:r>
      <w:bookmarkEnd w:id="63"/>
    </w:p>
    <w:p w14:paraId="3D55DBDC" w14:textId="77777777" w:rsidR="00EB6564" w:rsidRDefault="00EB6564" w:rsidP="00EB6564">
      <w:pPr>
        <w:pStyle w:val="05BODYTEXT"/>
        <w:rPr>
          <w:rStyle w:val="ITALIC"/>
        </w:rPr>
      </w:pPr>
      <w:r>
        <w:rPr>
          <w:rStyle w:val="ITALIC"/>
        </w:rPr>
        <w:t>Report to the NEPC on the implementation of the National Environment Protection (Movement of Controlled Waste between States and Territories) Measure for the Northern Territory by the Hon Eva Lawler MLA, Minister for Environment and Natural Resources for the reporting year ended 30 June 2019.</w:t>
      </w:r>
    </w:p>
    <w:p w14:paraId="21E04F01" w14:textId="77777777" w:rsidR="00EB6564" w:rsidRDefault="00EB6564" w:rsidP="00EB6564">
      <w:pPr>
        <w:pStyle w:val="02HEADING2"/>
      </w:pPr>
      <w:r>
        <w:t>Part 1—Implementation of the NEPM and any significant issues</w:t>
      </w:r>
    </w:p>
    <w:p w14:paraId="3543A92A" w14:textId="77777777" w:rsidR="00EB6564" w:rsidRDefault="00EB6564" w:rsidP="00EB6564">
      <w:pPr>
        <w:pStyle w:val="05BODYTEXT"/>
      </w:pPr>
      <w:r>
        <w:t xml:space="preserve">The Northern Territory </w:t>
      </w:r>
      <w:r>
        <w:rPr>
          <w:rStyle w:val="ITALIC"/>
        </w:rPr>
        <w:t>Waste Management and Pollution Control Act 199</w:t>
      </w:r>
      <w:r>
        <w:t xml:space="preserve">8 provides the legislative basis to regulate and administer the National Environment Protection (Movement of Controlled Waste between States and Territories) Measure (NEPM). The Northern Territory Environment Protection Authority (NT EPA) administers the Northern Territory’s obligations through licensing of scheduled activities that involve the movement of controlled wastes across state/territory boundaries and the issuing and receipt of Waste Transport Certificates. This level of involvement is commensurate with the terms of the agreement between states and territories on matters relating to the implementation of the NEPM. The level of environmental safeguard is further bolstered within the Northern Territory by the NT WorkSafe administration of the </w:t>
      </w:r>
      <w:r>
        <w:rPr>
          <w:rStyle w:val="ITALIC"/>
        </w:rPr>
        <w:t>Transport of Dangerous Goods by Road and Rail (National Uniform Legislation) Act 2010</w:t>
      </w:r>
      <w:r>
        <w:t>.</w:t>
      </w:r>
    </w:p>
    <w:p w14:paraId="7FBD74E3" w14:textId="77777777" w:rsidR="00EB6564" w:rsidRDefault="00EB6564" w:rsidP="00EB6564">
      <w:pPr>
        <w:pStyle w:val="05BODYTEXT"/>
      </w:pPr>
      <w:r>
        <w:t xml:space="preserve">The movement and volume of controlled waste into the Northern Territory will increase significantly should the proposed development of an underground waste storage facility south of Alice Springs proceed. </w:t>
      </w:r>
    </w:p>
    <w:p w14:paraId="223A375B" w14:textId="77777777" w:rsidR="00EB6564" w:rsidRDefault="00EB6564" w:rsidP="00EB6564">
      <w:pPr>
        <w:pStyle w:val="02HEADING2"/>
      </w:pPr>
      <w:r>
        <w:t>Part 2—Assessment of NEPM effectiveness</w:t>
      </w:r>
    </w:p>
    <w:p w14:paraId="2E6A6085" w14:textId="77777777" w:rsidR="00EB6564" w:rsidRDefault="00EB6564" w:rsidP="00EB6564">
      <w:pPr>
        <w:pStyle w:val="05BODYTEXT"/>
      </w:pPr>
      <w:r>
        <w:t>Movement of controlled waste currently tends to be from the NT to other states. The NEPM provides a consistent system for use in the Northern Territory when required and the Northern Territory has implemented a paper-based system for Consignment Authorisations and Waste Tracking Certificates. The Northern Territory is exploring options for an electronic system to facilitate more efficient waste tracking under the NEPM. Discrepancies in movements of controlled waste into the Territory for the period relate entirely to errors in completing the paper-based waste transport certificates.</w:t>
      </w:r>
    </w:p>
    <w:p w14:paraId="4205AC94" w14:textId="77777777" w:rsidR="00EB6564" w:rsidRDefault="00EB6564" w:rsidP="00EB6564">
      <w:pPr>
        <w:pStyle w:val="06TABLEHEADING"/>
      </w:pPr>
      <w:r>
        <w:t>Table 1: Number of consignment authorisations issued by Northern Territory</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EB6564" w14:paraId="47374058"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EBA7092" w14:textId="77777777" w:rsidR="00EB6564" w:rsidRDefault="00EB6564">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17D83D5" w14:textId="77777777" w:rsidR="00EB6564" w:rsidRDefault="00EB6564">
            <w:pPr>
              <w:pStyle w:val="06bTABLEHEADERROW"/>
              <w:jc w:val="center"/>
            </w:pPr>
            <w:r>
              <w:t xml:space="preserve">Consignment authorisations issued </w:t>
            </w:r>
          </w:p>
        </w:tc>
      </w:tr>
      <w:tr w:rsidR="00EB6564" w14:paraId="5349097A"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DAC5221" w14:textId="77777777" w:rsidR="00EB6564" w:rsidRDefault="00EB6564">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6D778FB" w14:textId="77777777" w:rsidR="00EB6564" w:rsidRDefault="00EB6564">
            <w:pPr>
              <w:pStyle w:val="06cTABLETEXT"/>
              <w:jc w:val="center"/>
            </w:pPr>
            <w:r>
              <w:t>5</w:t>
            </w:r>
          </w:p>
        </w:tc>
      </w:tr>
      <w:tr w:rsidR="00EB6564" w14:paraId="403A07B7"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3FD746C" w14:textId="77777777" w:rsidR="00EB6564" w:rsidRDefault="00EB6564">
            <w:pPr>
              <w:pStyle w:val="06cTABLETEXT"/>
              <w:jc w:val="center"/>
            </w:pPr>
            <w:r>
              <w:t>2018–19</w:t>
            </w:r>
          </w:p>
        </w:tc>
        <w:tc>
          <w:tcPr>
            <w:tcW w:w="370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D682AAE" w14:textId="77777777" w:rsidR="00EB6564" w:rsidRDefault="00EB6564">
            <w:pPr>
              <w:pStyle w:val="06cTABLETEXT"/>
              <w:jc w:val="center"/>
            </w:pPr>
            <w:r>
              <w:t>10</w:t>
            </w:r>
          </w:p>
        </w:tc>
      </w:tr>
    </w:tbl>
    <w:p w14:paraId="0D46BB4B" w14:textId="77777777" w:rsidR="00EB6564" w:rsidRDefault="00EB6564" w:rsidP="00EB6564">
      <w:pPr>
        <w:pStyle w:val="05BODYTEXT"/>
      </w:pPr>
    </w:p>
    <w:p w14:paraId="2C48D467" w14:textId="77777777" w:rsidR="00EB6564" w:rsidRDefault="00EB6564" w:rsidP="00EB6564">
      <w:pPr>
        <w:pStyle w:val="06TABLEHEADING"/>
      </w:pPr>
      <w:r>
        <w:t>Table 2: Quantity of controlled waste into Northern Territory for the period 1 July 2018 to 30 June 2019—Tonnes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05"/>
        <w:gridCol w:w="1157"/>
        <w:gridCol w:w="595"/>
        <w:gridCol w:w="594"/>
        <w:gridCol w:w="595"/>
        <w:gridCol w:w="595"/>
        <w:gridCol w:w="595"/>
        <w:gridCol w:w="594"/>
        <w:gridCol w:w="595"/>
        <w:gridCol w:w="595"/>
        <w:gridCol w:w="595"/>
        <w:gridCol w:w="609"/>
      </w:tblGrid>
      <w:tr w:rsidR="00EB6564" w14:paraId="7084FEF8" w14:textId="77777777">
        <w:trPr>
          <w:trHeight w:val="340"/>
          <w:tblHeader/>
        </w:trPr>
        <w:tc>
          <w:tcPr>
            <w:tcW w:w="505"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010946AB" w14:textId="77777777" w:rsidR="00EB6564" w:rsidRDefault="00EB6564">
            <w:pPr>
              <w:pStyle w:val="06bTABLEHEADERROW"/>
              <w:jc w:val="center"/>
            </w:pPr>
            <w:r>
              <w:t>Code</w:t>
            </w:r>
          </w:p>
        </w:tc>
        <w:tc>
          <w:tcPr>
            <w:tcW w:w="1157"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5BE8BA07" w14:textId="77777777" w:rsidR="00EB6564" w:rsidRDefault="00EB6564">
            <w:pPr>
              <w:pStyle w:val="06bTABLEHEADERROW"/>
              <w:jc w:val="center"/>
            </w:pPr>
            <w:r>
              <w:t>Description</w:t>
            </w:r>
          </w:p>
        </w:tc>
        <w:tc>
          <w:tcPr>
            <w:tcW w:w="595"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0A358952" w14:textId="77777777" w:rsidR="00EB6564" w:rsidRDefault="00EB6564">
            <w:pPr>
              <w:pStyle w:val="06bTABLEHEADERROW"/>
              <w:jc w:val="center"/>
            </w:pPr>
            <w:r>
              <w:t>NSW</w:t>
            </w:r>
          </w:p>
        </w:tc>
        <w:tc>
          <w:tcPr>
            <w:tcW w:w="594"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42E1C783" w14:textId="77777777" w:rsidR="00EB6564" w:rsidRDefault="00EB6564">
            <w:pPr>
              <w:pStyle w:val="06bTABLEHEADERROW"/>
              <w:jc w:val="center"/>
            </w:pPr>
            <w:r>
              <w:t>Vic</w:t>
            </w:r>
          </w:p>
        </w:tc>
        <w:tc>
          <w:tcPr>
            <w:tcW w:w="595"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6AAFB352" w14:textId="77777777" w:rsidR="00EB6564" w:rsidRDefault="00EB6564">
            <w:pPr>
              <w:pStyle w:val="06bTABLEHEADERROW"/>
              <w:jc w:val="center"/>
            </w:pPr>
            <w:r>
              <w:t>Qld</w:t>
            </w:r>
          </w:p>
        </w:tc>
        <w:tc>
          <w:tcPr>
            <w:tcW w:w="595"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717F3C9C" w14:textId="77777777" w:rsidR="00EB6564" w:rsidRDefault="00EB6564">
            <w:pPr>
              <w:pStyle w:val="06bTABLEHEADERROW"/>
              <w:jc w:val="center"/>
            </w:pPr>
            <w:r>
              <w:t>WA</w:t>
            </w:r>
          </w:p>
        </w:tc>
        <w:tc>
          <w:tcPr>
            <w:tcW w:w="595"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3945151F" w14:textId="77777777" w:rsidR="00EB6564" w:rsidRDefault="00EB6564">
            <w:pPr>
              <w:pStyle w:val="06bTABLEHEADERROW"/>
              <w:jc w:val="center"/>
            </w:pPr>
            <w:r>
              <w:t>SA</w:t>
            </w:r>
          </w:p>
        </w:tc>
        <w:tc>
          <w:tcPr>
            <w:tcW w:w="594"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2A482832" w14:textId="77777777" w:rsidR="00EB6564" w:rsidRDefault="00EB6564">
            <w:pPr>
              <w:pStyle w:val="06bTABLEHEADERROW"/>
              <w:jc w:val="center"/>
            </w:pPr>
            <w:r>
              <w:t>Tas</w:t>
            </w:r>
          </w:p>
        </w:tc>
        <w:tc>
          <w:tcPr>
            <w:tcW w:w="595"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2D3AC927" w14:textId="77777777" w:rsidR="00EB6564" w:rsidRDefault="00EB6564">
            <w:pPr>
              <w:pStyle w:val="06bTABLEHEADERROW"/>
              <w:jc w:val="center"/>
            </w:pPr>
            <w:r>
              <w:t>ACT</w:t>
            </w:r>
          </w:p>
        </w:tc>
        <w:tc>
          <w:tcPr>
            <w:tcW w:w="595"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43439F7B" w14:textId="77777777" w:rsidR="00EB6564" w:rsidRDefault="00EB6564">
            <w:pPr>
              <w:pStyle w:val="06bTABLEHEADERROW"/>
              <w:jc w:val="center"/>
            </w:pPr>
            <w:r>
              <w:t>NT</w:t>
            </w:r>
          </w:p>
        </w:tc>
        <w:tc>
          <w:tcPr>
            <w:tcW w:w="595" w:type="dxa"/>
            <w:tcBorders>
              <w:top w:val="single" w:sz="8" w:space="0" w:color="FFFFFF"/>
              <w:left w:val="single" w:sz="4" w:space="0" w:color="FFFFFF"/>
              <w:bottom w:val="single" w:sz="8" w:space="0" w:color="FFFFFF"/>
              <w:right w:val="single" w:sz="4" w:space="0" w:color="FFFFFF"/>
            </w:tcBorders>
            <w:shd w:val="solid" w:color="000000" w:fill="auto"/>
            <w:tcMar>
              <w:top w:w="85" w:type="dxa"/>
              <w:left w:w="170" w:type="dxa"/>
              <w:bottom w:w="85" w:type="dxa"/>
              <w:right w:w="0" w:type="dxa"/>
            </w:tcMar>
            <w:vAlign w:val="bottom"/>
          </w:tcPr>
          <w:p w14:paraId="144A0202" w14:textId="77777777" w:rsidR="00EB6564" w:rsidRDefault="00EB6564">
            <w:pPr>
              <w:pStyle w:val="06bTABLEHEADERROW"/>
            </w:pPr>
            <w:r>
              <w:t>Ext-Terr*</w:t>
            </w:r>
          </w:p>
        </w:tc>
        <w:tc>
          <w:tcPr>
            <w:tcW w:w="609" w:type="dxa"/>
            <w:tcBorders>
              <w:top w:val="single" w:sz="8"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763BD5C6" w14:textId="77777777" w:rsidR="00EB6564" w:rsidRDefault="00EB6564">
            <w:pPr>
              <w:pStyle w:val="06bTABLEHEADERROW"/>
              <w:jc w:val="center"/>
            </w:pPr>
            <w:r>
              <w:rPr>
                <w:rStyle w:val="BOLD"/>
                <w:b/>
                <w:bCs/>
              </w:rPr>
              <w:t>Total (tonnes)</w:t>
            </w:r>
          </w:p>
        </w:tc>
      </w:tr>
      <w:tr w:rsidR="00EB6564" w14:paraId="2C19F351"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9365B9E" w14:textId="77777777" w:rsidR="00EB6564" w:rsidRDefault="00EB6564">
            <w:pPr>
              <w:pStyle w:val="06cTABLETEXT"/>
              <w:jc w:val="center"/>
            </w:pPr>
            <w:r>
              <w:rPr>
                <w:rStyle w:val="BOLD"/>
              </w:rPr>
              <w:t>A</w:t>
            </w:r>
          </w:p>
        </w:tc>
        <w:tc>
          <w:tcPr>
            <w:tcW w:w="1157"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7565890C" w14:textId="77777777" w:rsidR="00EB6564" w:rsidRDefault="00EB6564">
            <w:pPr>
              <w:pStyle w:val="06cTABLETEXT"/>
            </w:pPr>
            <w:r>
              <w:rPr>
                <w:rStyle w:val="BOLD"/>
              </w:rPr>
              <w:t>Plating &amp; heat treatment</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3478A98"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A9CBF29"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A5E6ED8"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3CF447D"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1833818"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220BAB8A"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4C0972A"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B73F6EB" w14:textId="77777777" w:rsidR="00EB6564" w:rsidRDefault="00EB6564">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AD4709A" w14:textId="77777777" w:rsidR="00EB6564" w:rsidRDefault="00EB6564">
            <w:pPr>
              <w:pStyle w:val="06cTABLETEXT"/>
              <w:jc w:val="center"/>
            </w:pPr>
            <w: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2F069DD" w14:textId="77777777" w:rsidR="00EB6564" w:rsidRDefault="00EB6564">
            <w:pPr>
              <w:pStyle w:val="06cTABLETEXT"/>
              <w:jc w:val="center"/>
            </w:pPr>
            <w:r>
              <w:rPr>
                <w:rStyle w:val="BOLD"/>
              </w:rPr>
              <w:t>0.00</w:t>
            </w:r>
          </w:p>
        </w:tc>
      </w:tr>
      <w:tr w:rsidR="00EB6564" w14:paraId="10ABEC19"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7A982E75" w14:textId="77777777" w:rsidR="00EB6564" w:rsidRDefault="00EB6564">
            <w:pPr>
              <w:pStyle w:val="06cTABLETEXT"/>
              <w:jc w:val="center"/>
            </w:pPr>
            <w:r>
              <w:rPr>
                <w:rStyle w:val="BOLD"/>
              </w:rPr>
              <w:t>B</w:t>
            </w:r>
          </w:p>
        </w:tc>
        <w:tc>
          <w:tcPr>
            <w:tcW w:w="1157"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3B3B3C02" w14:textId="77777777" w:rsidR="00EB6564" w:rsidRDefault="00EB6564">
            <w:pPr>
              <w:pStyle w:val="06cTABLETEXT"/>
            </w:pPr>
            <w:r>
              <w:rPr>
                <w:rStyle w:val="BOLD"/>
              </w:rPr>
              <w:t>Acids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A79FC27"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4CB65CB"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A0CFFB9"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FBB5A64"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21875D4F"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1137544"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2869C2D"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1224875" w14:textId="77777777" w:rsidR="00EB6564" w:rsidRDefault="00EB6564">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B428FBD" w14:textId="77777777" w:rsidR="00EB6564" w:rsidRDefault="00EB6564">
            <w:pPr>
              <w:pStyle w:val="06cTABLETEXT"/>
              <w:jc w:val="center"/>
            </w:pPr>
            <w: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23911A55" w14:textId="77777777" w:rsidR="00EB6564" w:rsidRDefault="00EB6564">
            <w:pPr>
              <w:pStyle w:val="06cTABLETEXT"/>
              <w:jc w:val="center"/>
            </w:pPr>
            <w:r>
              <w:rPr>
                <w:rStyle w:val="BOLD"/>
              </w:rPr>
              <w:t>0.00</w:t>
            </w:r>
          </w:p>
        </w:tc>
      </w:tr>
      <w:tr w:rsidR="00EB6564" w14:paraId="7142DA81"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2E8D3DEB" w14:textId="77777777" w:rsidR="00EB6564" w:rsidRDefault="00EB6564">
            <w:pPr>
              <w:pStyle w:val="06cTABLETEXT"/>
              <w:jc w:val="center"/>
            </w:pPr>
            <w:r>
              <w:rPr>
                <w:rStyle w:val="BOLD"/>
              </w:rPr>
              <w:t>C</w:t>
            </w:r>
          </w:p>
        </w:tc>
        <w:tc>
          <w:tcPr>
            <w:tcW w:w="1157"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7B8D3B1B" w14:textId="77777777" w:rsidR="00EB6564" w:rsidRDefault="00EB6564">
            <w:pPr>
              <w:pStyle w:val="06cTABLETEXT"/>
            </w:pPr>
            <w:r>
              <w:rPr>
                <w:rStyle w:val="BOLD"/>
              </w:rPr>
              <w:t>Alkalis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42179BC"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348161C"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F8510E8"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EE65ADC"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638AE2C"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77E9864"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EA8F5F6"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2F0E310" w14:textId="77777777" w:rsidR="00EB6564" w:rsidRDefault="00EB6564">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E43D107" w14:textId="77777777" w:rsidR="00EB6564" w:rsidRDefault="00EB6564">
            <w:pPr>
              <w:pStyle w:val="06cTABLETEXT"/>
              <w:jc w:val="center"/>
            </w:pPr>
            <w: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AB6C8D2" w14:textId="77777777" w:rsidR="00EB6564" w:rsidRDefault="00EB6564">
            <w:pPr>
              <w:pStyle w:val="06cTABLETEXT"/>
              <w:jc w:val="center"/>
            </w:pPr>
            <w:r>
              <w:rPr>
                <w:rStyle w:val="BOLD"/>
              </w:rPr>
              <w:t>0.00</w:t>
            </w:r>
          </w:p>
        </w:tc>
      </w:tr>
      <w:tr w:rsidR="00EB6564" w14:paraId="635E6A32"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2CC58C3D" w14:textId="77777777" w:rsidR="00EB6564" w:rsidRDefault="00EB6564">
            <w:pPr>
              <w:pStyle w:val="06cTABLETEXT"/>
              <w:jc w:val="center"/>
            </w:pPr>
            <w:r>
              <w:rPr>
                <w:rStyle w:val="BOLD"/>
              </w:rPr>
              <w:t>D</w:t>
            </w:r>
          </w:p>
        </w:tc>
        <w:tc>
          <w:tcPr>
            <w:tcW w:w="1157"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31A1BFED" w14:textId="77777777" w:rsidR="00EB6564" w:rsidRDefault="00EB6564">
            <w:pPr>
              <w:pStyle w:val="06cTABLETEXT"/>
            </w:pPr>
            <w:r>
              <w:rPr>
                <w:rStyle w:val="BOLD"/>
              </w:rPr>
              <w:t>Inorganic chemicals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254CB0AE"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A22C4ED"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2E97709"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188844B"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D47D3A3"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78EFC5D"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3747398"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5837924" w14:textId="77777777" w:rsidR="00EB6564" w:rsidRDefault="00EB6564">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FCB3BA2" w14:textId="77777777" w:rsidR="00EB6564" w:rsidRDefault="00EB6564">
            <w:pPr>
              <w:pStyle w:val="06cTABLETEXT"/>
              <w:jc w:val="center"/>
            </w:pPr>
            <w: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2BBA2B9" w14:textId="77777777" w:rsidR="00EB6564" w:rsidRDefault="00EB6564">
            <w:pPr>
              <w:pStyle w:val="06cTABLETEXT"/>
              <w:jc w:val="center"/>
            </w:pPr>
            <w:r>
              <w:rPr>
                <w:rStyle w:val="BOLD"/>
              </w:rPr>
              <w:t>0.00</w:t>
            </w:r>
          </w:p>
        </w:tc>
      </w:tr>
      <w:tr w:rsidR="00EB6564" w14:paraId="30458377"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81CFBF2" w14:textId="77777777" w:rsidR="00EB6564" w:rsidRDefault="00EB6564">
            <w:pPr>
              <w:pStyle w:val="06cTABLETEXT"/>
              <w:jc w:val="center"/>
            </w:pPr>
            <w:r>
              <w:rPr>
                <w:rStyle w:val="BOLD"/>
              </w:rPr>
              <w:t>E</w:t>
            </w:r>
          </w:p>
        </w:tc>
        <w:tc>
          <w:tcPr>
            <w:tcW w:w="1157"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4AFA4F73" w14:textId="77777777" w:rsidR="00EB6564" w:rsidRDefault="00EB6564">
            <w:pPr>
              <w:pStyle w:val="06cTABLETEXT"/>
            </w:pPr>
            <w:r>
              <w:rPr>
                <w:rStyle w:val="BOLD"/>
              </w:rPr>
              <w:t>Reactive chemicals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FC6D520"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9EB317A"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ED5CABF"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ACFC86C"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0489234"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B1DACDB"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C7D30D7"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9C7756F" w14:textId="77777777" w:rsidR="00EB6564" w:rsidRDefault="00EB6564">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3F0E82F" w14:textId="77777777" w:rsidR="00EB6564" w:rsidRDefault="00EB6564">
            <w:pPr>
              <w:pStyle w:val="06cTABLETEXT"/>
              <w:jc w:val="center"/>
            </w:pPr>
            <w: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C082A25" w14:textId="77777777" w:rsidR="00EB6564" w:rsidRDefault="00EB6564">
            <w:pPr>
              <w:pStyle w:val="06cTABLETEXT"/>
              <w:jc w:val="center"/>
            </w:pPr>
            <w:r>
              <w:rPr>
                <w:rStyle w:val="BOLD"/>
              </w:rPr>
              <w:t>0.00</w:t>
            </w:r>
          </w:p>
        </w:tc>
      </w:tr>
      <w:tr w:rsidR="00EB6564" w14:paraId="053C6D50"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75D144A5" w14:textId="77777777" w:rsidR="00EB6564" w:rsidRDefault="00EB6564">
            <w:pPr>
              <w:pStyle w:val="06cTABLETEXT"/>
              <w:jc w:val="center"/>
            </w:pPr>
            <w:r>
              <w:rPr>
                <w:rStyle w:val="BOLD"/>
              </w:rPr>
              <w:t>F</w:t>
            </w:r>
          </w:p>
        </w:tc>
        <w:tc>
          <w:tcPr>
            <w:tcW w:w="1157"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784354AA" w14:textId="77777777" w:rsidR="00EB6564" w:rsidRDefault="00EB6564">
            <w:pPr>
              <w:pStyle w:val="06cTABLETEXT"/>
            </w:pPr>
            <w:r>
              <w:rPr>
                <w:rStyle w:val="BOLD"/>
              </w:rPr>
              <w:t>Paints, resins, inks organic sludges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A13FF29"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C30960B"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EF90F24"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3C6CEB0"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CF42475"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D277346"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D7E04F2"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6907A74" w14:textId="77777777" w:rsidR="00EB6564" w:rsidRDefault="00EB6564">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FB67301" w14:textId="77777777" w:rsidR="00EB6564" w:rsidRDefault="00EB6564">
            <w:pPr>
              <w:pStyle w:val="06cTABLETEXT"/>
              <w:jc w:val="center"/>
            </w:pPr>
            <w: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566D669" w14:textId="77777777" w:rsidR="00EB6564" w:rsidRDefault="00EB6564">
            <w:pPr>
              <w:pStyle w:val="06cTABLETEXT"/>
              <w:jc w:val="center"/>
            </w:pPr>
            <w:r>
              <w:rPr>
                <w:rStyle w:val="BOLD"/>
              </w:rPr>
              <w:t>0.00</w:t>
            </w:r>
          </w:p>
        </w:tc>
      </w:tr>
      <w:tr w:rsidR="00EB6564" w14:paraId="1CDAA594"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7A3A5094" w14:textId="77777777" w:rsidR="00EB6564" w:rsidRDefault="00EB6564">
            <w:pPr>
              <w:pStyle w:val="06cTABLETEXT"/>
              <w:jc w:val="center"/>
            </w:pPr>
            <w:r>
              <w:rPr>
                <w:rStyle w:val="BOLD"/>
              </w:rPr>
              <w:lastRenderedPageBreak/>
              <w:t>G</w:t>
            </w:r>
          </w:p>
        </w:tc>
        <w:tc>
          <w:tcPr>
            <w:tcW w:w="1157"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2A3238A6" w14:textId="77777777" w:rsidR="00EB6564" w:rsidRDefault="00EB6564">
            <w:pPr>
              <w:pStyle w:val="06cTABLETEXT"/>
            </w:pPr>
            <w:r>
              <w:rPr>
                <w:rStyle w:val="BOLD"/>
              </w:rPr>
              <w:t>Organic solvents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3B40DF2"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D87EE5C"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2CFF30C"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EABF2F7"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594E53D"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C2B4A93"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3D8B515"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BA7ABA4" w14:textId="77777777" w:rsidR="00EB6564" w:rsidRDefault="00EB6564">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A707139" w14:textId="77777777" w:rsidR="00EB6564" w:rsidRDefault="00EB6564">
            <w:pPr>
              <w:pStyle w:val="06cTABLETEXT"/>
              <w:jc w:val="center"/>
            </w:pPr>
            <w: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6B4457E" w14:textId="77777777" w:rsidR="00EB6564" w:rsidRDefault="00EB6564">
            <w:pPr>
              <w:pStyle w:val="06cTABLETEXT"/>
              <w:jc w:val="center"/>
            </w:pPr>
            <w:r>
              <w:rPr>
                <w:rStyle w:val="BOLD"/>
              </w:rPr>
              <w:t>0.00</w:t>
            </w:r>
          </w:p>
        </w:tc>
      </w:tr>
      <w:tr w:rsidR="00EB6564" w14:paraId="70F2C293"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0B0ED817" w14:textId="77777777" w:rsidR="00EB6564" w:rsidRDefault="00EB6564">
            <w:pPr>
              <w:pStyle w:val="06cTABLETEXT"/>
              <w:jc w:val="center"/>
            </w:pPr>
            <w:r>
              <w:rPr>
                <w:rStyle w:val="BOLD"/>
              </w:rPr>
              <w:t>H</w:t>
            </w:r>
          </w:p>
        </w:tc>
        <w:tc>
          <w:tcPr>
            <w:tcW w:w="1157"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53849C1B" w14:textId="77777777" w:rsidR="00EB6564" w:rsidRDefault="00EB6564">
            <w:pPr>
              <w:pStyle w:val="06cTABLETEXT"/>
            </w:pPr>
            <w:r>
              <w:rPr>
                <w:rStyle w:val="BOLD"/>
              </w:rPr>
              <w:t>Pesticides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2165A907"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41236A0"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9C68418"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2FC6831B"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DA07C58"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0CF3E7E"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99D51CB"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357D9C6" w14:textId="77777777" w:rsidR="00EB6564" w:rsidRDefault="00EB6564">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C4A5286" w14:textId="77777777" w:rsidR="00EB6564" w:rsidRDefault="00EB6564">
            <w:pPr>
              <w:pStyle w:val="06cTABLETEXT"/>
              <w:jc w:val="center"/>
            </w:pPr>
            <w: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A4CD776" w14:textId="77777777" w:rsidR="00EB6564" w:rsidRDefault="00EB6564">
            <w:pPr>
              <w:pStyle w:val="06cTABLETEXT"/>
              <w:jc w:val="center"/>
            </w:pPr>
            <w:r>
              <w:rPr>
                <w:rStyle w:val="BOLD"/>
              </w:rPr>
              <w:t>0.00</w:t>
            </w:r>
          </w:p>
        </w:tc>
      </w:tr>
      <w:tr w:rsidR="00EB6564" w14:paraId="6FC21455"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2C1F7338" w14:textId="77777777" w:rsidR="00EB6564" w:rsidRDefault="00EB6564">
            <w:pPr>
              <w:pStyle w:val="06cTABLETEXT"/>
              <w:jc w:val="center"/>
            </w:pPr>
            <w:r>
              <w:rPr>
                <w:rStyle w:val="BOLD"/>
              </w:rPr>
              <w:t>J</w:t>
            </w:r>
          </w:p>
        </w:tc>
        <w:tc>
          <w:tcPr>
            <w:tcW w:w="1157"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4D9401E3" w14:textId="77777777" w:rsidR="00EB6564" w:rsidRDefault="00EB6564">
            <w:pPr>
              <w:pStyle w:val="06cTABLETEXT"/>
            </w:pPr>
            <w:r>
              <w:rPr>
                <w:rStyle w:val="BOLD"/>
              </w:rPr>
              <w:t>Oils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2193370"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BD71E96"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6BD4498" w14:textId="77777777" w:rsidR="00EB6564" w:rsidRDefault="00EB6564">
            <w:pPr>
              <w:pStyle w:val="06cTABLETEXT"/>
              <w:jc w:val="center"/>
            </w:pPr>
            <w:r>
              <w:t>125.84</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5FD6ED6" w14:textId="77777777" w:rsidR="00EB6564" w:rsidRDefault="00EB6564">
            <w:pPr>
              <w:pStyle w:val="06cTABLETEXT"/>
              <w:jc w:val="center"/>
            </w:pPr>
            <w:r>
              <w:t>292.00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691C5A2"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157B30B"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C7C62A6"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AE12FE1" w14:textId="77777777" w:rsidR="00EB6564" w:rsidRDefault="00EB6564">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BF6AB35" w14:textId="77777777" w:rsidR="00EB6564" w:rsidRDefault="00EB6564">
            <w:pPr>
              <w:pStyle w:val="06cTABLETEXT"/>
              <w:jc w:val="center"/>
            </w:pPr>
            <w: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2112F808" w14:textId="77777777" w:rsidR="00EB6564" w:rsidRDefault="00EB6564">
            <w:pPr>
              <w:pStyle w:val="06cTABLETEXT"/>
              <w:jc w:val="center"/>
            </w:pPr>
            <w:r>
              <w:rPr>
                <w:rStyle w:val="BOLD"/>
              </w:rPr>
              <w:t>417.84</w:t>
            </w:r>
          </w:p>
        </w:tc>
      </w:tr>
      <w:tr w:rsidR="00EB6564" w14:paraId="21DB1CE5"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03930163" w14:textId="77777777" w:rsidR="00EB6564" w:rsidRDefault="00EB6564">
            <w:pPr>
              <w:pStyle w:val="06cTABLETEXT"/>
              <w:jc w:val="center"/>
            </w:pPr>
            <w:r>
              <w:rPr>
                <w:rStyle w:val="BOLD"/>
              </w:rPr>
              <w:t>K</w:t>
            </w:r>
          </w:p>
        </w:tc>
        <w:tc>
          <w:tcPr>
            <w:tcW w:w="1157"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39A8D3DC" w14:textId="77777777" w:rsidR="00EB6564" w:rsidRDefault="00EB6564">
            <w:pPr>
              <w:pStyle w:val="06cTABLETEXT"/>
            </w:pPr>
            <w:r>
              <w:rPr>
                <w:rStyle w:val="BOLD"/>
              </w:rPr>
              <w:t>Putrescible/organic waste</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CD46ECC"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CAB53B7"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3B75185"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ABF4471"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6B176E4"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12B12D9"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C7ED8C9"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94F7B92" w14:textId="77777777" w:rsidR="00EB6564" w:rsidRDefault="00EB6564">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2944871A" w14:textId="77777777" w:rsidR="00EB6564" w:rsidRDefault="00EB6564">
            <w:pPr>
              <w:pStyle w:val="06cTABLETEXT"/>
              <w:jc w:val="center"/>
            </w:pPr>
            <w: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4FFBBF9" w14:textId="77777777" w:rsidR="00EB6564" w:rsidRDefault="00EB6564">
            <w:pPr>
              <w:pStyle w:val="06cTABLETEXT"/>
              <w:jc w:val="center"/>
            </w:pPr>
            <w:r>
              <w:rPr>
                <w:rStyle w:val="BOLD"/>
              </w:rPr>
              <w:t>0.00</w:t>
            </w:r>
          </w:p>
        </w:tc>
      </w:tr>
      <w:tr w:rsidR="00EB6564" w14:paraId="146128A1"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DF04412" w14:textId="77777777" w:rsidR="00EB6564" w:rsidRDefault="00EB6564">
            <w:pPr>
              <w:pStyle w:val="06cTABLETEXT"/>
              <w:jc w:val="center"/>
            </w:pPr>
            <w:r>
              <w:rPr>
                <w:rStyle w:val="BOLD"/>
              </w:rPr>
              <w:t>L</w:t>
            </w:r>
          </w:p>
        </w:tc>
        <w:tc>
          <w:tcPr>
            <w:tcW w:w="1157"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3570604C" w14:textId="77777777" w:rsidR="00EB6564" w:rsidRDefault="00EB6564">
            <w:pPr>
              <w:pStyle w:val="06cTABLETEXT"/>
            </w:pPr>
            <w:r>
              <w:rPr>
                <w:rStyle w:val="BOLD"/>
              </w:rPr>
              <w:t xml:space="preserve">Industrial </w:t>
            </w:r>
            <w:proofErr w:type="spellStart"/>
            <w:r>
              <w:rPr>
                <w:rStyle w:val="BOLD"/>
              </w:rPr>
              <w:t>washwater</w:t>
            </w:r>
            <w:proofErr w:type="spellEnd"/>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32B23E5"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90CCB54"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AE125C4"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A729849"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2948F852"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F6B266C"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CADE5C2"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6542C4D" w14:textId="77777777" w:rsidR="00EB6564" w:rsidRDefault="00EB6564">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634644E" w14:textId="77777777" w:rsidR="00EB6564" w:rsidRDefault="00EB6564">
            <w:pPr>
              <w:pStyle w:val="06cTABLETEXT"/>
              <w:jc w:val="center"/>
            </w:pPr>
            <w: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2F8F87A" w14:textId="77777777" w:rsidR="00EB6564" w:rsidRDefault="00EB6564">
            <w:pPr>
              <w:pStyle w:val="06cTABLETEXT"/>
              <w:jc w:val="center"/>
            </w:pPr>
            <w:r>
              <w:rPr>
                <w:rStyle w:val="BOLD"/>
              </w:rPr>
              <w:t>0.00</w:t>
            </w:r>
          </w:p>
        </w:tc>
      </w:tr>
      <w:tr w:rsidR="00EB6564" w14:paraId="500D5D84"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E6066D3" w14:textId="77777777" w:rsidR="00EB6564" w:rsidRDefault="00EB6564">
            <w:pPr>
              <w:pStyle w:val="06cTABLETEXT"/>
              <w:jc w:val="center"/>
            </w:pPr>
            <w:r>
              <w:rPr>
                <w:rStyle w:val="BOLD"/>
              </w:rPr>
              <w:t>M</w:t>
            </w:r>
          </w:p>
        </w:tc>
        <w:tc>
          <w:tcPr>
            <w:tcW w:w="1157"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0355B1A7" w14:textId="77777777" w:rsidR="00EB6564" w:rsidRDefault="00EB6564">
            <w:pPr>
              <w:pStyle w:val="06cTABLETEXT"/>
            </w:pPr>
            <w:r>
              <w:rPr>
                <w:rStyle w:val="BOLD"/>
              </w:rPr>
              <w:t>Organic chemicals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98D1708"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4B94CB3"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3C02ABF"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E34B250"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6A96123"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B00266C"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FCEEB9A"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0316237" w14:textId="77777777" w:rsidR="00EB6564" w:rsidRDefault="00EB6564">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191A7B5" w14:textId="77777777" w:rsidR="00EB6564" w:rsidRDefault="00EB6564">
            <w:pPr>
              <w:pStyle w:val="06cTABLETEXT"/>
              <w:jc w:val="center"/>
            </w:pPr>
            <w: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BDB886C" w14:textId="77777777" w:rsidR="00EB6564" w:rsidRDefault="00EB6564">
            <w:pPr>
              <w:pStyle w:val="06cTABLETEXT"/>
              <w:jc w:val="center"/>
            </w:pPr>
            <w:r>
              <w:rPr>
                <w:rStyle w:val="BOLD"/>
              </w:rPr>
              <w:t>0.00</w:t>
            </w:r>
          </w:p>
        </w:tc>
      </w:tr>
      <w:tr w:rsidR="00EB6564" w14:paraId="575BB81A"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2BC97954" w14:textId="77777777" w:rsidR="00EB6564" w:rsidRDefault="00EB6564">
            <w:pPr>
              <w:pStyle w:val="06cTABLETEXT"/>
              <w:jc w:val="center"/>
            </w:pPr>
            <w:r>
              <w:rPr>
                <w:rStyle w:val="BOLD"/>
              </w:rPr>
              <w:t>N</w:t>
            </w:r>
          </w:p>
        </w:tc>
        <w:tc>
          <w:tcPr>
            <w:tcW w:w="1157"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6B406654" w14:textId="77777777" w:rsidR="00EB6564" w:rsidRDefault="00EB6564">
            <w:pPr>
              <w:pStyle w:val="06cTABLETEXT"/>
            </w:pPr>
            <w:r>
              <w:rPr>
                <w:rStyle w:val="BOLD"/>
              </w:rPr>
              <w:t>Soil/sludge</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20A2840D"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15B0B0FB"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68240E3"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E0004AE"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21C0543D"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A6C7782"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E319DC7"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07EB62F" w14:textId="77777777" w:rsidR="00EB6564" w:rsidRDefault="00EB6564">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81FE937" w14:textId="77777777" w:rsidR="00EB6564" w:rsidRDefault="00EB6564">
            <w:pPr>
              <w:pStyle w:val="06cTABLETEXT"/>
              <w:jc w:val="center"/>
            </w:pPr>
            <w: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B42A90A" w14:textId="77777777" w:rsidR="00EB6564" w:rsidRDefault="00EB6564">
            <w:pPr>
              <w:pStyle w:val="06cTABLETEXT"/>
              <w:jc w:val="center"/>
            </w:pPr>
            <w:r>
              <w:rPr>
                <w:rStyle w:val="BOLD"/>
              </w:rPr>
              <w:t>0.00</w:t>
            </w:r>
          </w:p>
        </w:tc>
      </w:tr>
      <w:tr w:rsidR="00EB6564" w14:paraId="6252BCF6"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74B2A49E" w14:textId="77777777" w:rsidR="00EB6564" w:rsidRDefault="00EB6564">
            <w:pPr>
              <w:pStyle w:val="06cTABLETEXT"/>
              <w:jc w:val="center"/>
            </w:pPr>
            <w:r>
              <w:rPr>
                <w:rStyle w:val="BOLD"/>
              </w:rPr>
              <w:t>R</w:t>
            </w:r>
          </w:p>
        </w:tc>
        <w:tc>
          <w:tcPr>
            <w:tcW w:w="1157"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0462462D" w14:textId="77777777" w:rsidR="00EB6564" w:rsidRDefault="00EB6564">
            <w:pPr>
              <w:pStyle w:val="06cTABLETEXT"/>
            </w:pPr>
            <w:r>
              <w:rPr>
                <w:rStyle w:val="BOLD"/>
              </w:rPr>
              <w:t>Clinical &amp; pharmaceutical</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92ADABA"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C15FC1F"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275EFFA"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18424EF"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589B9DF"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FAC59B6"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1FA4959"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9DCB7F1" w14:textId="77777777" w:rsidR="00EB6564" w:rsidRDefault="00EB6564">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38985E0" w14:textId="77777777" w:rsidR="00EB6564" w:rsidRDefault="00EB6564">
            <w:pPr>
              <w:pStyle w:val="06cTABLETEXT"/>
              <w:jc w:val="center"/>
            </w:pPr>
            <w: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DE19660" w14:textId="77777777" w:rsidR="00EB6564" w:rsidRDefault="00EB6564">
            <w:pPr>
              <w:pStyle w:val="06cTABLETEXT"/>
              <w:jc w:val="center"/>
            </w:pPr>
            <w:r>
              <w:rPr>
                <w:rStyle w:val="BOLD"/>
              </w:rPr>
              <w:t>0.00</w:t>
            </w:r>
          </w:p>
        </w:tc>
      </w:tr>
      <w:tr w:rsidR="00EB6564" w14:paraId="08ADBA25"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B280C46" w14:textId="77777777" w:rsidR="00EB6564" w:rsidRDefault="00EB6564">
            <w:pPr>
              <w:pStyle w:val="06cTABLETEXT"/>
              <w:jc w:val="center"/>
            </w:pPr>
            <w:r>
              <w:rPr>
                <w:rStyle w:val="BOLD"/>
              </w:rPr>
              <w:t>T</w:t>
            </w:r>
          </w:p>
        </w:tc>
        <w:tc>
          <w:tcPr>
            <w:tcW w:w="1157" w:type="dxa"/>
            <w:tcBorders>
              <w:top w:val="single" w:sz="4" w:space="0" w:color="FFFFFF"/>
              <w:left w:val="single" w:sz="4" w:space="0" w:color="FFFFFF"/>
              <w:bottom w:val="single" w:sz="4" w:space="0" w:color="FFFFFF"/>
              <w:right w:val="single" w:sz="4" w:space="0" w:color="FFFFFF"/>
            </w:tcBorders>
            <w:shd w:val="solid" w:color="CECECE" w:fill="auto"/>
            <w:tcMar>
              <w:top w:w="57" w:type="dxa"/>
              <w:left w:w="57" w:type="dxa"/>
              <w:bottom w:w="57" w:type="dxa"/>
              <w:right w:w="0" w:type="dxa"/>
            </w:tcMar>
            <w:vAlign w:val="center"/>
          </w:tcPr>
          <w:p w14:paraId="6A6BAA46" w14:textId="77777777" w:rsidR="00EB6564" w:rsidRDefault="00EB6564">
            <w:pPr>
              <w:pStyle w:val="06cTABLETEXT"/>
            </w:pPr>
            <w:r>
              <w:rPr>
                <w:rStyle w:val="BOLD"/>
              </w:rPr>
              <w:t>Misc.</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F703F42"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0379C2B"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06F0B9F"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F1D78C0"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8AE3B1C" w14:textId="77777777" w:rsidR="00EB6564" w:rsidRDefault="00EB6564">
            <w:pPr>
              <w:pStyle w:val="06cTABLETEXT"/>
              <w:jc w:val="center"/>
            </w:pPr>
            <w: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F1E92E9"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52F6EA82" w14:textId="77777777" w:rsidR="00EB6564" w:rsidRDefault="00EB6564">
            <w:pPr>
              <w:pStyle w:val="06cTABLETEXT"/>
              <w:jc w:val="center"/>
            </w:pPr>
            <w: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658F4C6C" w14:textId="77777777" w:rsidR="00EB6564" w:rsidRDefault="00EB6564">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4573CB36" w14:textId="77777777" w:rsidR="00EB6564" w:rsidRDefault="00EB6564">
            <w:pPr>
              <w:pStyle w:val="06cTABLETEXT"/>
              <w:jc w:val="center"/>
            </w:pPr>
            <w: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647B9C0" w14:textId="77777777" w:rsidR="00EB6564" w:rsidRDefault="00EB6564">
            <w:pPr>
              <w:pStyle w:val="06cTABLETEXT"/>
              <w:jc w:val="center"/>
            </w:pPr>
            <w:r>
              <w:rPr>
                <w:rStyle w:val="BOLD"/>
              </w:rPr>
              <w:t>0.00</w:t>
            </w:r>
          </w:p>
        </w:tc>
      </w:tr>
      <w:tr w:rsidR="00EB6564" w14:paraId="66DE2C2D" w14:textId="77777777">
        <w:trPr>
          <w:trHeight w:val="340"/>
        </w:trPr>
        <w:tc>
          <w:tcPr>
            <w:tcW w:w="1662" w:type="dxa"/>
            <w:gridSpan w:val="2"/>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0BCAC42F" w14:textId="77777777" w:rsidR="00EB6564" w:rsidRDefault="00EB6564">
            <w:pPr>
              <w:pStyle w:val="06cTABLETEXT"/>
              <w:jc w:val="center"/>
            </w:pPr>
            <w:r>
              <w:rPr>
                <w:rStyle w:val="BOLD"/>
              </w:rPr>
              <w:t>State Totals (tonnes)</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7CD4EF06" w14:textId="77777777" w:rsidR="00EB6564" w:rsidRDefault="00EB6564">
            <w:pPr>
              <w:pStyle w:val="06cTABLETEXT"/>
              <w:jc w:val="center"/>
            </w:pPr>
            <w:r>
              <w:rPr>
                <w:rStyle w:val="BOLD"/>
              </w:rP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FE2C2FA" w14:textId="77777777" w:rsidR="00EB6564" w:rsidRDefault="00EB6564">
            <w:pPr>
              <w:pStyle w:val="06cTABLETEXT"/>
              <w:jc w:val="center"/>
            </w:pPr>
            <w:r>
              <w:rPr>
                <w:rStyle w:val="BOLD"/>
              </w:rP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95EA5CC" w14:textId="77777777" w:rsidR="00EB6564" w:rsidRDefault="00EB6564">
            <w:pPr>
              <w:pStyle w:val="06cTABLETEXT"/>
              <w:jc w:val="center"/>
            </w:pPr>
            <w:r>
              <w:rPr>
                <w:rStyle w:val="BOLD"/>
              </w:rPr>
              <w:t>125.84</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F0B46B3" w14:textId="77777777" w:rsidR="00EB6564" w:rsidRDefault="00EB6564">
            <w:pPr>
              <w:pStyle w:val="06cTABLETEXT"/>
              <w:jc w:val="center"/>
            </w:pPr>
            <w:r>
              <w:rPr>
                <w:rStyle w:val="BOLD"/>
              </w:rPr>
              <w:t>292.00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EA3EE5C" w14:textId="77777777" w:rsidR="00EB6564" w:rsidRDefault="00EB6564">
            <w:pPr>
              <w:pStyle w:val="06cTABLETEXT"/>
              <w:jc w:val="center"/>
            </w:pPr>
            <w:r>
              <w:rPr>
                <w:rStyle w:val="BOLD"/>
              </w:rPr>
              <w:t>0.00</w:t>
            </w:r>
          </w:p>
        </w:tc>
        <w:tc>
          <w:tcPr>
            <w:tcW w:w="594"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31FC1524" w14:textId="77777777" w:rsidR="00EB6564" w:rsidRDefault="00EB6564">
            <w:pPr>
              <w:pStyle w:val="06cTABLETEXT"/>
              <w:jc w:val="center"/>
            </w:pPr>
            <w:r>
              <w:rPr>
                <w:rStyle w:val="BOLD"/>
              </w:rP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2EC3D820" w14:textId="77777777" w:rsidR="00EB6564" w:rsidRDefault="00EB6564">
            <w:pPr>
              <w:pStyle w:val="06cTABLETEXT"/>
              <w:jc w:val="center"/>
            </w:pPr>
            <w:r>
              <w:rPr>
                <w:rStyle w:val="BOLD"/>
              </w:rP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2A47197F" w14:textId="77777777" w:rsidR="00EB6564" w:rsidRDefault="00EB6564">
            <w:pPr>
              <w:pStyle w:val="06cTABLETEXT"/>
              <w:jc w:val="center"/>
            </w:pPr>
            <w:r>
              <w:rPr>
                <w:rStyle w:val="BOLD"/>
              </w:rPr>
              <w:t>0.00</w:t>
            </w:r>
          </w:p>
        </w:tc>
        <w:tc>
          <w:tcPr>
            <w:tcW w:w="595"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4A9D6C3" w14:textId="77777777" w:rsidR="00EB6564" w:rsidRDefault="00EB6564">
            <w:pPr>
              <w:pStyle w:val="06cTABLETEXT"/>
              <w:jc w:val="center"/>
            </w:pPr>
            <w:r>
              <w:rPr>
                <w:rStyle w:val="BOLD"/>
              </w:rPr>
              <w:t>0.00</w:t>
            </w:r>
          </w:p>
        </w:tc>
        <w:tc>
          <w:tcPr>
            <w:tcW w:w="609" w:type="dxa"/>
            <w:tcBorders>
              <w:top w:val="single" w:sz="4" w:space="0" w:color="FFFFFF"/>
              <w:left w:val="single" w:sz="4" w:space="0" w:color="FFFFFF"/>
              <w:bottom w:val="single" w:sz="4" w:space="0" w:color="FFFFFF"/>
              <w:right w:val="single" w:sz="4" w:space="0" w:color="FFFFFF"/>
            </w:tcBorders>
            <w:shd w:val="solid" w:color="CECECE" w:fill="auto"/>
            <w:tcMar>
              <w:top w:w="57" w:type="dxa"/>
              <w:left w:w="0" w:type="dxa"/>
              <w:bottom w:w="57" w:type="dxa"/>
              <w:right w:w="0" w:type="dxa"/>
            </w:tcMar>
            <w:vAlign w:val="center"/>
          </w:tcPr>
          <w:p w14:paraId="02A09E1B" w14:textId="77777777" w:rsidR="00EB6564" w:rsidRDefault="00EB6564">
            <w:pPr>
              <w:pStyle w:val="06cTABLETEXT"/>
              <w:jc w:val="center"/>
            </w:pPr>
            <w:r>
              <w:rPr>
                <w:rStyle w:val="BOLD"/>
              </w:rPr>
              <w:t>417.84</w:t>
            </w:r>
          </w:p>
        </w:tc>
      </w:tr>
    </w:tbl>
    <w:p w14:paraId="7B8BDD22" w14:textId="77777777" w:rsidR="00EB6564" w:rsidRDefault="00EB6564" w:rsidP="00EB6564">
      <w:pPr>
        <w:pStyle w:val="06TABLEHEADING"/>
        <w:spacing w:before="227"/>
      </w:pPr>
      <w:r>
        <w:t>Table 3: Discrepancies in movements of controlled waste into Northern Territory for the period 1 July 2018 to 30 June 2019—percentage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512"/>
        <w:gridCol w:w="631"/>
        <w:gridCol w:w="632"/>
        <w:gridCol w:w="631"/>
        <w:gridCol w:w="632"/>
        <w:gridCol w:w="632"/>
        <w:gridCol w:w="631"/>
        <w:gridCol w:w="632"/>
        <w:gridCol w:w="632"/>
        <w:gridCol w:w="854"/>
      </w:tblGrid>
      <w:tr w:rsidR="00EB6564" w14:paraId="542EB1E8" w14:textId="77777777">
        <w:trPr>
          <w:trHeight w:val="60"/>
          <w:tblHeader/>
        </w:trPr>
        <w:tc>
          <w:tcPr>
            <w:tcW w:w="151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FAF48FA" w14:textId="77777777" w:rsidR="00EB6564" w:rsidRDefault="00EB6564">
            <w:pPr>
              <w:pStyle w:val="06bTABLEHEADERROW"/>
            </w:pPr>
            <w:r>
              <w:t>Discrepancy Type</w:t>
            </w:r>
          </w:p>
        </w:tc>
        <w:tc>
          <w:tcPr>
            <w:tcW w:w="63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28F80C0" w14:textId="77777777" w:rsidR="00EB6564" w:rsidRDefault="00EB6564">
            <w:pPr>
              <w:pStyle w:val="06bTABLEHEADERROW"/>
              <w:jc w:val="center"/>
            </w:pPr>
            <w:r>
              <w:t>NSW</w:t>
            </w:r>
          </w:p>
        </w:tc>
        <w:tc>
          <w:tcPr>
            <w:tcW w:w="63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64B2F1A" w14:textId="77777777" w:rsidR="00EB6564" w:rsidRDefault="00EB6564">
            <w:pPr>
              <w:pStyle w:val="06bTABLEHEADERROW"/>
              <w:jc w:val="center"/>
            </w:pPr>
            <w:r>
              <w:t>Vic</w:t>
            </w:r>
          </w:p>
        </w:tc>
        <w:tc>
          <w:tcPr>
            <w:tcW w:w="63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D5ABAC1" w14:textId="77777777" w:rsidR="00EB6564" w:rsidRDefault="00EB6564">
            <w:pPr>
              <w:pStyle w:val="06bTABLEHEADERROW"/>
              <w:jc w:val="center"/>
            </w:pPr>
            <w:r>
              <w:t>Qld</w:t>
            </w:r>
          </w:p>
        </w:tc>
        <w:tc>
          <w:tcPr>
            <w:tcW w:w="63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CBB74CC" w14:textId="77777777" w:rsidR="00EB6564" w:rsidRDefault="00EB6564">
            <w:pPr>
              <w:pStyle w:val="06bTABLEHEADERROW"/>
              <w:jc w:val="center"/>
            </w:pPr>
            <w:r>
              <w:t>WA</w:t>
            </w:r>
          </w:p>
        </w:tc>
        <w:tc>
          <w:tcPr>
            <w:tcW w:w="63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E7CAB86" w14:textId="77777777" w:rsidR="00EB6564" w:rsidRDefault="00EB6564">
            <w:pPr>
              <w:pStyle w:val="06bTABLEHEADERROW"/>
              <w:jc w:val="center"/>
            </w:pPr>
            <w:r>
              <w:t>SA</w:t>
            </w:r>
          </w:p>
        </w:tc>
        <w:tc>
          <w:tcPr>
            <w:tcW w:w="631"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FCCFF6E" w14:textId="77777777" w:rsidR="00EB6564" w:rsidRDefault="00EB6564">
            <w:pPr>
              <w:pStyle w:val="06bTABLEHEADERROW"/>
              <w:jc w:val="center"/>
            </w:pPr>
            <w:r>
              <w:t>Tas</w:t>
            </w:r>
          </w:p>
        </w:tc>
        <w:tc>
          <w:tcPr>
            <w:tcW w:w="63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670114E" w14:textId="77777777" w:rsidR="00EB6564" w:rsidRDefault="00EB6564">
            <w:pPr>
              <w:pStyle w:val="06bTABLEHEADERROW"/>
              <w:jc w:val="center"/>
            </w:pPr>
            <w:r>
              <w:t>ACT</w:t>
            </w:r>
          </w:p>
        </w:tc>
        <w:tc>
          <w:tcPr>
            <w:tcW w:w="63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45497DC" w14:textId="77777777" w:rsidR="00EB6564" w:rsidRDefault="00EB6564">
            <w:pPr>
              <w:pStyle w:val="06bTABLEHEADERROW"/>
              <w:jc w:val="center"/>
            </w:pPr>
            <w:r>
              <w:t>NT</w:t>
            </w:r>
          </w:p>
        </w:tc>
        <w:tc>
          <w:tcPr>
            <w:tcW w:w="854" w:type="dxa"/>
            <w:tcBorders>
              <w:top w:val="single" w:sz="4" w:space="0" w:color="FFFFFF"/>
              <w:left w:val="single" w:sz="4" w:space="0" w:color="FFFFFF"/>
              <w:bottom w:val="single" w:sz="8" w:space="0" w:color="FFFFFF"/>
              <w:right w:val="single" w:sz="4" w:space="0" w:color="FFFFFF"/>
            </w:tcBorders>
            <w:shd w:val="solid" w:color="000000" w:fill="auto"/>
            <w:tcMar>
              <w:top w:w="85" w:type="dxa"/>
              <w:left w:w="0" w:type="dxa"/>
              <w:bottom w:w="85" w:type="dxa"/>
              <w:right w:w="0" w:type="dxa"/>
            </w:tcMar>
            <w:vAlign w:val="bottom"/>
          </w:tcPr>
          <w:p w14:paraId="0C528115" w14:textId="77777777" w:rsidR="00EB6564" w:rsidRDefault="00EB6564">
            <w:pPr>
              <w:pStyle w:val="06bTABLEHEADERROW"/>
              <w:jc w:val="center"/>
            </w:pPr>
            <w:r>
              <w:t>Ext Terr *</w:t>
            </w:r>
          </w:p>
        </w:tc>
      </w:tr>
      <w:tr w:rsidR="00EB6564" w14:paraId="46ABAC7C" w14:textId="77777777">
        <w:trPr>
          <w:trHeight w:val="60"/>
        </w:trPr>
        <w:tc>
          <w:tcPr>
            <w:tcW w:w="151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E6C02BA" w14:textId="77777777" w:rsidR="00EB6564" w:rsidRDefault="00EB6564">
            <w:pPr>
              <w:pStyle w:val="06cTABLETEXT"/>
            </w:pPr>
            <w:r>
              <w:t>Consignment non-arrival</w:t>
            </w:r>
          </w:p>
        </w:tc>
        <w:tc>
          <w:tcPr>
            <w:tcW w:w="631"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0B14D32"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CEB56C6" w14:textId="77777777" w:rsidR="00EB6564" w:rsidRDefault="00EB6564">
            <w:pPr>
              <w:pStyle w:val="06cTABLETEXT"/>
              <w:jc w:val="center"/>
            </w:pPr>
            <w:r>
              <w:t>0%</w:t>
            </w:r>
          </w:p>
        </w:tc>
        <w:tc>
          <w:tcPr>
            <w:tcW w:w="631"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0B6CBB15"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551BD3D"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0BD5B83C" w14:textId="77777777" w:rsidR="00EB6564" w:rsidRDefault="00EB6564">
            <w:pPr>
              <w:pStyle w:val="06cTABLETEXT"/>
              <w:jc w:val="center"/>
            </w:pPr>
            <w:r>
              <w:t>0%</w:t>
            </w:r>
          </w:p>
        </w:tc>
        <w:tc>
          <w:tcPr>
            <w:tcW w:w="631"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21099EEE"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0922CEBB"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7618D3D" w14:textId="77777777" w:rsidR="00EB6564" w:rsidRDefault="00EB6564">
            <w:pPr>
              <w:pStyle w:val="06cTABLETEXT"/>
              <w:jc w:val="center"/>
            </w:pPr>
            <w:r>
              <w:t>N/A</w:t>
            </w:r>
          </w:p>
        </w:tc>
        <w:tc>
          <w:tcPr>
            <w:tcW w:w="854"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4742492" w14:textId="77777777" w:rsidR="00EB6564" w:rsidRDefault="00EB6564">
            <w:pPr>
              <w:pStyle w:val="06cTABLETEXT"/>
              <w:jc w:val="center"/>
            </w:pPr>
            <w:r>
              <w:t>0%</w:t>
            </w:r>
          </w:p>
        </w:tc>
      </w:tr>
      <w:tr w:rsidR="00EB6564" w14:paraId="7F511326" w14:textId="77777777">
        <w:trPr>
          <w:trHeight w:val="60"/>
        </w:trPr>
        <w:tc>
          <w:tcPr>
            <w:tcW w:w="151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4304FAC5" w14:textId="77777777" w:rsidR="00EB6564" w:rsidRDefault="00EB6564">
            <w:pPr>
              <w:pStyle w:val="06cTABLETEXT"/>
            </w:pPr>
            <w:r>
              <w:t>Transport without authorisation</w:t>
            </w:r>
          </w:p>
        </w:tc>
        <w:tc>
          <w:tcPr>
            <w:tcW w:w="631"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1153CB9"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6C740ED" w14:textId="77777777" w:rsidR="00EB6564" w:rsidRDefault="00EB6564">
            <w:pPr>
              <w:pStyle w:val="06cTABLETEXT"/>
              <w:jc w:val="center"/>
            </w:pPr>
            <w:r>
              <w:t>0%</w:t>
            </w:r>
          </w:p>
        </w:tc>
        <w:tc>
          <w:tcPr>
            <w:tcW w:w="631"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75129504"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4EBC13F"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43618566" w14:textId="77777777" w:rsidR="00EB6564" w:rsidRDefault="00EB6564">
            <w:pPr>
              <w:pStyle w:val="06cTABLETEXT"/>
              <w:jc w:val="center"/>
            </w:pPr>
            <w:r>
              <w:t>0%</w:t>
            </w:r>
          </w:p>
        </w:tc>
        <w:tc>
          <w:tcPr>
            <w:tcW w:w="631"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0F476908"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41951C9E"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077A288" w14:textId="77777777" w:rsidR="00EB6564" w:rsidRDefault="00EB6564">
            <w:pPr>
              <w:pStyle w:val="06cTABLETEXT"/>
              <w:jc w:val="center"/>
            </w:pPr>
            <w:r>
              <w:t>N/A</w:t>
            </w:r>
          </w:p>
        </w:tc>
        <w:tc>
          <w:tcPr>
            <w:tcW w:w="854"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58A2F9AC" w14:textId="77777777" w:rsidR="00EB6564" w:rsidRDefault="00EB6564">
            <w:pPr>
              <w:pStyle w:val="06cTABLETEXT"/>
              <w:jc w:val="center"/>
            </w:pPr>
            <w:r>
              <w:t>0%</w:t>
            </w:r>
          </w:p>
        </w:tc>
      </w:tr>
      <w:tr w:rsidR="00EB6564" w14:paraId="6EB7BD6F" w14:textId="77777777">
        <w:trPr>
          <w:trHeight w:val="60"/>
        </w:trPr>
        <w:tc>
          <w:tcPr>
            <w:tcW w:w="151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4588693" w14:textId="77777777" w:rsidR="00EB6564" w:rsidRDefault="00EB6564">
            <w:pPr>
              <w:pStyle w:val="06cTABLETEXT"/>
            </w:pPr>
            <w:r>
              <w:t>Non-matching documentation</w:t>
            </w:r>
          </w:p>
        </w:tc>
        <w:tc>
          <w:tcPr>
            <w:tcW w:w="631"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32F934A"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43324836" w14:textId="77777777" w:rsidR="00EB6564" w:rsidRDefault="00EB6564">
            <w:pPr>
              <w:pStyle w:val="06cTABLETEXT"/>
              <w:jc w:val="center"/>
            </w:pPr>
            <w:r>
              <w:t>0%</w:t>
            </w:r>
          </w:p>
        </w:tc>
        <w:tc>
          <w:tcPr>
            <w:tcW w:w="631"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7B0920A5"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283662C3"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4977A064" w14:textId="77777777" w:rsidR="00EB6564" w:rsidRDefault="00EB6564">
            <w:pPr>
              <w:pStyle w:val="06cTABLETEXT"/>
              <w:jc w:val="center"/>
            </w:pPr>
            <w:r>
              <w:t>0%</w:t>
            </w:r>
          </w:p>
        </w:tc>
        <w:tc>
          <w:tcPr>
            <w:tcW w:w="631"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0D50F618"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75FDC16B"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22F229BF" w14:textId="77777777" w:rsidR="00EB6564" w:rsidRDefault="00EB6564">
            <w:pPr>
              <w:pStyle w:val="06cTABLETEXT"/>
              <w:jc w:val="center"/>
            </w:pPr>
            <w:r>
              <w:t>N/A</w:t>
            </w:r>
          </w:p>
        </w:tc>
        <w:tc>
          <w:tcPr>
            <w:tcW w:w="854"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F38523D" w14:textId="77777777" w:rsidR="00EB6564" w:rsidRDefault="00EB6564">
            <w:pPr>
              <w:pStyle w:val="06cTABLETEXT"/>
              <w:jc w:val="center"/>
            </w:pPr>
            <w:r>
              <w:t>0%</w:t>
            </w:r>
          </w:p>
        </w:tc>
      </w:tr>
      <w:tr w:rsidR="00EB6564" w14:paraId="35357E2B" w14:textId="77777777">
        <w:trPr>
          <w:trHeight w:val="60"/>
        </w:trPr>
        <w:tc>
          <w:tcPr>
            <w:tcW w:w="151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9EB2BE9" w14:textId="77777777" w:rsidR="00EB6564" w:rsidRDefault="00EB6564">
            <w:pPr>
              <w:pStyle w:val="06cTABLETEXT"/>
            </w:pPr>
            <w:r>
              <w:t>Waste data</w:t>
            </w:r>
          </w:p>
        </w:tc>
        <w:tc>
          <w:tcPr>
            <w:tcW w:w="631"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E00425D"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AFED6E2" w14:textId="77777777" w:rsidR="00EB6564" w:rsidRDefault="00EB6564">
            <w:pPr>
              <w:pStyle w:val="06cTABLETEXT"/>
              <w:jc w:val="center"/>
            </w:pPr>
            <w:r>
              <w:t>0%</w:t>
            </w:r>
          </w:p>
        </w:tc>
        <w:tc>
          <w:tcPr>
            <w:tcW w:w="631"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D866190"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67599366" w14:textId="77777777" w:rsidR="00EB6564" w:rsidRDefault="00EB6564">
            <w:pPr>
              <w:pStyle w:val="06cTABLETEXT"/>
              <w:jc w:val="center"/>
            </w:pPr>
            <w:r>
              <w:t>100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727891D5" w14:textId="77777777" w:rsidR="00EB6564" w:rsidRDefault="00EB6564">
            <w:pPr>
              <w:pStyle w:val="06cTABLETEXT"/>
              <w:jc w:val="center"/>
            </w:pPr>
            <w:r>
              <w:t>0%</w:t>
            </w:r>
          </w:p>
        </w:tc>
        <w:tc>
          <w:tcPr>
            <w:tcW w:w="631"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167F9A28"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3849BB16" w14:textId="77777777" w:rsidR="00EB6564" w:rsidRDefault="00EB6564">
            <w:pPr>
              <w:pStyle w:val="06cTABLETEXT"/>
              <w:jc w:val="center"/>
            </w:pPr>
            <w:r>
              <w:t>0%</w:t>
            </w:r>
          </w:p>
        </w:tc>
        <w:tc>
          <w:tcPr>
            <w:tcW w:w="632"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7F9B0A90" w14:textId="77777777" w:rsidR="00EB6564" w:rsidRDefault="00EB6564">
            <w:pPr>
              <w:pStyle w:val="06cTABLETEXT"/>
              <w:jc w:val="center"/>
            </w:pPr>
            <w:r>
              <w:t>N/A</w:t>
            </w:r>
          </w:p>
        </w:tc>
        <w:tc>
          <w:tcPr>
            <w:tcW w:w="854" w:type="dxa"/>
            <w:tcBorders>
              <w:top w:val="single" w:sz="4" w:space="0" w:color="FFFFFF"/>
              <w:left w:val="single" w:sz="4" w:space="0" w:color="FFFFFF"/>
              <w:bottom w:val="single" w:sz="4" w:space="0" w:color="FFFFFF"/>
              <w:right w:val="single" w:sz="4" w:space="0" w:color="FFFFFF"/>
            </w:tcBorders>
            <w:shd w:val="solid" w:color="CECECE" w:fill="auto"/>
            <w:tcMar>
              <w:top w:w="57" w:type="dxa"/>
              <w:left w:w="85" w:type="dxa"/>
              <w:bottom w:w="57" w:type="dxa"/>
              <w:right w:w="85" w:type="dxa"/>
            </w:tcMar>
            <w:vAlign w:val="center"/>
          </w:tcPr>
          <w:p w14:paraId="79F132C4" w14:textId="77777777" w:rsidR="00EB6564" w:rsidRDefault="00EB6564">
            <w:pPr>
              <w:pStyle w:val="06cTABLETEXT"/>
              <w:jc w:val="center"/>
            </w:pPr>
            <w:r>
              <w:t>0%</w:t>
            </w:r>
          </w:p>
        </w:tc>
      </w:tr>
    </w:tbl>
    <w:p w14:paraId="12A80BCE" w14:textId="77777777" w:rsidR="00EB6564" w:rsidRDefault="00EB6564" w:rsidP="00EB6564">
      <w:pPr>
        <w:pStyle w:val="06TABLEHEADING"/>
        <w:spacing w:before="227"/>
      </w:pPr>
      <w:r>
        <w:t>Table 4: Number of movements of controlled waste into Northern Territory for the period 1 July 2018 to 30 June 2019</w:t>
      </w:r>
    </w:p>
    <w:tbl>
      <w:tblPr>
        <w:tblW w:w="0" w:type="auto"/>
        <w:tblInd w:w="-5" w:type="dxa"/>
        <w:tblLayout w:type="fixed"/>
        <w:tblCellMar>
          <w:left w:w="0" w:type="dxa"/>
          <w:right w:w="0" w:type="dxa"/>
        </w:tblCellMar>
        <w:tblLook w:val="0000" w:firstRow="0" w:lastRow="0" w:firstColumn="0" w:lastColumn="0" w:noHBand="0" w:noVBand="0"/>
      </w:tblPr>
      <w:tblGrid>
        <w:gridCol w:w="794"/>
        <w:gridCol w:w="794"/>
        <w:gridCol w:w="794"/>
        <w:gridCol w:w="794"/>
        <w:gridCol w:w="794"/>
        <w:gridCol w:w="794"/>
        <w:gridCol w:w="794"/>
        <w:gridCol w:w="794"/>
        <w:gridCol w:w="1077"/>
      </w:tblGrid>
      <w:tr w:rsidR="00EB6564" w14:paraId="3D4B510E" w14:textId="77777777">
        <w:trPr>
          <w:trHeight w:val="60"/>
          <w:tblHeader/>
        </w:trPr>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3D9961B" w14:textId="77777777" w:rsidR="00EB6564" w:rsidRDefault="00EB6564">
            <w:pPr>
              <w:pStyle w:val="06bTABLEHEADERROW"/>
              <w:jc w:val="center"/>
            </w:pPr>
            <w:r>
              <w:t>NSW</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D607375" w14:textId="77777777" w:rsidR="00EB6564" w:rsidRDefault="00EB6564">
            <w:pPr>
              <w:pStyle w:val="06bTABLEHEADERROW"/>
              <w:jc w:val="center"/>
            </w:pPr>
            <w:r>
              <w:t>Vic</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83A2DB0" w14:textId="77777777" w:rsidR="00EB6564" w:rsidRDefault="00EB6564">
            <w:pPr>
              <w:pStyle w:val="06bTABLEHEADERROW"/>
              <w:jc w:val="center"/>
            </w:pPr>
            <w:r>
              <w:t>Qld</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AF79F24" w14:textId="77777777" w:rsidR="00EB6564" w:rsidRDefault="00EB6564">
            <w:pPr>
              <w:pStyle w:val="06bTABLEHEADERROW"/>
              <w:jc w:val="center"/>
            </w:pPr>
            <w:r>
              <w:t>WA</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8A0F8A1" w14:textId="77777777" w:rsidR="00EB6564" w:rsidRDefault="00EB6564">
            <w:pPr>
              <w:pStyle w:val="06bTABLEHEADERROW"/>
              <w:jc w:val="center"/>
            </w:pPr>
            <w:r>
              <w:t>SA</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26EF614" w14:textId="77777777" w:rsidR="00EB6564" w:rsidRDefault="00EB6564">
            <w:pPr>
              <w:pStyle w:val="06bTABLEHEADERROW"/>
              <w:jc w:val="center"/>
            </w:pPr>
            <w:r>
              <w:t>Tas</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25E342F2" w14:textId="77777777" w:rsidR="00EB6564" w:rsidRDefault="00EB6564">
            <w:pPr>
              <w:pStyle w:val="06bTABLEHEADERROW"/>
              <w:jc w:val="center"/>
            </w:pPr>
            <w:r>
              <w:t>ACT</w:t>
            </w:r>
          </w:p>
        </w:tc>
        <w:tc>
          <w:tcPr>
            <w:tcW w:w="79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A8C0420" w14:textId="77777777" w:rsidR="00EB6564" w:rsidRDefault="00EB6564">
            <w:pPr>
              <w:pStyle w:val="06bTABLEHEADERROW"/>
              <w:jc w:val="center"/>
            </w:pPr>
            <w:r>
              <w:t>NT</w:t>
            </w:r>
          </w:p>
        </w:tc>
        <w:tc>
          <w:tcPr>
            <w:tcW w:w="1077"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886FAAC" w14:textId="77777777" w:rsidR="00EB6564" w:rsidRDefault="00EB6564">
            <w:pPr>
              <w:pStyle w:val="06bTABLEHEADERROW"/>
              <w:jc w:val="center"/>
            </w:pPr>
            <w:r>
              <w:t>Ext Terr*</w:t>
            </w:r>
          </w:p>
        </w:tc>
      </w:tr>
      <w:tr w:rsidR="00EB6564" w14:paraId="57567906" w14:textId="77777777">
        <w:trPr>
          <w:trHeight w:val="60"/>
        </w:trPr>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D716540"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45EF96"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053531" w14:textId="77777777" w:rsidR="00EB6564" w:rsidRDefault="00EB6564">
            <w:pPr>
              <w:pStyle w:val="06cTABLETEXT"/>
              <w:jc w:val="center"/>
            </w:pPr>
            <w:r>
              <w:t>9</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2D681A0" w14:textId="77777777" w:rsidR="00EB6564" w:rsidRDefault="00EB6564">
            <w:pPr>
              <w:pStyle w:val="06cTABLETEXT"/>
              <w:jc w:val="center"/>
            </w:pPr>
            <w:r>
              <w:t>3</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A37B563"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6365DC7"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EB8415B" w14:textId="77777777" w:rsidR="00EB6564" w:rsidRDefault="00EB6564">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DB02464" w14:textId="77777777" w:rsidR="00EB6564" w:rsidRDefault="00EB6564">
            <w:pPr>
              <w:pStyle w:val="06cTABLETEXT"/>
              <w:jc w:val="center"/>
            </w:pPr>
            <w:r>
              <w:t>N/A</w:t>
            </w:r>
          </w:p>
        </w:tc>
        <w:tc>
          <w:tcPr>
            <w:tcW w:w="1077"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970CC32" w14:textId="77777777" w:rsidR="00EB6564" w:rsidRDefault="00EB6564">
            <w:pPr>
              <w:pStyle w:val="06cTABLETEXT"/>
              <w:jc w:val="center"/>
            </w:pPr>
            <w:r>
              <w:t>0</w:t>
            </w:r>
          </w:p>
        </w:tc>
      </w:tr>
    </w:tbl>
    <w:p w14:paraId="2B6DB35F" w14:textId="6F5C93ED" w:rsidR="00993E87" w:rsidRDefault="00993E87" w:rsidP="00EB6564">
      <w:pPr>
        <w:pStyle w:val="05BODYTEXT"/>
      </w:pPr>
    </w:p>
    <w:p w14:paraId="4DA3EE5F" w14:textId="77777777" w:rsidR="00993E87" w:rsidRDefault="00993E87">
      <w:pPr>
        <w:rPr>
          <w:rFonts w:ascii="Calibri" w:hAnsi="Calibri" w:cs="Calibri"/>
          <w:color w:val="000000"/>
          <w:sz w:val="16"/>
          <w:szCs w:val="16"/>
        </w:rPr>
      </w:pPr>
      <w:r>
        <w:br w:type="page"/>
      </w:r>
    </w:p>
    <w:p w14:paraId="2A871556" w14:textId="77777777" w:rsidR="00EB6564" w:rsidRPr="00430022" w:rsidRDefault="00EB6564" w:rsidP="00430022">
      <w:pPr>
        <w:pStyle w:val="Heading1"/>
      </w:pPr>
      <w:bookmarkStart w:id="64" w:name="_Toc58254418"/>
      <w:r w:rsidRPr="00430022">
        <w:lastRenderedPageBreak/>
        <w:t>Appendix 6: Jurisdictional reports on the implementation and effectiveness of the National Pollutant Inventory National Environment Protection Measure</w:t>
      </w:r>
      <w:bookmarkEnd w:id="64"/>
    </w:p>
    <w:p w14:paraId="1B4A4535" w14:textId="77777777" w:rsidR="00EB6564" w:rsidRPr="009408AB" w:rsidRDefault="00EB6564" w:rsidP="00CB0DA6">
      <w:pPr>
        <w:pStyle w:val="Heading2"/>
      </w:pPr>
      <w:bookmarkStart w:id="65" w:name="_Toc58254419"/>
      <w:r w:rsidRPr="009408AB">
        <w:t>Commonwealth</w:t>
      </w:r>
      <w:bookmarkEnd w:id="65"/>
    </w:p>
    <w:p w14:paraId="0B4DC83E" w14:textId="77777777" w:rsidR="00EB6564" w:rsidRDefault="00EB6564" w:rsidP="00EB6564">
      <w:pPr>
        <w:pStyle w:val="05BODYTEXT"/>
        <w:rPr>
          <w:rStyle w:val="ITALIC"/>
        </w:rPr>
      </w:pPr>
      <w:r>
        <w:rPr>
          <w:rStyle w:val="ITALIC"/>
        </w:rPr>
        <w:t xml:space="preserve">Report to the NEPC on the implementation of the National Environment Protection (National Pollutant Inventory) Measure for the Commonwealth by the Hon </w:t>
      </w:r>
      <w:proofErr w:type="spellStart"/>
      <w:r>
        <w:rPr>
          <w:rStyle w:val="ITALIC"/>
        </w:rPr>
        <w:t>Sussan</w:t>
      </w:r>
      <w:proofErr w:type="spellEnd"/>
      <w:r>
        <w:rPr>
          <w:rStyle w:val="ITALIC"/>
        </w:rPr>
        <w:t xml:space="preserve"> Ley MP, Minister for the Environment, for the reporting year ended 30 June 2019.</w:t>
      </w:r>
    </w:p>
    <w:p w14:paraId="420798AA" w14:textId="77777777" w:rsidR="00EB6564" w:rsidRDefault="00EB6564" w:rsidP="00EB6564">
      <w:pPr>
        <w:pStyle w:val="02HEADING2"/>
      </w:pPr>
      <w:r>
        <w:t>Part 1—Implementation of the NEPM and any significant issues</w:t>
      </w:r>
    </w:p>
    <w:p w14:paraId="387876B1" w14:textId="77777777" w:rsidR="00EB6564" w:rsidRDefault="00EB6564" w:rsidP="00EB6564">
      <w:pPr>
        <w:pStyle w:val="05bDOTPOINTS"/>
      </w:pPr>
      <w:r>
        <w:t>•</w:t>
      </w:r>
      <w:r>
        <w:tab/>
        <w:t xml:space="preserve">The Commonwealth implements the NEPM administratively and ensures that its obligations under the </w:t>
      </w:r>
      <w:r>
        <w:rPr>
          <w:rStyle w:val="ITALIC"/>
        </w:rPr>
        <w:t>National Environment Protection Act 1994</w:t>
      </w:r>
      <w:r>
        <w:t xml:space="preserve"> and </w:t>
      </w:r>
      <w:r>
        <w:rPr>
          <w:rStyle w:val="ITALIC"/>
        </w:rPr>
        <w:t>National Environment Protection Measures (Implementation) Act 1998</w:t>
      </w:r>
      <w:r>
        <w:t xml:space="preserve"> are met. </w:t>
      </w:r>
    </w:p>
    <w:p w14:paraId="006E4257" w14:textId="77777777" w:rsidR="00EB6564" w:rsidRDefault="00EB6564" w:rsidP="00EB6564">
      <w:pPr>
        <w:pStyle w:val="05bDOTPOINTS"/>
      </w:pPr>
      <w:r>
        <w:t>•</w:t>
      </w:r>
      <w:r>
        <w:tab/>
        <w:t>On 29 March 2019, the Department of the Environment and Energy published National Pollutant Inventory (NPI) data for 2017–18. This data details emissions from over 4000 industry facilities and represents the 20th year of NPI publication of emissions from industry.</w:t>
      </w:r>
    </w:p>
    <w:p w14:paraId="20F3B583" w14:textId="1E91DA23" w:rsidR="00EB6564" w:rsidRDefault="00EB6564" w:rsidP="00EB6564">
      <w:pPr>
        <w:pStyle w:val="05bDOTPOINTS"/>
      </w:pPr>
      <w:r>
        <w:t>•</w:t>
      </w:r>
      <w:r>
        <w:tab/>
        <w:t xml:space="preserve">Of the datasets published by the Department on </w:t>
      </w:r>
      <w:hyperlink r:id="rId65" w:history="1">
        <w:r w:rsidRPr="000644CA">
          <w:rPr>
            <w:rStyle w:val="Hyperlink"/>
            <w:color w:val="4472C4" w:themeColor="accent1"/>
            <w:u w:val="single"/>
          </w:rPr>
          <w:t>data.gov.au</w:t>
        </w:r>
      </w:hyperlink>
      <w:r>
        <w:t>, 3717 views of NPI data were logged, making it the most frequently viewed dataset.</w:t>
      </w:r>
    </w:p>
    <w:p w14:paraId="40871505" w14:textId="77777777" w:rsidR="00EB6564" w:rsidRDefault="00EB6564" w:rsidP="00EB6564">
      <w:pPr>
        <w:pStyle w:val="05bDOTPOINTS"/>
      </w:pPr>
      <w:r>
        <w:t>•</w:t>
      </w:r>
      <w:r>
        <w:tab/>
        <w:t>The Commonwealth fielded enquiries from industry in relation to reporting, chaired and provided secretariat support for the NPI Review Steering Committee, as well as provided secretariat support for the NPI Intergovernmental Working Group, which oversees key NPI administration activities.</w:t>
      </w:r>
    </w:p>
    <w:p w14:paraId="193E292A" w14:textId="77777777" w:rsidR="00EB6564" w:rsidRDefault="00EB6564" w:rsidP="00EB6564">
      <w:pPr>
        <w:pStyle w:val="05bDOTPOINTS"/>
      </w:pPr>
      <w:r>
        <w:t>•</w:t>
      </w:r>
      <w:r>
        <w:tab/>
        <w:t>The Commonwealth managed work on the review of the NPI. This work included:</w:t>
      </w:r>
    </w:p>
    <w:p w14:paraId="00BDDEDE" w14:textId="77777777" w:rsidR="00EB6564" w:rsidRDefault="00EB6564" w:rsidP="00EB6564">
      <w:pPr>
        <w:pStyle w:val="05bDOTPOINTS2ndlevel"/>
      </w:pPr>
      <w:r>
        <w:t>–</w:t>
      </w:r>
      <w:r>
        <w:tab/>
        <w:t>Chairing and providing secretariat support for two meetings of the NPI Review Steering Committee, comprising senior officials from the states and territories, to provide oversight and direction for the review process</w:t>
      </w:r>
    </w:p>
    <w:p w14:paraId="0F1B9D61" w14:textId="77777777" w:rsidR="00EB6564" w:rsidRDefault="00EB6564" w:rsidP="00EB6564">
      <w:pPr>
        <w:pStyle w:val="05bDOTPOINTS2ndlevel"/>
      </w:pPr>
      <w:r>
        <w:t>–</w:t>
      </w:r>
      <w:r>
        <w:tab/>
        <w:t>Chairing and providing secretariat support for one meeting of the NPI Intergovernmental Working Group (IWG) to support delivery of the review</w:t>
      </w:r>
    </w:p>
    <w:p w14:paraId="31714498" w14:textId="77777777" w:rsidR="00EB6564" w:rsidRDefault="00EB6564" w:rsidP="00EB6564">
      <w:pPr>
        <w:pStyle w:val="05bDOTPOINTS2ndlevel"/>
      </w:pPr>
      <w:r>
        <w:t>–</w:t>
      </w:r>
      <w:r>
        <w:tab/>
        <w:t>Publishing a discussion paper to inform a public consultation process</w:t>
      </w:r>
    </w:p>
    <w:p w14:paraId="61613C98" w14:textId="77777777" w:rsidR="00EB6564" w:rsidRDefault="00EB6564" w:rsidP="00EB6564">
      <w:pPr>
        <w:pStyle w:val="05bDOTPOINTS2ndlevel"/>
      </w:pPr>
      <w:r>
        <w:t>–</w:t>
      </w:r>
      <w:r>
        <w:tab/>
        <w:t>Publishing submissions to the review</w:t>
      </w:r>
    </w:p>
    <w:p w14:paraId="6A5E6C58" w14:textId="77777777" w:rsidR="00EB6564" w:rsidRDefault="00EB6564" w:rsidP="00EB6564">
      <w:pPr>
        <w:pStyle w:val="05bDOTPOINTS2ndlevel"/>
      </w:pPr>
      <w:r>
        <w:t>–</w:t>
      </w:r>
      <w:r>
        <w:tab/>
        <w:t>Submitting an interim review report to the NEPC Committee</w:t>
      </w:r>
    </w:p>
    <w:p w14:paraId="436F5B50" w14:textId="77777777" w:rsidR="00EB6564" w:rsidRDefault="00EB6564" w:rsidP="00EB6564">
      <w:pPr>
        <w:pStyle w:val="05bDOTPOINTS2ndlevel"/>
      </w:pPr>
      <w:r>
        <w:t>–</w:t>
      </w:r>
      <w:r>
        <w:tab/>
        <w:t xml:space="preserve">The Commonwealth acknowledges the valuable contribution of states and territories towards the Review. </w:t>
      </w:r>
    </w:p>
    <w:p w14:paraId="220EE2C2" w14:textId="5AE48386" w:rsidR="00EB6564" w:rsidRDefault="00EB6564" w:rsidP="00EB6564">
      <w:pPr>
        <w:pStyle w:val="05bDOTPOINTS"/>
      </w:pPr>
      <w:r>
        <w:t>•</w:t>
      </w:r>
      <w:r>
        <w:tab/>
        <w:t xml:space="preserve">The Commonwealth redesigned the NPI homepage to increase usability and provide a direct link to NPI facility locations on the National Map (see </w:t>
      </w:r>
      <w:hyperlink r:id="rId66" w:history="1">
        <w:r w:rsidRPr="000644CA">
          <w:rPr>
            <w:rStyle w:val="Hyperlink"/>
            <w:color w:val="4472C4" w:themeColor="accent1"/>
            <w:u w:val="single"/>
          </w:rPr>
          <w:t>http://www.npi.gov.au/</w:t>
        </w:r>
      </w:hyperlink>
      <w:r>
        <w:t>).</w:t>
      </w:r>
    </w:p>
    <w:p w14:paraId="301DE606" w14:textId="77777777" w:rsidR="00EB6564" w:rsidRDefault="00EB6564" w:rsidP="00EB6564">
      <w:pPr>
        <w:pStyle w:val="02HEADING2"/>
      </w:pPr>
      <w:r>
        <w:t>Part 2—Assessment of NEPM effectiveness</w:t>
      </w:r>
    </w:p>
    <w:p w14:paraId="060E3AD7" w14:textId="77777777" w:rsidR="00EB6564" w:rsidRDefault="00EB6564" w:rsidP="00EB6564">
      <w:pPr>
        <w:pStyle w:val="05BODYTEXT"/>
      </w:pPr>
      <w:r>
        <w:t>The Commonwealth published the 2017–18 National Pollutant Inventory (NPI) on 29 March 2019. The number of facilities reporting to the NPI rose from 4162 in 2016–17 to 4187 in 2017–18.</w:t>
      </w:r>
    </w:p>
    <w:p w14:paraId="6AF40898" w14:textId="77777777" w:rsidR="00EB6564" w:rsidRDefault="00EB6564" w:rsidP="00EB6564">
      <w:pPr>
        <w:pStyle w:val="05BODYTEXT"/>
      </w:pPr>
      <w:r>
        <w:t>Figure 1 below shows the number of facilities reporting to the NPI in each jurisdiction over the past 10 years.</w:t>
      </w:r>
    </w:p>
    <w:p w14:paraId="2EFA9BCB" w14:textId="77777777" w:rsidR="00EB6564" w:rsidRDefault="00EB6564" w:rsidP="00EB6564">
      <w:pPr>
        <w:pStyle w:val="05BODYTEXT"/>
      </w:pPr>
    </w:p>
    <w:p w14:paraId="5F3775DD" w14:textId="77777777" w:rsidR="00EB6564" w:rsidRDefault="00EB6564" w:rsidP="00EB6564">
      <w:pPr>
        <w:pStyle w:val="06TABLEHEADING"/>
      </w:pPr>
      <w:r>
        <w:lastRenderedPageBreak/>
        <w:t>Figure 1: Number of reporting facilities in each jurisdiction by year since 2008-09</w:t>
      </w:r>
    </w:p>
    <w:p w14:paraId="6DB1852F" w14:textId="295878C6" w:rsidR="00EB6564" w:rsidRDefault="00430022" w:rsidP="00EB6564">
      <w:pPr>
        <w:pStyle w:val="05BODYTEXT"/>
      </w:pPr>
      <w:r>
        <w:rPr>
          <w:noProof/>
        </w:rPr>
        <w:drawing>
          <wp:inline distT="0" distB="0" distL="0" distR="0" wp14:anchorId="421E0E7C" wp14:editId="36BC93C6">
            <wp:extent cx="5123695" cy="3098800"/>
            <wp:effectExtent l="0" t="0" r="0" b="0"/>
            <wp:docPr id="13" name="Picture 13" descr="Grap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10;"/>
                    <pic:cNvPicPr/>
                  </pic:nvPicPr>
                  <pic:blipFill>
                    <a:blip r:embed="rId15">
                      <a:extLst>
                        <a:ext uri="{28A0092B-C50C-407E-A947-70E740481C1C}">
                          <a14:useLocalDpi xmlns:a14="http://schemas.microsoft.com/office/drawing/2010/main" val="0"/>
                        </a:ext>
                      </a:extLst>
                    </a:blip>
                    <a:stretch>
                      <a:fillRect/>
                    </a:stretch>
                  </pic:blipFill>
                  <pic:spPr>
                    <a:xfrm>
                      <a:off x="0" y="0"/>
                      <a:ext cx="5130344" cy="3102821"/>
                    </a:xfrm>
                    <a:prstGeom prst="rect">
                      <a:avLst/>
                    </a:prstGeom>
                  </pic:spPr>
                </pic:pic>
              </a:graphicData>
            </a:graphic>
          </wp:inline>
        </w:drawing>
      </w:r>
    </w:p>
    <w:p w14:paraId="4E4F5D7A" w14:textId="77777777" w:rsidR="00EB6564" w:rsidRDefault="00EB6564" w:rsidP="00EB6564">
      <w:pPr>
        <w:pStyle w:val="05BODYTEXT"/>
      </w:pPr>
      <w:r>
        <w:t>The Commonwealth continued to work cooperatively with all jurisdictions to administer the NPI NEPM and support the online reporting system to ensure reliable collection of industry data.</w:t>
      </w:r>
    </w:p>
    <w:tbl>
      <w:tblPr>
        <w:tblW w:w="0" w:type="auto"/>
        <w:tblInd w:w="-5" w:type="dxa"/>
        <w:tblLayout w:type="fixed"/>
        <w:tblCellMar>
          <w:left w:w="0" w:type="dxa"/>
          <w:right w:w="0" w:type="dxa"/>
        </w:tblCellMar>
        <w:tblLook w:val="0000" w:firstRow="0" w:lastRow="0" w:firstColumn="0" w:lastColumn="0" w:noHBand="0" w:noVBand="0"/>
      </w:tblPr>
      <w:tblGrid>
        <w:gridCol w:w="1554"/>
        <w:gridCol w:w="3813"/>
        <w:gridCol w:w="2432"/>
      </w:tblGrid>
      <w:tr w:rsidR="00EB6564" w14:paraId="3EF8FBC5" w14:textId="77777777" w:rsidTr="00993E87">
        <w:trPr>
          <w:trHeight w:val="60"/>
          <w:tblHeader/>
        </w:trPr>
        <w:tc>
          <w:tcPr>
            <w:tcW w:w="155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5C1DF78" w14:textId="77777777" w:rsidR="00EB6564" w:rsidRDefault="00EB6564">
            <w:pPr>
              <w:pStyle w:val="06bTABLEHEADERROW"/>
            </w:pPr>
            <w:r>
              <w:t>Participation Levels</w:t>
            </w:r>
          </w:p>
        </w:tc>
        <w:tc>
          <w:tcPr>
            <w:tcW w:w="381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9A6E9BF" w14:textId="77777777" w:rsidR="00EB6564" w:rsidRDefault="00EB6564">
            <w:pPr>
              <w:pStyle w:val="06bTABLEHEADERROW"/>
            </w:pPr>
            <w:r>
              <w:t>Feedback from the Community, Industry and Government</w:t>
            </w:r>
          </w:p>
        </w:tc>
        <w:tc>
          <w:tcPr>
            <w:tcW w:w="2432"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6361EE1F" w14:textId="77777777" w:rsidR="00EB6564" w:rsidRDefault="00EB6564">
            <w:pPr>
              <w:pStyle w:val="06bTABLEHEADERROW"/>
            </w:pPr>
            <w:r>
              <w:t>Implementation Activity Effectiveness</w:t>
            </w:r>
          </w:p>
        </w:tc>
      </w:tr>
      <w:tr w:rsidR="00EB6564" w14:paraId="4B22008E" w14:textId="77777777" w:rsidTr="00993E87">
        <w:trPr>
          <w:trHeight w:val="60"/>
        </w:trPr>
        <w:tc>
          <w:tcPr>
            <w:tcW w:w="7799"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70DF8C9B" w14:textId="77777777" w:rsidR="00EB6564" w:rsidRDefault="00EB6564">
            <w:pPr>
              <w:pStyle w:val="06cTABLETEXT"/>
            </w:pPr>
            <w:r>
              <w:rPr>
                <w:rStyle w:val="BOLD"/>
              </w:rPr>
              <w:t>Public</w:t>
            </w:r>
          </w:p>
        </w:tc>
      </w:tr>
      <w:tr w:rsidR="00EB6564" w14:paraId="5FAB9799" w14:textId="77777777" w:rsidTr="00993E87">
        <w:trPr>
          <w:trHeight w:val="60"/>
        </w:trPr>
        <w:tc>
          <w:tcPr>
            <w:tcW w:w="155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727C374D" w14:textId="77777777" w:rsidR="00EB6564" w:rsidRPr="002D6E41" w:rsidRDefault="00EB6564">
            <w:pPr>
              <w:pStyle w:val="05bDOTPOINTS"/>
              <w:spacing w:after="57"/>
              <w:ind w:left="113" w:hanging="113"/>
            </w:pPr>
            <w:r>
              <w:t>•</w:t>
            </w:r>
            <w:r>
              <w:tab/>
            </w:r>
            <w:r w:rsidRPr="002D6E41">
              <w:t xml:space="preserve">361,202 sessions on the </w:t>
            </w:r>
            <w:r w:rsidRPr="002D6E41">
              <w:rPr>
                <w:rStyle w:val="Hyperlink"/>
                <w:u w:val="none"/>
              </w:rPr>
              <w:t>NPI website</w:t>
            </w:r>
          </w:p>
          <w:p w14:paraId="22627E82" w14:textId="014FB1A7" w:rsidR="00EB6564" w:rsidRDefault="00EB6564">
            <w:pPr>
              <w:pStyle w:val="05bDOTPOINTS"/>
              <w:spacing w:after="57"/>
              <w:ind w:left="113" w:hanging="113"/>
            </w:pPr>
            <w:r w:rsidRPr="002D6E41">
              <w:t>•</w:t>
            </w:r>
            <w:r w:rsidRPr="002D6E41">
              <w:tab/>
              <w:t xml:space="preserve">3717 views of the </w:t>
            </w:r>
            <w:r w:rsidRPr="002D6E41">
              <w:rPr>
                <w:rStyle w:val="Hyperlink"/>
                <w:u w:val="none"/>
              </w:rPr>
              <w:t xml:space="preserve">NPI dataset on </w:t>
            </w:r>
            <w:hyperlink r:id="rId67" w:history="1">
              <w:r w:rsidRPr="002D6E41">
                <w:rPr>
                  <w:rStyle w:val="Hyperlink"/>
                  <w:u w:val="none"/>
                </w:rPr>
                <w:t>data.gov.au</w:t>
              </w:r>
            </w:hyperlink>
          </w:p>
        </w:tc>
        <w:tc>
          <w:tcPr>
            <w:tcW w:w="381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379C0CAE" w14:textId="77777777" w:rsidR="00EB6564" w:rsidRDefault="00EB6564">
            <w:pPr>
              <w:pStyle w:val="05bDOTPOINTS"/>
              <w:spacing w:after="57"/>
              <w:ind w:left="113" w:hanging="113"/>
            </w:pPr>
            <w:r>
              <w:t>•</w:t>
            </w:r>
            <w:r>
              <w:tab/>
              <w:t>The number of user sessions increased from 306,703 in the previous year.</w:t>
            </w:r>
          </w:p>
          <w:p w14:paraId="789F45AD" w14:textId="77777777" w:rsidR="00EB6564" w:rsidRDefault="00EB6564">
            <w:pPr>
              <w:pStyle w:val="05bDOTPOINTS"/>
              <w:spacing w:after="57"/>
              <w:ind w:left="113" w:hanging="113"/>
            </w:pPr>
            <w:r>
              <w:t>•</w:t>
            </w:r>
            <w:r>
              <w:tab/>
              <w:t>Software errors in the NPI database frequently affected public users who searched on the data.</w:t>
            </w:r>
          </w:p>
        </w:tc>
        <w:tc>
          <w:tcPr>
            <w:tcW w:w="243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1140EF38" w14:textId="77777777" w:rsidR="00EB6564" w:rsidRDefault="00EB6564">
            <w:pPr>
              <w:pStyle w:val="05bDOTPOINTS"/>
              <w:spacing w:after="57"/>
              <w:ind w:left="113" w:hanging="113"/>
            </w:pPr>
            <w:r>
              <w:t>•</w:t>
            </w:r>
            <w:r>
              <w:tab/>
              <w:t>65 calls were received by the Commonwealth through the free call phone line. This was 5 fewer calls than the previous year. Most of these calls were industry requests for help with NPI reporting and most industry calls were referred to the relevant state or territory NPI team.</w:t>
            </w:r>
          </w:p>
          <w:p w14:paraId="0325E414" w14:textId="77777777" w:rsidR="00EB6564" w:rsidRDefault="00EB6564">
            <w:pPr>
              <w:pStyle w:val="05bDOTPOINTS"/>
              <w:spacing w:after="57"/>
              <w:ind w:left="113" w:hanging="113"/>
            </w:pPr>
            <w:r>
              <w:t>•</w:t>
            </w:r>
            <w:r>
              <w:tab/>
              <w:t>175 messages were sent in response to emails received in the NPI inbox. This was 22 more messages than the previous year.</w:t>
            </w:r>
          </w:p>
        </w:tc>
      </w:tr>
      <w:tr w:rsidR="00EB6564" w14:paraId="3FA0C675" w14:textId="77777777" w:rsidTr="00993E87">
        <w:trPr>
          <w:trHeight w:val="60"/>
        </w:trPr>
        <w:tc>
          <w:tcPr>
            <w:tcW w:w="7799"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54E3BB99" w14:textId="77777777" w:rsidR="00EB6564" w:rsidRDefault="00EB6564">
            <w:pPr>
              <w:pStyle w:val="05bDOTPOINTS"/>
              <w:spacing w:after="57"/>
              <w:ind w:left="113" w:hanging="113"/>
            </w:pPr>
            <w:r>
              <w:rPr>
                <w:rStyle w:val="BOLD"/>
              </w:rPr>
              <w:t>Industry</w:t>
            </w:r>
          </w:p>
        </w:tc>
      </w:tr>
      <w:tr w:rsidR="00EB6564" w14:paraId="693CB714" w14:textId="77777777" w:rsidTr="00993E87">
        <w:trPr>
          <w:trHeight w:val="60"/>
        </w:trPr>
        <w:tc>
          <w:tcPr>
            <w:tcW w:w="155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15EA433C" w14:textId="77777777" w:rsidR="00EB6564" w:rsidRDefault="00EB6564">
            <w:pPr>
              <w:pStyle w:val="05bDOTPOINTS"/>
              <w:spacing w:after="57"/>
              <w:ind w:left="113" w:hanging="113"/>
            </w:pPr>
            <w:r>
              <w:t>•</w:t>
            </w:r>
            <w:r>
              <w:tab/>
              <w:t>4187 reports for 2017–18</w:t>
            </w:r>
          </w:p>
          <w:p w14:paraId="57220846" w14:textId="77777777" w:rsidR="00EB6564" w:rsidRDefault="00EB6564">
            <w:pPr>
              <w:pStyle w:val="05bDOTPOINTS"/>
              <w:spacing w:after="57"/>
              <w:ind w:left="113" w:hanging="113"/>
            </w:pPr>
            <w:r>
              <w:t>•</w:t>
            </w:r>
            <w:r>
              <w:tab/>
              <w:t>4162 reports for 2016–17</w:t>
            </w:r>
          </w:p>
          <w:p w14:paraId="4FA4371A" w14:textId="77777777" w:rsidR="00EB6564" w:rsidRDefault="00EB6564">
            <w:pPr>
              <w:pStyle w:val="05bDOTPOINTS"/>
              <w:spacing w:after="57"/>
              <w:ind w:left="113" w:hanging="113"/>
            </w:pPr>
            <w:r>
              <w:t>•</w:t>
            </w:r>
            <w:r>
              <w:tab/>
              <w:t>101 new reporters</w:t>
            </w:r>
          </w:p>
          <w:p w14:paraId="69E2B9D5" w14:textId="77777777" w:rsidR="00EB6564" w:rsidRDefault="00EB6564">
            <w:pPr>
              <w:pStyle w:val="05bDOTPOINTS"/>
              <w:spacing w:after="57"/>
              <w:ind w:left="113" w:hanging="113"/>
            </w:pPr>
            <w:r>
              <w:t>•</w:t>
            </w:r>
            <w:r>
              <w:tab/>
              <w:t>No new sectors reporting</w:t>
            </w:r>
          </w:p>
          <w:p w14:paraId="3A0014F8" w14:textId="77777777" w:rsidR="00EB6564" w:rsidRDefault="00EB6564">
            <w:pPr>
              <w:pStyle w:val="05bDOTPOINTS"/>
              <w:spacing w:after="57"/>
              <w:ind w:left="113" w:hanging="113"/>
            </w:pPr>
            <w:r>
              <w:t>•</w:t>
            </w:r>
            <w:r>
              <w:tab/>
              <w:t>No confidentiality claims submitted</w:t>
            </w:r>
          </w:p>
        </w:tc>
        <w:tc>
          <w:tcPr>
            <w:tcW w:w="381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303139D9" w14:textId="77777777" w:rsidR="00EB6564" w:rsidRDefault="00EB6564">
            <w:pPr>
              <w:pStyle w:val="05bDOTPOINTS"/>
              <w:spacing w:after="57"/>
              <w:ind w:left="113" w:hanging="113"/>
            </w:pPr>
            <w:r>
              <w:t>•</w:t>
            </w:r>
            <w:r>
              <w:tab/>
              <w:t xml:space="preserve">Industry reported some compatibility and usability problems with the NPI calculation tools. </w:t>
            </w:r>
          </w:p>
        </w:tc>
        <w:tc>
          <w:tcPr>
            <w:tcW w:w="243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6B8505CF" w14:textId="77777777" w:rsidR="00EB6564" w:rsidRDefault="00EB6564">
            <w:pPr>
              <w:pStyle w:val="05bDOTPOINTS"/>
              <w:spacing w:after="57"/>
              <w:ind w:left="113" w:hanging="113"/>
            </w:pPr>
            <w:r>
              <w:t>•</w:t>
            </w:r>
            <w:r>
              <w:tab/>
              <w:t>The Commonwealth helped industry reporters with advice on first point of contact for assistance (</w:t>
            </w:r>
            <w:proofErr w:type="gramStart"/>
            <w:r>
              <w:t>i.e.</w:t>
            </w:r>
            <w:proofErr w:type="gramEnd"/>
            <w:r>
              <w:t xml:space="preserve"> state and territory National Pollutant Inventory teams) and for support with reporting systems managed by the Commonwealth.</w:t>
            </w:r>
          </w:p>
        </w:tc>
      </w:tr>
      <w:tr w:rsidR="00EB6564" w14:paraId="4BC5E851" w14:textId="77777777" w:rsidTr="00993E87">
        <w:trPr>
          <w:trHeight w:val="60"/>
        </w:trPr>
        <w:tc>
          <w:tcPr>
            <w:tcW w:w="7799"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59487539" w14:textId="77777777" w:rsidR="00EB6564" w:rsidRDefault="00EB6564">
            <w:pPr>
              <w:pStyle w:val="05bDOTPOINTS"/>
              <w:spacing w:after="57"/>
              <w:ind w:left="113" w:hanging="113"/>
            </w:pPr>
            <w:r>
              <w:rPr>
                <w:rStyle w:val="BOLD"/>
              </w:rPr>
              <w:lastRenderedPageBreak/>
              <w:t>Government</w:t>
            </w:r>
          </w:p>
        </w:tc>
      </w:tr>
      <w:tr w:rsidR="00EB6564" w14:paraId="617553E7" w14:textId="77777777" w:rsidTr="00993E87">
        <w:trPr>
          <w:trHeight w:val="60"/>
        </w:trPr>
        <w:tc>
          <w:tcPr>
            <w:tcW w:w="155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026E58C0" w14:textId="77777777" w:rsidR="00EB6564" w:rsidRDefault="00EB6564">
            <w:pPr>
              <w:pStyle w:val="05bDOTPOINTS"/>
              <w:spacing w:after="57"/>
              <w:ind w:left="113" w:hanging="113"/>
            </w:pPr>
            <w:r>
              <w:t>•</w:t>
            </w:r>
            <w:r>
              <w:tab/>
              <w:t>8 facilities from 3 different Commonwealth departments reported to the NPI in 2017–18</w:t>
            </w:r>
          </w:p>
        </w:tc>
        <w:tc>
          <w:tcPr>
            <w:tcW w:w="381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5E4F71C0" w14:textId="77777777" w:rsidR="00EB6564" w:rsidRDefault="00EB6564">
            <w:pPr>
              <w:pStyle w:val="05bDOTPOINTS"/>
              <w:spacing w:after="57"/>
              <w:ind w:left="0" w:firstLine="0"/>
            </w:pPr>
            <w:r>
              <w:t>The Department of the Environment and Energy used NPI data in the following way:</w:t>
            </w:r>
          </w:p>
          <w:p w14:paraId="28CBAED7" w14:textId="77777777" w:rsidR="00EB6564" w:rsidRDefault="00EB6564">
            <w:pPr>
              <w:pStyle w:val="05bDOTPOINTS"/>
              <w:spacing w:after="57"/>
              <w:ind w:left="113" w:hanging="113"/>
            </w:pPr>
            <w:r>
              <w:t>•</w:t>
            </w:r>
            <w:r>
              <w:tab/>
              <w:t xml:space="preserve">to inform Australia’s ratification of the United Nations Minamata Convention on Mercury. Reported data relating to emissions and releases of mercury were used to assess anthropogenic sources of mercury in Australia. </w:t>
            </w:r>
          </w:p>
          <w:p w14:paraId="28FF41A7" w14:textId="77777777" w:rsidR="00EB6564" w:rsidRDefault="00EB6564">
            <w:pPr>
              <w:pStyle w:val="05bDOTPOINTS"/>
              <w:spacing w:after="57"/>
              <w:ind w:left="113" w:hanging="113"/>
            </w:pPr>
            <w:r>
              <w:t>•</w:t>
            </w:r>
            <w:r>
              <w:tab/>
              <w:t>for the first time, to update and expand emissions data for short-lived climate forcers (atmospheric compounds that affect air quality and the climate) in the National Greenhouse Accounts. NPI data contributed to the Australian Government’s national greenhouse gas reporting on emissions of black carbon, particulate matter ≤ 2.5 </w:t>
            </w:r>
            <w:proofErr w:type="spellStart"/>
            <w:r>
              <w:t>μm</w:t>
            </w:r>
            <w:proofErr w:type="spellEnd"/>
            <w:r>
              <w:t xml:space="preserve"> (PM</w:t>
            </w:r>
            <w:r>
              <w:rPr>
                <w:vertAlign w:val="subscript"/>
              </w:rPr>
              <w:t>2.5</w:t>
            </w:r>
            <w:r>
              <w:t>), particulate matter ≤ 10 </w:t>
            </w:r>
            <w:proofErr w:type="spellStart"/>
            <w:r>
              <w:t>μm</w:t>
            </w:r>
            <w:proofErr w:type="spellEnd"/>
            <w:r>
              <w:t xml:space="preserve"> (PM</w:t>
            </w:r>
            <w:r>
              <w:rPr>
                <w:vertAlign w:val="subscript"/>
              </w:rPr>
              <w:t>10</w:t>
            </w:r>
            <w:r>
              <w:t xml:space="preserve">), and </w:t>
            </w:r>
            <w:proofErr w:type="spellStart"/>
            <w:r>
              <w:t>sulfur</w:t>
            </w:r>
            <w:proofErr w:type="spellEnd"/>
            <w:r>
              <w:t xml:space="preserve"> dioxide. </w:t>
            </w:r>
          </w:p>
          <w:p w14:paraId="63866B73" w14:textId="77777777" w:rsidR="00EB6564" w:rsidRDefault="00EB6564">
            <w:pPr>
              <w:pStyle w:val="05bDOTPOINTS"/>
              <w:spacing w:after="57"/>
              <w:ind w:left="113" w:hanging="113"/>
            </w:pPr>
            <w:r>
              <w:t>•</w:t>
            </w:r>
            <w:r>
              <w:tab/>
              <w:t>in the 4th National Report under the Stockholm Convention on Persistent Organic Pollutants.</w:t>
            </w:r>
          </w:p>
          <w:p w14:paraId="36D4F511" w14:textId="77777777" w:rsidR="00EB6564" w:rsidRDefault="00EB6564">
            <w:pPr>
              <w:pStyle w:val="05bDOTPOINTS"/>
              <w:spacing w:after="57"/>
              <w:ind w:left="113" w:hanging="113"/>
            </w:pPr>
            <w:r>
              <w:t>•</w:t>
            </w:r>
            <w:r>
              <w:tab/>
              <w:t>in the environmental risk assessments of medium-chain chlorinated paraffins conducted for the National Industrial Chemicals Notification and Assessment Scheme (NICNAS).</w:t>
            </w:r>
          </w:p>
        </w:tc>
        <w:tc>
          <w:tcPr>
            <w:tcW w:w="243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22CA624C" w14:textId="77777777" w:rsidR="00EB6564" w:rsidRDefault="00EB6564">
            <w:pPr>
              <w:pStyle w:val="05bDOTPOINTS"/>
              <w:spacing w:after="57"/>
              <w:ind w:left="113" w:hanging="113"/>
            </w:pPr>
            <w:r>
              <w:t>•</w:t>
            </w:r>
            <w:r>
              <w:tab/>
              <w:t>The Commonwealth chaired and provided secretariat support for the NPI Review Steering Committee, which oversees the review of the NPI.</w:t>
            </w:r>
          </w:p>
          <w:p w14:paraId="4929BE46" w14:textId="77777777" w:rsidR="00EB6564" w:rsidRDefault="00EB6564">
            <w:pPr>
              <w:pStyle w:val="05bDOTPOINTS"/>
              <w:spacing w:after="57"/>
              <w:ind w:left="113" w:hanging="113"/>
            </w:pPr>
            <w:r>
              <w:t>•</w:t>
            </w:r>
            <w:r>
              <w:tab/>
              <w:t>The Commonwealth chaired and provided secretariat support for the NPI Intergovernmental Working Group, which oversees key NPI administration activities.</w:t>
            </w:r>
          </w:p>
        </w:tc>
      </w:tr>
    </w:tbl>
    <w:p w14:paraId="17F004B8" w14:textId="77777777" w:rsidR="00EB6564" w:rsidRDefault="00EB6564" w:rsidP="00EB6564">
      <w:pPr>
        <w:pStyle w:val="07FOOTNOTES"/>
        <w:spacing w:after="0"/>
      </w:pPr>
      <w:r>
        <w:t>1 - Commonwealth to provide</w:t>
      </w:r>
    </w:p>
    <w:p w14:paraId="6DF1CC99" w14:textId="77777777" w:rsidR="00EB6564" w:rsidRDefault="00EB6564" w:rsidP="00EB6564">
      <w:pPr>
        <w:pStyle w:val="07FOOTNOTES"/>
        <w:spacing w:after="0"/>
      </w:pPr>
      <w:r>
        <w:t>2 - Jurisdictions to provide</w:t>
      </w:r>
    </w:p>
    <w:p w14:paraId="70430DE7" w14:textId="77777777" w:rsidR="00EB6564" w:rsidRDefault="00EB6564" w:rsidP="00EB6564">
      <w:pPr>
        <w:pStyle w:val="07FOOTNOTES"/>
      </w:pPr>
      <w:r>
        <w:t>3 - States and Territories to provide</w:t>
      </w:r>
    </w:p>
    <w:p w14:paraId="57794EBA" w14:textId="77777777" w:rsidR="00EB6564" w:rsidRPr="009408AB" w:rsidRDefault="00EB6564" w:rsidP="00CB0DA6">
      <w:pPr>
        <w:pStyle w:val="Heading2"/>
      </w:pPr>
      <w:bookmarkStart w:id="66" w:name="_Toc58254420"/>
      <w:r w:rsidRPr="009408AB">
        <w:t>New South Wales</w:t>
      </w:r>
      <w:bookmarkEnd w:id="66"/>
    </w:p>
    <w:p w14:paraId="63CE207E" w14:textId="77777777" w:rsidR="00EB6564" w:rsidRDefault="00EB6564" w:rsidP="00EB6564">
      <w:pPr>
        <w:pStyle w:val="05BODYTEXT"/>
        <w:rPr>
          <w:rStyle w:val="ITALIC"/>
        </w:rPr>
      </w:pPr>
      <w:r>
        <w:rPr>
          <w:rStyle w:val="ITALIC"/>
        </w:rPr>
        <w:t>Report to the NEPC on the implementation of the National Environment Protection (National Pollutant Inventory) Measure for New South Wales by the Hon. Matt Kean MP, Minister for Energy and Environment, for the reporting year ended 30 June 2019.</w:t>
      </w:r>
    </w:p>
    <w:p w14:paraId="75C16354" w14:textId="77777777" w:rsidR="00EB6564" w:rsidRDefault="00EB6564" w:rsidP="00EB6564">
      <w:pPr>
        <w:pStyle w:val="02HEADING2"/>
      </w:pPr>
      <w:r>
        <w:t>Part 1—Implementation of the NEPM and any significant issues</w:t>
      </w:r>
    </w:p>
    <w:p w14:paraId="170C7A64" w14:textId="77777777" w:rsidR="00EB6564" w:rsidRDefault="00EB6564" w:rsidP="00EB6564">
      <w:pPr>
        <w:pStyle w:val="05BODYTEXT"/>
      </w:pPr>
      <w:r>
        <w:t>The New South Wales Environment Protection Authority (EPA)</w:t>
      </w:r>
      <w:r>
        <w:rPr>
          <w:vertAlign w:val="superscript"/>
        </w:rPr>
        <w:footnoteReference w:id="5"/>
      </w:r>
      <w:r>
        <w:t xml:space="preserve"> implemented the National Environment Protection (National Pollutant Inventory) Measure (NEPM) through the provisions in Chapter 4 of the Protection of the Environment Operations (General) Regulation 2009, including: </w:t>
      </w:r>
    </w:p>
    <w:p w14:paraId="54BFFEF5" w14:textId="77777777" w:rsidR="00EB6564" w:rsidRDefault="00EB6564" w:rsidP="00EB6564">
      <w:pPr>
        <w:pStyle w:val="05bDOTPOINTS"/>
      </w:pPr>
      <w:r>
        <w:t>•</w:t>
      </w:r>
      <w:r>
        <w:tab/>
        <w:t>definition of reporting premises and substance thresholds</w:t>
      </w:r>
    </w:p>
    <w:p w14:paraId="64A4D26C" w14:textId="77777777" w:rsidR="00EB6564" w:rsidRDefault="00EB6564" w:rsidP="00EB6564">
      <w:pPr>
        <w:pStyle w:val="05bDOTPOINTS"/>
      </w:pPr>
      <w:r>
        <w:t>•</w:t>
      </w:r>
      <w:r>
        <w:tab/>
        <w:t>reporting and record keeping requirements</w:t>
      </w:r>
    </w:p>
    <w:p w14:paraId="222955C6" w14:textId="77777777" w:rsidR="00EB6564" w:rsidRDefault="00EB6564" w:rsidP="00EB6564">
      <w:pPr>
        <w:pStyle w:val="05bDOTPOINTS"/>
      </w:pPr>
      <w:r>
        <w:t>•</w:t>
      </w:r>
      <w:r>
        <w:tab/>
        <w:t>compliance and penalty requirements</w:t>
      </w:r>
    </w:p>
    <w:p w14:paraId="26CC4CEC" w14:textId="77777777" w:rsidR="00EB6564" w:rsidRDefault="00EB6564" w:rsidP="00EB6564">
      <w:pPr>
        <w:pStyle w:val="05bDOTPOINTS"/>
      </w:pPr>
      <w:r>
        <w:t>•</w:t>
      </w:r>
      <w:r>
        <w:tab/>
        <w:t>emission estimation techniques</w:t>
      </w:r>
    </w:p>
    <w:p w14:paraId="06AFB1DC" w14:textId="77777777" w:rsidR="00EB6564" w:rsidRDefault="00EB6564" w:rsidP="00EB6564">
      <w:pPr>
        <w:pStyle w:val="05bDOTPOINTS"/>
      </w:pPr>
      <w:r>
        <w:t>•</w:t>
      </w:r>
      <w:r>
        <w:tab/>
        <w:t>exemptions.</w:t>
      </w:r>
    </w:p>
    <w:p w14:paraId="1D46FA46" w14:textId="77777777" w:rsidR="00EB6564" w:rsidRDefault="00EB6564" w:rsidP="00EB6564">
      <w:pPr>
        <w:pStyle w:val="02HEADING2"/>
      </w:pPr>
      <w:r>
        <w:t>Part 2—Assessment of NEPM effectiveness</w:t>
      </w:r>
    </w:p>
    <w:p w14:paraId="46FC0F7E" w14:textId="77777777" w:rsidR="00EB6564" w:rsidRDefault="00EB6564" w:rsidP="00EB6564">
      <w:pPr>
        <w:pStyle w:val="05BODYTEXT"/>
      </w:pPr>
      <w:r>
        <w:t xml:space="preserve">National Pollutant Inventory (NPI) facility emissions and transfers are reported for the 2017-18 reporting period as NPI annual reporting period data is not finalised until public release by the Commonwealth at end March of the subsequent calendar year. The EPA conducts </w:t>
      </w:r>
      <w:proofErr w:type="gramStart"/>
      <w:r>
        <w:t>online</w:t>
      </w:r>
      <w:proofErr w:type="gramEnd"/>
      <w:r>
        <w:t xml:space="preserve"> and face-to-face training as required, which assists facility reporters with understanding key elements of NPI reporting, using the online reporting system and applying calculation and validation tools rather than emission estimation technique manuals (to reduce time and improve accuracy). </w:t>
      </w:r>
    </w:p>
    <w:p w14:paraId="4EEB3A3A" w14:textId="77777777" w:rsidR="00EB6564" w:rsidRDefault="00EB6564" w:rsidP="00EB6564">
      <w:pPr>
        <w:pStyle w:val="05BODYTEXT"/>
      </w:pPr>
      <w:r>
        <w:lastRenderedPageBreak/>
        <w:t>The NPI online reporting system has led to improvements in the quality and accuracy of facility data by including estimation and validation tools and minimising the need for manual data entry. There are opportunities for further improvements, including:</w:t>
      </w:r>
    </w:p>
    <w:p w14:paraId="31259AAA" w14:textId="77777777" w:rsidR="00EB6564" w:rsidRDefault="00EB6564" w:rsidP="00EB6564">
      <w:pPr>
        <w:pStyle w:val="05bDOTPOINTS"/>
      </w:pPr>
      <w:r>
        <w:t>•</w:t>
      </w:r>
      <w:r>
        <w:tab/>
        <w:t>additional calculation tools to estimate the transfer of NPI substances in waste streams from key industry sectors with guidance on transfer destinations</w:t>
      </w:r>
    </w:p>
    <w:p w14:paraId="0AAB2C33" w14:textId="77777777" w:rsidR="00EB6564" w:rsidRDefault="00EB6564" w:rsidP="00EB6564">
      <w:pPr>
        <w:pStyle w:val="05bDOTPOINTS"/>
      </w:pPr>
      <w:r>
        <w:t>•</w:t>
      </w:r>
      <w:r>
        <w:tab/>
        <w:t>emission factors for non-standard fuels such as landfill gas burnt in flares or engines</w:t>
      </w:r>
    </w:p>
    <w:p w14:paraId="63CB5C18" w14:textId="77777777" w:rsidR="00EB6564" w:rsidRDefault="00EB6564" w:rsidP="00EB6564">
      <w:pPr>
        <w:pStyle w:val="05bDOTPOINTS"/>
      </w:pPr>
      <w:r>
        <w:t>•</w:t>
      </w:r>
      <w:r>
        <w:tab/>
        <w:t>improved fugitive emission estimation methods</w:t>
      </w:r>
    </w:p>
    <w:p w14:paraId="0B98EE12" w14:textId="77777777" w:rsidR="00EB6564" w:rsidRDefault="00EB6564" w:rsidP="00EB6564">
      <w:pPr>
        <w:pStyle w:val="05bDOTPOINTS"/>
      </w:pPr>
      <w:r>
        <w:t>•</w:t>
      </w:r>
      <w:r>
        <w:tab/>
        <w:t>an interactive on-line training program</w:t>
      </w:r>
    </w:p>
    <w:p w14:paraId="04F1EADB" w14:textId="77777777" w:rsidR="00EB6564" w:rsidRDefault="00EB6564" w:rsidP="00EB6564">
      <w:pPr>
        <w:pStyle w:val="05bDOTPOINTS"/>
      </w:pPr>
      <w:r>
        <w:t>•</w:t>
      </w:r>
      <w:r>
        <w:tab/>
        <w:t>regular review of the NPI to scope improvements in its performance and administration.</w:t>
      </w:r>
    </w:p>
    <w:p w14:paraId="4FCB7D85" w14:textId="77777777" w:rsidR="00EB6564" w:rsidRDefault="00EB6564" w:rsidP="00EB6564">
      <w:pPr>
        <w:pStyle w:val="05BODYTEXT"/>
      </w:pPr>
      <w:r>
        <w:t xml:space="preserve">There were 29 new reporters in 2017-18. The EPA undertook industry sector reviews to identify facilities that may be required to report data to the NPI. Generally, these industry sector reviews include facilities that currently hold an environment protection licence issued under the </w:t>
      </w:r>
      <w:r>
        <w:rPr>
          <w:rStyle w:val="ITALIC"/>
        </w:rPr>
        <w:t>Protection of the Environment Operations Act 1997</w:t>
      </w:r>
      <w:r>
        <w:t>.</w:t>
      </w:r>
    </w:p>
    <w:p w14:paraId="771BAFD3" w14:textId="77777777" w:rsidR="00EB6564" w:rsidRDefault="00EB6564" w:rsidP="00EB6564">
      <w:pPr>
        <w:pStyle w:val="03HEADING3"/>
      </w:pPr>
      <w:r>
        <w:t>Summary of effectiveness</w:t>
      </w:r>
    </w:p>
    <w:tbl>
      <w:tblPr>
        <w:tblW w:w="0" w:type="auto"/>
        <w:tblInd w:w="-5" w:type="dxa"/>
        <w:tblLayout w:type="fixed"/>
        <w:tblCellMar>
          <w:left w:w="0" w:type="dxa"/>
          <w:right w:w="0" w:type="dxa"/>
        </w:tblCellMar>
        <w:tblLook w:val="0000" w:firstRow="0" w:lastRow="0" w:firstColumn="0" w:lastColumn="0" w:noHBand="0" w:noVBand="0"/>
      </w:tblPr>
      <w:tblGrid>
        <w:gridCol w:w="1823"/>
        <w:gridCol w:w="2797"/>
        <w:gridCol w:w="2797"/>
      </w:tblGrid>
      <w:tr w:rsidR="00EB6564" w14:paraId="07157E46" w14:textId="77777777" w:rsidTr="00993E87">
        <w:trPr>
          <w:trHeight w:val="60"/>
          <w:tblHeader/>
        </w:trPr>
        <w:tc>
          <w:tcPr>
            <w:tcW w:w="182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C351D05" w14:textId="77777777" w:rsidR="00EB6564" w:rsidRDefault="00EB6564">
            <w:pPr>
              <w:pStyle w:val="06bTABLEHEADERROW"/>
            </w:pPr>
            <w:r>
              <w:t xml:space="preserve">Participation levels </w:t>
            </w:r>
          </w:p>
        </w:tc>
        <w:tc>
          <w:tcPr>
            <w:tcW w:w="2797"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1CA75443" w14:textId="77777777" w:rsidR="00EB6564" w:rsidRDefault="00EB6564">
            <w:pPr>
              <w:pStyle w:val="06bTABLEHEADERROW"/>
            </w:pPr>
            <w:r>
              <w:t>Feedback from the community, industry and government</w:t>
            </w:r>
          </w:p>
        </w:tc>
        <w:tc>
          <w:tcPr>
            <w:tcW w:w="2797"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A58432A" w14:textId="77777777" w:rsidR="00EB6564" w:rsidRDefault="00EB6564">
            <w:pPr>
              <w:pStyle w:val="06bTABLEHEADERROW"/>
            </w:pPr>
            <w:r>
              <w:t>Implementation activity effectiveness</w:t>
            </w:r>
          </w:p>
        </w:tc>
      </w:tr>
      <w:tr w:rsidR="00EB6564" w14:paraId="53F27055" w14:textId="77777777" w:rsidTr="00993E8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5E99F900" w14:textId="77777777" w:rsidR="00EB6564" w:rsidRDefault="00EB6564">
            <w:pPr>
              <w:pStyle w:val="06cTABLETEXT"/>
            </w:pPr>
            <w:r>
              <w:rPr>
                <w:rStyle w:val="BOLD"/>
              </w:rPr>
              <w:t>Public</w:t>
            </w:r>
          </w:p>
        </w:tc>
      </w:tr>
      <w:tr w:rsidR="00EB6564" w14:paraId="0A88641D" w14:textId="77777777" w:rsidTr="00993E87">
        <w:trPr>
          <w:trHeight w:val="60"/>
        </w:trPr>
        <w:tc>
          <w:tcPr>
            <w:tcW w:w="182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16CC45F9" w14:textId="77777777" w:rsidR="00EB6564" w:rsidRDefault="00EB6564">
            <w:pPr>
              <w:pStyle w:val="06cTABLETEXT"/>
              <w:ind w:left="170" w:hanging="170"/>
              <w:rPr>
                <w:rStyle w:val="ITALIC"/>
              </w:rPr>
            </w:pPr>
            <w:r>
              <w:t>•</w:t>
            </w:r>
            <w:r>
              <w:tab/>
              <w:t>The number of community member visits to the National Pollutant Inventory website was recorded by the Commonwealth.</w:t>
            </w:r>
            <w:r>
              <w:rPr>
                <w:rStyle w:val="ITALIC"/>
              </w:rPr>
              <w:t xml:space="preserve"> </w:t>
            </w:r>
          </w:p>
          <w:p w14:paraId="35A513CF" w14:textId="77777777" w:rsidR="00EB6564" w:rsidRDefault="00EB6564">
            <w:pPr>
              <w:pStyle w:val="06cTABLETEXT"/>
              <w:ind w:left="170" w:hanging="170"/>
            </w:pPr>
          </w:p>
        </w:tc>
        <w:tc>
          <w:tcPr>
            <w:tcW w:w="279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18F5C870" w14:textId="77777777" w:rsidR="00EB6564" w:rsidRDefault="00EB6564">
            <w:pPr>
              <w:pStyle w:val="06cTABLETEXT"/>
              <w:ind w:left="170" w:hanging="170"/>
            </w:pPr>
            <w:r>
              <w:t>•</w:t>
            </w:r>
            <w:r>
              <w:tab/>
              <w:t>Academics and researchers continue to use the NPI data for modelling and other studies.</w:t>
            </w:r>
          </w:p>
          <w:p w14:paraId="28173B2B" w14:textId="77777777" w:rsidR="00EB6564" w:rsidRDefault="00EB6564">
            <w:pPr>
              <w:pStyle w:val="06cTABLETEXT"/>
              <w:ind w:left="170" w:hanging="170"/>
            </w:pPr>
            <w:r>
              <w:t>•</w:t>
            </w:r>
            <w:r>
              <w:tab/>
              <w:t>The media utilises NPI data where they identify environmental issues of concern.</w:t>
            </w:r>
          </w:p>
          <w:p w14:paraId="1E45A93B" w14:textId="77777777" w:rsidR="00EB6564" w:rsidRDefault="00EB6564">
            <w:pPr>
              <w:pStyle w:val="06cTABLETEXT"/>
              <w:ind w:left="170" w:hanging="170"/>
            </w:pPr>
            <w:r>
              <w:t>Some issues have been identified:</w:t>
            </w:r>
          </w:p>
          <w:p w14:paraId="7179F048" w14:textId="77777777" w:rsidR="00EB6564" w:rsidRDefault="00EB6564">
            <w:pPr>
              <w:pStyle w:val="06cTABLETEXT"/>
              <w:ind w:left="170" w:hanging="170"/>
            </w:pPr>
            <w:r>
              <w:t>•</w:t>
            </w:r>
            <w:r>
              <w:tab/>
              <w:t>Community users of NPI data frequently fail to access ‘transfer’ data as the ‘search by form’ screen does not incorporate ‘transfer’ destination searches.</w:t>
            </w:r>
          </w:p>
          <w:p w14:paraId="6E03EEAB" w14:textId="77777777" w:rsidR="00EB6564" w:rsidRDefault="00EB6564">
            <w:pPr>
              <w:pStyle w:val="06cTABLETEXT"/>
              <w:ind w:left="170" w:hanging="170"/>
            </w:pPr>
            <w:r>
              <w:t>•</w:t>
            </w:r>
            <w:r>
              <w:tab/>
              <w:t xml:space="preserve">Enquiries from public and media continue to demonstrate a growing awareness of the dataset, </w:t>
            </w:r>
            <w:proofErr w:type="gramStart"/>
            <w:r>
              <w:t>however</w:t>
            </w:r>
            <w:proofErr w:type="gramEnd"/>
            <w:r>
              <w:t xml:space="preserve"> there continues to be a strong need to provide additional contextual information.</w:t>
            </w:r>
          </w:p>
        </w:tc>
        <w:tc>
          <w:tcPr>
            <w:tcW w:w="279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27E80158" w14:textId="77777777" w:rsidR="00EB6564" w:rsidRDefault="00EB6564">
            <w:pPr>
              <w:pStyle w:val="06cTABLETEXT"/>
              <w:ind w:left="170" w:hanging="170"/>
            </w:pPr>
            <w:r>
              <w:t>•</w:t>
            </w:r>
            <w:r>
              <w:tab/>
              <w:t>N/A</w:t>
            </w:r>
          </w:p>
        </w:tc>
      </w:tr>
      <w:tr w:rsidR="00EB6564" w14:paraId="0C5E3457" w14:textId="77777777" w:rsidTr="00993E8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2D756987" w14:textId="77777777" w:rsidR="00EB6564" w:rsidRDefault="00EB6564">
            <w:pPr>
              <w:pStyle w:val="06cTABLETEXT"/>
              <w:ind w:left="170" w:hanging="170"/>
            </w:pPr>
            <w:r>
              <w:rPr>
                <w:rStyle w:val="BOLD"/>
              </w:rPr>
              <w:t>Industry</w:t>
            </w:r>
          </w:p>
        </w:tc>
      </w:tr>
      <w:tr w:rsidR="00EB6564" w14:paraId="61FFAEA2" w14:textId="77777777" w:rsidTr="00993E87">
        <w:trPr>
          <w:trHeight w:val="60"/>
        </w:trPr>
        <w:tc>
          <w:tcPr>
            <w:tcW w:w="182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150AAE59" w14:textId="77777777" w:rsidR="00EB6564" w:rsidRDefault="00EB6564">
            <w:pPr>
              <w:pStyle w:val="06cTABLETEXT"/>
              <w:ind w:left="170" w:hanging="170"/>
            </w:pPr>
            <w:r>
              <w:t>•</w:t>
            </w:r>
            <w:r>
              <w:tab/>
              <w:t>923 reports for 2017-18 (compared to 900 reports for 2016-17)</w:t>
            </w:r>
          </w:p>
          <w:p w14:paraId="55CF3D69" w14:textId="77777777" w:rsidR="00EB6564" w:rsidRDefault="00EB6564">
            <w:pPr>
              <w:pStyle w:val="06cTABLETEXT"/>
              <w:ind w:left="170" w:hanging="170"/>
            </w:pPr>
            <w:r>
              <w:t>•</w:t>
            </w:r>
            <w:r>
              <w:tab/>
              <w:t xml:space="preserve">29 new reporters in 2017-18 </w:t>
            </w:r>
          </w:p>
          <w:p w14:paraId="0A73BE03" w14:textId="77777777" w:rsidR="00EB6564" w:rsidRDefault="00EB6564">
            <w:pPr>
              <w:pStyle w:val="06cTABLETEXT"/>
              <w:ind w:left="170" w:hanging="170"/>
            </w:pPr>
            <w:r>
              <w:t>•</w:t>
            </w:r>
            <w:r>
              <w:tab/>
              <w:t>Nil confidentiality claims submitted</w:t>
            </w:r>
          </w:p>
        </w:tc>
        <w:tc>
          <w:tcPr>
            <w:tcW w:w="279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154D3CE7" w14:textId="77777777" w:rsidR="00EB6564" w:rsidRDefault="00EB6564">
            <w:pPr>
              <w:pStyle w:val="06cTABLETEXT"/>
              <w:ind w:left="170" w:hanging="170"/>
            </w:pPr>
            <w:r>
              <w:t>•</w:t>
            </w:r>
            <w:r>
              <w:tab/>
              <w:t xml:space="preserve">Training and support provided by the EPA to facility reporters has improved data quality and reduced costs to NPI facility reporters. </w:t>
            </w:r>
          </w:p>
        </w:tc>
        <w:tc>
          <w:tcPr>
            <w:tcW w:w="279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4F262C27" w14:textId="77777777" w:rsidR="00EB6564" w:rsidRDefault="00EB6564">
            <w:pPr>
              <w:pStyle w:val="06cTABLETEXT"/>
              <w:ind w:left="170" w:hanging="170"/>
            </w:pPr>
            <w:r>
              <w:t>•</w:t>
            </w:r>
            <w:r>
              <w:tab/>
              <w:t xml:space="preserve">During 2017-18, the EPA trained approximately 30 reporters, including in use of the NPI online reporting system. </w:t>
            </w:r>
          </w:p>
          <w:p w14:paraId="0678C3E4" w14:textId="77777777" w:rsidR="00EB6564" w:rsidRDefault="00EB6564">
            <w:pPr>
              <w:pStyle w:val="06cTABLETEXT"/>
              <w:ind w:left="170" w:hanging="170"/>
            </w:pPr>
            <w:r>
              <w:t>•</w:t>
            </w:r>
            <w:r>
              <w:tab/>
              <w:t xml:space="preserve">The EPA has received ongoing requests from industry for training and guidance material on transfers of NPI substances in waste streams. </w:t>
            </w:r>
          </w:p>
        </w:tc>
      </w:tr>
      <w:tr w:rsidR="00EB6564" w14:paraId="052BACDA" w14:textId="77777777" w:rsidTr="00993E8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28DB6E85" w14:textId="77777777" w:rsidR="00EB6564" w:rsidRDefault="00EB6564">
            <w:pPr>
              <w:pStyle w:val="06cTABLETEXT"/>
              <w:ind w:left="170" w:hanging="170"/>
            </w:pPr>
            <w:r>
              <w:rPr>
                <w:rStyle w:val="BOLD"/>
              </w:rPr>
              <w:t>Government</w:t>
            </w:r>
          </w:p>
        </w:tc>
      </w:tr>
      <w:tr w:rsidR="00EB6564" w14:paraId="1FE04619" w14:textId="77777777" w:rsidTr="00993E87">
        <w:trPr>
          <w:trHeight w:val="60"/>
        </w:trPr>
        <w:tc>
          <w:tcPr>
            <w:tcW w:w="182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7792D413" w14:textId="77777777" w:rsidR="00EB6564" w:rsidRDefault="00EB6564">
            <w:pPr>
              <w:pStyle w:val="06cTABLETEXT"/>
              <w:ind w:left="170" w:hanging="170"/>
            </w:pPr>
            <w:r>
              <w:t>•</w:t>
            </w:r>
            <w:r>
              <w:tab/>
              <w:t>923 desktop audits</w:t>
            </w:r>
          </w:p>
          <w:p w14:paraId="56DED589" w14:textId="77777777" w:rsidR="00EB6564" w:rsidRDefault="00EB6564">
            <w:pPr>
              <w:pStyle w:val="06cTABLETEXT"/>
              <w:ind w:left="170" w:hanging="170"/>
            </w:pPr>
            <w:r>
              <w:t>•</w:t>
            </w:r>
            <w:r>
              <w:tab/>
              <w:t>Nil on-site audits</w:t>
            </w:r>
          </w:p>
          <w:p w14:paraId="3DB2D3B1" w14:textId="77777777" w:rsidR="00EB6564" w:rsidRDefault="00EB6564">
            <w:pPr>
              <w:pStyle w:val="06cTABLETEXT"/>
              <w:ind w:left="170" w:hanging="170"/>
            </w:pPr>
            <w:r>
              <w:t>•</w:t>
            </w:r>
            <w:r>
              <w:tab/>
              <w:t>Nil regulatory actions</w:t>
            </w:r>
          </w:p>
        </w:tc>
        <w:tc>
          <w:tcPr>
            <w:tcW w:w="279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10700EDC" w14:textId="77777777" w:rsidR="00EB6564" w:rsidRDefault="00EB6564">
            <w:pPr>
              <w:pStyle w:val="06cTABLETEXT"/>
              <w:ind w:left="170" w:hanging="170"/>
            </w:pPr>
            <w:r>
              <w:t>•</w:t>
            </w:r>
            <w:r>
              <w:tab/>
              <w:t>The EPA continues to use the NPI to inform policy and regulatory approaches.</w:t>
            </w:r>
          </w:p>
          <w:p w14:paraId="35F6D46E" w14:textId="77777777" w:rsidR="00EB6564" w:rsidRDefault="00EB6564">
            <w:pPr>
              <w:pStyle w:val="06cTABLETEXT"/>
              <w:ind w:left="170" w:hanging="170"/>
            </w:pPr>
            <w:r>
              <w:t>•</w:t>
            </w:r>
            <w:r>
              <w:tab/>
              <w:t>The EPA continues to use the NPI to analyse environmental outcomes in relation to the regulation of substances at industrial facilities.</w:t>
            </w:r>
          </w:p>
        </w:tc>
        <w:tc>
          <w:tcPr>
            <w:tcW w:w="279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594056E0" w14:textId="77777777" w:rsidR="00EB6564" w:rsidRDefault="00EB6564">
            <w:pPr>
              <w:pStyle w:val="06cTABLETEXT"/>
              <w:ind w:left="170" w:hanging="170"/>
            </w:pPr>
            <w:r>
              <w:t>•</w:t>
            </w:r>
            <w:r>
              <w:tab/>
              <w:t xml:space="preserve">The EPA continues to utilise an internal communication program to inform staff about the importance of the NPI and the emission estimation techniques. </w:t>
            </w:r>
          </w:p>
          <w:p w14:paraId="1451C431" w14:textId="77777777" w:rsidR="00EB6564" w:rsidRDefault="00EB6564">
            <w:pPr>
              <w:pStyle w:val="06cTABLETEXT"/>
              <w:ind w:left="170" w:hanging="170"/>
            </w:pPr>
            <w:r>
              <w:t>•</w:t>
            </w:r>
            <w:r>
              <w:tab/>
              <w:t xml:space="preserve">Regular NPI officer meetings facilitate information exchange and knowledge sharing between jurisdictions and seek to ensure a consistent </w:t>
            </w:r>
            <w:r>
              <w:lastRenderedPageBreak/>
              <w:t>‘harmonised’ approach for reporters with multiple facilities across Australia.</w:t>
            </w:r>
          </w:p>
        </w:tc>
      </w:tr>
    </w:tbl>
    <w:p w14:paraId="379E4AAC" w14:textId="77777777" w:rsidR="00EB6564" w:rsidRPr="009408AB" w:rsidRDefault="00EB6564" w:rsidP="00CB0DA6">
      <w:pPr>
        <w:pStyle w:val="Heading2"/>
      </w:pPr>
      <w:bookmarkStart w:id="67" w:name="_Toc58254421"/>
      <w:r w:rsidRPr="009408AB">
        <w:lastRenderedPageBreak/>
        <w:t>Victoria</w:t>
      </w:r>
      <w:bookmarkEnd w:id="67"/>
    </w:p>
    <w:p w14:paraId="4EA37270" w14:textId="77777777" w:rsidR="00EB6564" w:rsidRDefault="00EB6564" w:rsidP="00EB6564">
      <w:pPr>
        <w:pStyle w:val="05BODYTEXT"/>
        <w:rPr>
          <w:rStyle w:val="ITALIC"/>
        </w:rPr>
      </w:pPr>
      <w:r>
        <w:rPr>
          <w:rStyle w:val="ITALIC"/>
        </w:rPr>
        <w:t xml:space="preserve">Report to the NEPC on the implementation of the National Environment Protection (National Pollutant Inventory) Measure for Victoria by the Hon Lily </w:t>
      </w:r>
      <w:proofErr w:type="spellStart"/>
      <w:r>
        <w:rPr>
          <w:rStyle w:val="ITALIC"/>
        </w:rPr>
        <w:t>D’Ambrosio</w:t>
      </w:r>
      <w:proofErr w:type="spellEnd"/>
      <w:r>
        <w:rPr>
          <w:rStyle w:val="ITALIC"/>
        </w:rPr>
        <w:t>, Minister for Energy, Environment and Climate Change for the reporting year ended 30 June 2019.</w:t>
      </w:r>
    </w:p>
    <w:p w14:paraId="6F6A173D" w14:textId="77777777" w:rsidR="00EB6564" w:rsidRDefault="00EB6564" w:rsidP="00EB6564">
      <w:pPr>
        <w:pStyle w:val="02HEADING2"/>
      </w:pPr>
      <w:r>
        <w:t>Part 1—Implementation of the NEPM and any significant issues</w:t>
      </w:r>
    </w:p>
    <w:p w14:paraId="540A7638" w14:textId="77777777" w:rsidR="00EB6564" w:rsidRDefault="00EB6564" w:rsidP="00EB6564">
      <w:pPr>
        <w:pStyle w:val="05BODYTEXT"/>
      </w:pPr>
      <w:r>
        <w:t xml:space="preserve">The NPI NEPM is implemented in Victoria through the Waste Management Policy (National Pollutant Inventory) 2012 (WMP NPI). </w:t>
      </w:r>
    </w:p>
    <w:p w14:paraId="30663450" w14:textId="77777777" w:rsidR="00EB6564" w:rsidRDefault="00EB6564" w:rsidP="00EB6564">
      <w:pPr>
        <w:pStyle w:val="05BODYTEXT"/>
      </w:pPr>
      <w:r>
        <w:t xml:space="preserve">While the Environment Protection Authority Victoria (EPA) experienced no major NPI-related implementation issues in 2017/18, EPA has some concerns regarding the quality and timeliness of the NPI data provided by industrial facilities. Neither the WMP NPI nor NPI NEPM contains penalty provisions because the initial intention was to encourage industry participation in the program. Absence of penalty provisions to support enforcement activities makes it difficult for government to ensure NPI reports are both submitted on time and contain accurate and comprehensive data. </w:t>
      </w:r>
    </w:p>
    <w:p w14:paraId="5BF19F1A" w14:textId="77777777" w:rsidR="00EB6564" w:rsidRDefault="00EB6564" w:rsidP="00EB6564">
      <w:pPr>
        <w:pStyle w:val="05BODYTEXT"/>
      </w:pPr>
      <w:r>
        <w:t xml:space="preserve">EPA will continue to raise the issue of the NPI data quality and program enforceability during the upcoming statutory review of the NPI NEPM. </w:t>
      </w:r>
    </w:p>
    <w:p w14:paraId="22EA61D0" w14:textId="77777777" w:rsidR="00EB6564" w:rsidRDefault="00EB6564" w:rsidP="00EB6564">
      <w:pPr>
        <w:pStyle w:val="02HEADING2"/>
      </w:pPr>
      <w:r>
        <w:t>Part 2—Assessment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1781"/>
        <w:gridCol w:w="3544"/>
        <w:gridCol w:w="2120"/>
      </w:tblGrid>
      <w:tr w:rsidR="00EB6564" w14:paraId="5D3A7F80" w14:textId="77777777" w:rsidTr="00993E87">
        <w:trPr>
          <w:trHeight w:val="60"/>
          <w:tblHeader/>
        </w:trPr>
        <w:tc>
          <w:tcPr>
            <w:tcW w:w="1781"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14B71EE3" w14:textId="77777777" w:rsidR="00EB6564" w:rsidRDefault="00EB6564">
            <w:pPr>
              <w:pStyle w:val="06bTABLEHEADERROW"/>
            </w:pPr>
            <w:r>
              <w:t>Participation levels</w:t>
            </w:r>
          </w:p>
        </w:tc>
        <w:tc>
          <w:tcPr>
            <w:tcW w:w="3544"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028B864" w14:textId="77777777" w:rsidR="00EB6564" w:rsidRDefault="00EB6564">
            <w:pPr>
              <w:pStyle w:val="06bTABLEHEADERROW"/>
            </w:pPr>
            <w:r>
              <w:t>Feedback from the community, industry and government</w:t>
            </w:r>
          </w:p>
        </w:tc>
        <w:tc>
          <w:tcPr>
            <w:tcW w:w="2120"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536AA92" w14:textId="77777777" w:rsidR="00EB6564" w:rsidRDefault="00EB6564">
            <w:pPr>
              <w:pStyle w:val="06bTABLEHEADERROW"/>
            </w:pPr>
            <w:r>
              <w:t>Implementation activity effectiveness</w:t>
            </w:r>
          </w:p>
        </w:tc>
      </w:tr>
      <w:tr w:rsidR="00EB6564" w14:paraId="5B7230B5" w14:textId="77777777" w:rsidTr="00993E87">
        <w:trPr>
          <w:trHeight w:val="60"/>
        </w:trPr>
        <w:tc>
          <w:tcPr>
            <w:tcW w:w="7445"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283A30E3" w14:textId="77777777" w:rsidR="00EB6564" w:rsidRDefault="00EB6564">
            <w:pPr>
              <w:pStyle w:val="06cTABLETEXT"/>
            </w:pPr>
            <w:r>
              <w:rPr>
                <w:rStyle w:val="BOLD"/>
              </w:rPr>
              <w:t>Public</w:t>
            </w:r>
          </w:p>
        </w:tc>
      </w:tr>
      <w:tr w:rsidR="00EB6564" w14:paraId="4CBB4FA0" w14:textId="77777777" w:rsidTr="00993E87">
        <w:trPr>
          <w:trHeight w:val="60"/>
        </w:trPr>
        <w:tc>
          <w:tcPr>
            <w:tcW w:w="17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46C36B17" w14:textId="77777777" w:rsidR="00EB6564" w:rsidRDefault="00EB6564">
            <w:pPr>
              <w:pStyle w:val="06cTABLETEXT"/>
              <w:ind w:left="170" w:hanging="170"/>
            </w:pPr>
            <w:r>
              <w:t>•</w:t>
            </w:r>
            <w:r>
              <w:tab/>
              <w:t>The number of community member visits to the National Pollutant Inventory website was recorded by the Commonwealth.</w:t>
            </w:r>
          </w:p>
        </w:tc>
        <w:tc>
          <w:tcPr>
            <w:tcW w:w="354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51F03B4E" w14:textId="77777777" w:rsidR="00EB6564" w:rsidRDefault="00EB6564">
            <w:pPr>
              <w:pStyle w:val="06cTABLETEXT"/>
              <w:ind w:left="170" w:hanging="170"/>
            </w:pPr>
            <w:r>
              <w:t>•</w:t>
            </w:r>
            <w:r>
              <w:tab/>
              <w:t xml:space="preserve">No specific feedback was received from the community. </w:t>
            </w:r>
          </w:p>
        </w:tc>
        <w:tc>
          <w:tcPr>
            <w:tcW w:w="212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081FF309" w14:textId="77777777" w:rsidR="00EB6564" w:rsidRDefault="00EB6564">
            <w:pPr>
              <w:pStyle w:val="NoParagraphStyle"/>
              <w:spacing w:line="240" w:lineRule="auto"/>
              <w:textAlignment w:val="auto"/>
              <w:rPr>
                <w:rFonts w:ascii="Calibri" w:hAnsi="Calibri" w:cs="Calibri"/>
                <w:color w:val="auto"/>
              </w:rPr>
            </w:pPr>
          </w:p>
        </w:tc>
      </w:tr>
      <w:tr w:rsidR="00EB6564" w14:paraId="671D90DA" w14:textId="77777777" w:rsidTr="00993E87">
        <w:trPr>
          <w:trHeight w:val="60"/>
        </w:trPr>
        <w:tc>
          <w:tcPr>
            <w:tcW w:w="7445"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48EA7F2C" w14:textId="77777777" w:rsidR="00EB6564" w:rsidRDefault="00EB6564">
            <w:pPr>
              <w:pStyle w:val="06cTABLETEXT"/>
              <w:ind w:left="170" w:hanging="170"/>
            </w:pPr>
            <w:r>
              <w:rPr>
                <w:rStyle w:val="BOLD"/>
              </w:rPr>
              <w:t>Industry</w:t>
            </w:r>
          </w:p>
        </w:tc>
      </w:tr>
      <w:tr w:rsidR="00EB6564" w14:paraId="4BC4F136" w14:textId="77777777" w:rsidTr="00993E87">
        <w:trPr>
          <w:trHeight w:val="60"/>
        </w:trPr>
        <w:tc>
          <w:tcPr>
            <w:tcW w:w="17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744ADB2D" w14:textId="77777777" w:rsidR="00EB6564" w:rsidRDefault="00EB6564">
            <w:pPr>
              <w:pStyle w:val="06cTABLETEXT"/>
              <w:ind w:left="170" w:hanging="170"/>
            </w:pPr>
            <w:r>
              <w:t>•</w:t>
            </w:r>
            <w:r>
              <w:tab/>
              <w:t>821 published reports for 2017-18</w:t>
            </w:r>
          </w:p>
          <w:p w14:paraId="76C74155" w14:textId="77777777" w:rsidR="00EB6564" w:rsidRDefault="00EB6564">
            <w:pPr>
              <w:pStyle w:val="06cTABLETEXT"/>
              <w:ind w:left="170" w:hanging="170"/>
            </w:pPr>
            <w:r>
              <w:t>•</w:t>
            </w:r>
            <w:r>
              <w:tab/>
              <w:t>824 published reports for 2016-17</w:t>
            </w:r>
          </w:p>
          <w:p w14:paraId="552260F9" w14:textId="77777777" w:rsidR="00EB6564" w:rsidRDefault="00EB6564">
            <w:pPr>
              <w:pStyle w:val="06cTABLETEXT"/>
              <w:ind w:left="170" w:hanging="170"/>
            </w:pPr>
            <w:r>
              <w:t>•</w:t>
            </w:r>
            <w:r>
              <w:tab/>
              <w:t xml:space="preserve">11 submitted reports for 2017-18 were withheld from publication </w:t>
            </w:r>
          </w:p>
          <w:p w14:paraId="22EF1D7B" w14:textId="77777777" w:rsidR="00EB6564" w:rsidRDefault="00EB6564">
            <w:pPr>
              <w:pStyle w:val="06cTABLETEXT"/>
              <w:ind w:left="170" w:hanging="170"/>
            </w:pPr>
            <w:r>
              <w:t>•</w:t>
            </w:r>
            <w:r>
              <w:tab/>
              <w:t>15 new reporters</w:t>
            </w:r>
          </w:p>
          <w:p w14:paraId="4A4AB62C" w14:textId="77777777" w:rsidR="00EB6564" w:rsidRDefault="00EB6564">
            <w:pPr>
              <w:pStyle w:val="06cTABLETEXT"/>
              <w:ind w:left="170" w:hanging="170"/>
            </w:pPr>
            <w:r>
              <w:t>•</w:t>
            </w:r>
            <w:r>
              <w:tab/>
              <w:t>0 confidentiality claims submitted</w:t>
            </w:r>
          </w:p>
        </w:tc>
        <w:tc>
          <w:tcPr>
            <w:tcW w:w="354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2F3BA28F" w14:textId="77777777" w:rsidR="00EB6564" w:rsidRDefault="00EB6564">
            <w:pPr>
              <w:pStyle w:val="06cTABLETEXT"/>
              <w:ind w:left="170" w:hanging="170"/>
            </w:pPr>
            <w:r>
              <w:t>•</w:t>
            </w:r>
            <w:r>
              <w:tab/>
              <w:t xml:space="preserve">Industry reporters described difficulties in using the NPI online reporting system, specifically the MS Excel calculation tools - such as it not being compatible with MS Excel version used by the reporter. </w:t>
            </w:r>
          </w:p>
        </w:tc>
        <w:tc>
          <w:tcPr>
            <w:tcW w:w="212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1DD802FF" w14:textId="77777777" w:rsidR="00EB6564" w:rsidRDefault="00EB6564">
            <w:pPr>
              <w:pStyle w:val="06cTABLETEXT"/>
              <w:ind w:left="170" w:hanging="170"/>
            </w:pPr>
            <w:r>
              <w:t>•</w:t>
            </w:r>
            <w:r>
              <w:tab/>
              <w:t xml:space="preserve">95% of published industry reports for 2017-18 were submitted on time. </w:t>
            </w:r>
          </w:p>
          <w:p w14:paraId="02F7A936" w14:textId="77777777" w:rsidR="00EB6564" w:rsidRDefault="00EB6564">
            <w:pPr>
              <w:pStyle w:val="06cTABLETEXT"/>
              <w:ind w:left="170" w:hanging="170"/>
            </w:pPr>
            <w:r>
              <w:t>•</w:t>
            </w:r>
            <w:r>
              <w:tab/>
              <w:t xml:space="preserve">97 % of published industry reports for 2017-18 were submitted online. </w:t>
            </w:r>
          </w:p>
          <w:p w14:paraId="72233569" w14:textId="77777777" w:rsidR="00EB6564" w:rsidRDefault="00EB6564">
            <w:pPr>
              <w:pStyle w:val="06cTABLETEXT"/>
              <w:ind w:left="170" w:hanging="170"/>
            </w:pPr>
          </w:p>
        </w:tc>
      </w:tr>
      <w:tr w:rsidR="00EB6564" w14:paraId="3FD4A2C3" w14:textId="77777777" w:rsidTr="00993E87">
        <w:trPr>
          <w:trHeight w:val="60"/>
        </w:trPr>
        <w:tc>
          <w:tcPr>
            <w:tcW w:w="7445"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5D667CF5" w14:textId="77777777" w:rsidR="00EB6564" w:rsidRDefault="00EB6564">
            <w:pPr>
              <w:pStyle w:val="06cTABLETEXT"/>
              <w:ind w:left="170" w:hanging="170"/>
            </w:pPr>
            <w:r>
              <w:rPr>
                <w:rStyle w:val="BOLD"/>
              </w:rPr>
              <w:t>Government</w:t>
            </w:r>
          </w:p>
        </w:tc>
      </w:tr>
      <w:tr w:rsidR="00EB6564" w14:paraId="609E100C" w14:textId="77777777" w:rsidTr="00993E87">
        <w:trPr>
          <w:trHeight w:val="60"/>
        </w:trPr>
        <w:tc>
          <w:tcPr>
            <w:tcW w:w="17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5B74F1EC" w14:textId="77777777" w:rsidR="00EB6564" w:rsidRDefault="00EB6564">
            <w:pPr>
              <w:pStyle w:val="06cTABLETEXT"/>
              <w:ind w:left="170" w:hanging="170"/>
            </w:pPr>
            <w:r>
              <w:t>•</w:t>
            </w:r>
            <w:r>
              <w:tab/>
              <w:t>270 desktop validations</w:t>
            </w:r>
          </w:p>
          <w:p w14:paraId="3071D7D5" w14:textId="77777777" w:rsidR="00EB6564" w:rsidRDefault="00EB6564">
            <w:pPr>
              <w:pStyle w:val="06cTABLETEXT"/>
              <w:ind w:left="170" w:hanging="170"/>
            </w:pPr>
            <w:r>
              <w:t>•</w:t>
            </w:r>
            <w:r>
              <w:tab/>
              <w:t xml:space="preserve">6 audits (including 5 on-site audits and </w:t>
            </w:r>
            <w:r>
              <w:lastRenderedPageBreak/>
              <w:t>one desktop assessment)</w:t>
            </w:r>
          </w:p>
          <w:p w14:paraId="1A71CBD7" w14:textId="77777777" w:rsidR="00EB6564" w:rsidRDefault="00EB6564">
            <w:pPr>
              <w:pStyle w:val="06cTABLETEXT"/>
              <w:ind w:left="170" w:hanging="170"/>
            </w:pPr>
            <w:r>
              <w:t>•</w:t>
            </w:r>
            <w:r>
              <w:tab/>
              <w:t>1 regulatory action (Official Warning)</w:t>
            </w:r>
          </w:p>
        </w:tc>
        <w:tc>
          <w:tcPr>
            <w:tcW w:w="354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1AA5B932" w14:textId="77777777" w:rsidR="00EB6564" w:rsidRDefault="00EB6564">
            <w:pPr>
              <w:pStyle w:val="06cTABLETEXT"/>
              <w:ind w:left="170" w:hanging="170"/>
            </w:pPr>
            <w:r>
              <w:lastRenderedPageBreak/>
              <w:t>•</w:t>
            </w:r>
            <w:r>
              <w:tab/>
              <w:t xml:space="preserve">No specific feedback was received from the government. </w:t>
            </w:r>
          </w:p>
          <w:p w14:paraId="62BE6E95" w14:textId="77777777" w:rsidR="00EB6564" w:rsidRDefault="00EB6564">
            <w:pPr>
              <w:pStyle w:val="06cTABLETEXT"/>
              <w:ind w:left="170" w:hanging="170"/>
            </w:pPr>
            <w:r>
              <w:t>•</w:t>
            </w:r>
            <w:r>
              <w:tab/>
              <w:t xml:space="preserve">EPA has previously used NPI data for air quality modelling; cross-checking licence compliance; prioritising compliance work; and to inform </w:t>
            </w:r>
            <w:r>
              <w:lastRenderedPageBreak/>
              <w:t xml:space="preserve">reviews of Victoria’s Scheduled Premises Regulations and Environment Protection (Vehicle Emissions) regulations. </w:t>
            </w:r>
          </w:p>
        </w:tc>
        <w:tc>
          <w:tcPr>
            <w:tcW w:w="212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3EA5258B" w14:textId="77777777" w:rsidR="00EB6564" w:rsidRDefault="00EB6564">
            <w:pPr>
              <w:pStyle w:val="NoParagraphStyle"/>
              <w:spacing w:line="240" w:lineRule="auto"/>
              <w:textAlignment w:val="auto"/>
              <w:rPr>
                <w:rFonts w:ascii="Calibri" w:hAnsi="Calibri" w:cs="Calibri"/>
                <w:color w:val="auto"/>
              </w:rPr>
            </w:pPr>
          </w:p>
        </w:tc>
      </w:tr>
    </w:tbl>
    <w:p w14:paraId="7CD11EE9" w14:textId="77777777" w:rsidR="00EB6564" w:rsidRPr="009408AB" w:rsidRDefault="00EB6564" w:rsidP="00CB0DA6">
      <w:pPr>
        <w:pStyle w:val="Heading2"/>
      </w:pPr>
      <w:bookmarkStart w:id="68" w:name="_Toc58254422"/>
      <w:r w:rsidRPr="009408AB">
        <w:t>Queensland</w:t>
      </w:r>
      <w:bookmarkEnd w:id="68"/>
    </w:p>
    <w:p w14:paraId="7D9BDEA1" w14:textId="77777777" w:rsidR="00EB6564" w:rsidRDefault="00EB6564" w:rsidP="00EB6564">
      <w:pPr>
        <w:pStyle w:val="05BODYTEXT"/>
      </w:pPr>
      <w:r>
        <w:rPr>
          <w:rStyle w:val="ITALIC"/>
        </w:rPr>
        <w:t>Report to the NEPC on the implementation of the National Environment Protection (National Pollutant Inventory) Measure for Queensland by Hon. Ms Leeanne Enoch MP, Minister for Environment and the Great Barrier Reef, Minister for Science, and Minister for the Arts for the reporting year ended 30 June 2019.</w:t>
      </w:r>
    </w:p>
    <w:p w14:paraId="5FB8CEC8" w14:textId="77777777" w:rsidR="00EB6564" w:rsidRDefault="00EB6564" w:rsidP="00EB6564">
      <w:pPr>
        <w:pStyle w:val="02HEADING2"/>
      </w:pPr>
      <w:r>
        <w:t>Part 1—Implementation of the NEPM and any significant issues</w:t>
      </w:r>
    </w:p>
    <w:p w14:paraId="4FE1B814" w14:textId="77777777" w:rsidR="00EB6564" w:rsidRDefault="00EB6564" w:rsidP="00EB6564">
      <w:pPr>
        <w:pStyle w:val="05bDOTPOINTS"/>
        <w:ind w:left="0" w:firstLine="0"/>
      </w:pPr>
      <w:r>
        <w:t>Opportunities exist to improve the effectiveness and implementation of the National Pollutant Inventory (NPI) through a strategic review. Queensland supports investigating these opportunities through the detailed review of the current National Environmental Protection (NPI) Measure.</w:t>
      </w:r>
    </w:p>
    <w:p w14:paraId="215FC6E9" w14:textId="77777777" w:rsidR="00EB6564" w:rsidRDefault="00EB6564" w:rsidP="00EB6564">
      <w:pPr>
        <w:pStyle w:val="02HEADING2"/>
      </w:pPr>
      <w:r>
        <w:t>Part 2—Assessment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1880"/>
        <w:gridCol w:w="2679"/>
        <w:gridCol w:w="2858"/>
      </w:tblGrid>
      <w:tr w:rsidR="00EB6564" w14:paraId="216A931F" w14:textId="77777777" w:rsidTr="00993E87">
        <w:trPr>
          <w:trHeight w:val="60"/>
          <w:tblHeader/>
        </w:trPr>
        <w:tc>
          <w:tcPr>
            <w:tcW w:w="1880"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25EA4D8" w14:textId="77777777" w:rsidR="00EB6564" w:rsidRDefault="00EB6564">
            <w:pPr>
              <w:pStyle w:val="06bTABLEHEADERROW"/>
            </w:pPr>
            <w:r>
              <w:t>Participation levels</w:t>
            </w:r>
          </w:p>
        </w:tc>
        <w:tc>
          <w:tcPr>
            <w:tcW w:w="2679"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3E6E842" w14:textId="77777777" w:rsidR="00EB6564" w:rsidRDefault="00EB6564">
            <w:pPr>
              <w:pStyle w:val="06bTABLEHEADERROW"/>
            </w:pPr>
            <w:r>
              <w:t>Feedback from the community, industry and government</w:t>
            </w:r>
          </w:p>
        </w:tc>
        <w:tc>
          <w:tcPr>
            <w:tcW w:w="2858"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C68F422" w14:textId="77777777" w:rsidR="00EB6564" w:rsidRDefault="00EB6564">
            <w:pPr>
              <w:pStyle w:val="06bTABLEHEADERROW"/>
            </w:pPr>
            <w:r>
              <w:t>Implementation activity effectiveness</w:t>
            </w:r>
          </w:p>
        </w:tc>
      </w:tr>
      <w:tr w:rsidR="00EB6564" w14:paraId="1DAEB0D5" w14:textId="77777777" w:rsidTr="00993E8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109ACCC7" w14:textId="77777777" w:rsidR="00EB6564" w:rsidRDefault="00EB6564">
            <w:pPr>
              <w:pStyle w:val="05BODYTEXT"/>
            </w:pPr>
            <w:r>
              <w:rPr>
                <w:rStyle w:val="BOLD"/>
              </w:rPr>
              <w:t>Public</w:t>
            </w:r>
          </w:p>
        </w:tc>
      </w:tr>
      <w:tr w:rsidR="00EB6564" w14:paraId="1FF4CEFF" w14:textId="77777777" w:rsidTr="00993E87">
        <w:trPr>
          <w:trHeight w:val="60"/>
        </w:trPr>
        <w:tc>
          <w:tcPr>
            <w:tcW w:w="188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51C29A3E" w14:textId="77777777" w:rsidR="00EB6564" w:rsidRDefault="00EB6564">
            <w:pPr>
              <w:pStyle w:val="05BODYTEXT"/>
              <w:ind w:left="170" w:hanging="170"/>
            </w:pPr>
            <w:r>
              <w:t>•</w:t>
            </w:r>
            <w:r>
              <w:tab/>
              <w:t>The number of community member visits to the National Pollutant Inventory website was recorded by the Commonwealth.</w:t>
            </w:r>
          </w:p>
        </w:tc>
        <w:tc>
          <w:tcPr>
            <w:tcW w:w="267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31A42593" w14:textId="77777777" w:rsidR="00EB6564" w:rsidRDefault="00EB6564">
            <w:pPr>
              <w:pStyle w:val="05BODYTEXT"/>
              <w:ind w:left="170" w:hanging="170"/>
            </w:pPr>
            <w:r>
              <w:t>•</w:t>
            </w:r>
            <w:r>
              <w:tab/>
              <w:t>The Queensland State Government and Queensland industry provided submissions to the NPI review.</w:t>
            </w:r>
          </w:p>
          <w:p w14:paraId="01424535" w14:textId="77777777" w:rsidR="00EB6564" w:rsidRDefault="00EB6564">
            <w:pPr>
              <w:pStyle w:val="05BODYTEXT"/>
              <w:ind w:left="170" w:hanging="170"/>
            </w:pPr>
            <w:r>
              <w:t>•</w:t>
            </w:r>
            <w:r>
              <w:tab/>
              <w:t>26 news articles were circulated in the 2018-19 year compared to 24 in the 2017-18 year.</w:t>
            </w:r>
          </w:p>
          <w:p w14:paraId="6665BCB2" w14:textId="77777777" w:rsidR="00EB6564" w:rsidRDefault="00EB6564">
            <w:pPr>
              <w:pStyle w:val="05BODYTEXT"/>
              <w:ind w:left="170" w:hanging="170"/>
            </w:pPr>
            <w:r>
              <w:t>•</w:t>
            </w:r>
            <w:r>
              <w:tab/>
              <w:t>Community members made submissions to the 2018 NPI Review.</w:t>
            </w:r>
          </w:p>
        </w:tc>
        <w:tc>
          <w:tcPr>
            <w:tcW w:w="285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6804EC94" w14:textId="0652C8D3" w:rsidR="00EB6564" w:rsidRDefault="00EB6564">
            <w:pPr>
              <w:pStyle w:val="05BODYTEXT"/>
              <w:ind w:left="170" w:hanging="170"/>
            </w:pPr>
            <w:r>
              <w:t>•</w:t>
            </w:r>
            <w:r>
              <w:tab/>
              <w:t xml:space="preserve">NPI emissions and transfer reports were published through the Australian Government Open Data portal </w:t>
            </w:r>
            <w:hyperlink r:id="rId68" w:history="1">
              <w:r w:rsidRPr="00806909">
                <w:rPr>
                  <w:rStyle w:val="Hyperlink"/>
                  <w:color w:val="000000" w:themeColor="text1"/>
                  <w:u w:val="single"/>
                </w:rPr>
                <w:t>www.data.gov.au</w:t>
              </w:r>
            </w:hyperlink>
            <w:r w:rsidRPr="00806909">
              <w:rPr>
                <w:color w:val="000000" w:themeColor="text1"/>
              </w:rPr>
              <w:t>.</w:t>
            </w:r>
          </w:p>
        </w:tc>
      </w:tr>
      <w:tr w:rsidR="00EB6564" w14:paraId="12DF6FF5" w14:textId="77777777" w:rsidTr="00993E8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0DB5CF54" w14:textId="77777777" w:rsidR="00EB6564" w:rsidRDefault="00EB6564">
            <w:pPr>
              <w:pStyle w:val="06cTABLETEXT"/>
              <w:ind w:left="170" w:hanging="170"/>
            </w:pPr>
            <w:r>
              <w:rPr>
                <w:rStyle w:val="BOLD"/>
              </w:rPr>
              <w:t>Industry</w:t>
            </w:r>
          </w:p>
        </w:tc>
      </w:tr>
      <w:tr w:rsidR="00EB6564" w14:paraId="6A1B097F" w14:textId="77777777" w:rsidTr="00993E87">
        <w:trPr>
          <w:trHeight w:val="60"/>
        </w:trPr>
        <w:tc>
          <w:tcPr>
            <w:tcW w:w="188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20D6C473" w14:textId="77777777" w:rsidR="00EB6564" w:rsidRDefault="00EB6564">
            <w:pPr>
              <w:pStyle w:val="06cTABLETEXT"/>
              <w:ind w:left="170" w:hanging="170"/>
            </w:pPr>
            <w:r>
              <w:t>•</w:t>
            </w:r>
            <w:r>
              <w:tab/>
              <w:t>866 reports for 2017–18 (note 900 received 34 not published due to no emission or transfer data reported)</w:t>
            </w:r>
          </w:p>
          <w:p w14:paraId="6A3B3D53" w14:textId="77777777" w:rsidR="00EB6564" w:rsidRDefault="00EB6564">
            <w:pPr>
              <w:pStyle w:val="06cTABLETEXT"/>
              <w:ind w:left="170" w:hanging="170"/>
            </w:pPr>
            <w:r>
              <w:t>•</w:t>
            </w:r>
            <w:r>
              <w:tab/>
              <w:t>863 reports for 2016–17</w:t>
            </w:r>
          </w:p>
          <w:p w14:paraId="7DAC9947" w14:textId="77777777" w:rsidR="00EB6564" w:rsidRDefault="00EB6564">
            <w:pPr>
              <w:pStyle w:val="06cTABLETEXT"/>
              <w:ind w:left="170" w:hanging="170"/>
            </w:pPr>
            <w:r>
              <w:t>•</w:t>
            </w:r>
            <w:r>
              <w:tab/>
              <w:t>24 new reporters</w:t>
            </w:r>
          </w:p>
          <w:p w14:paraId="618129DC" w14:textId="77777777" w:rsidR="00EB6564" w:rsidRDefault="00EB6564">
            <w:pPr>
              <w:pStyle w:val="06cTABLETEXT"/>
              <w:ind w:left="170" w:hanging="170"/>
            </w:pPr>
            <w:r>
              <w:t>•</w:t>
            </w:r>
            <w:r>
              <w:tab/>
              <w:t>0 new sectors reporting</w:t>
            </w:r>
          </w:p>
          <w:p w14:paraId="332FBA82" w14:textId="77777777" w:rsidR="00EB6564" w:rsidRDefault="00EB6564">
            <w:pPr>
              <w:pStyle w:val="06cTABLETEXT"/>
              <w:ind w:left="170" w:hanging="170"/>
            </w:pPr>
            <w:r>
              <w:t>•</w:t>
            </w:r>
            <w:r>
              <w:tab/>
              <w:t>0 confidentiality claims submitted</w:t>
            </w:r>
          </w:p>
        </w:tc>
        <w:tc>
          <w:tcPr>
            <w:tcW w:w="267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4912E20C" w14:textId="77777777" w:rsidR="00EB6564" w:rsidRDefault="00EB6564">
            <w:pPr>
              <w:pStyle w:val="06cTABLETEXT"/>
              <w:ind w:left="170" w:hanging="170"/>
            </w:pPr>
            <w:r>
              <w:t>•</w:t>
            </w:r>
            <w:r>
              <w:tab/>
              <w:t>The NPI Online reporting system continues to be the preferred method for industry to submit their pollutant emissions and transfer data.</w:t>
            </w:r>
          </w:p>
        </w:tc>
        <w:tc>
          <w:tcPr>
            <w:tcW w:w="285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7476B182" w14:textId="77777777" w:rsidR="00EB6564" w:rsidRDefault="00EB6564">
            <w:pPr>
              <w:pStyle w:val="06cTABLETEXT"/>
              <w:ind w:left="170" w:hanging="170"/>
            </w:pPr>
            <w:r>
              <w:t>•</w:t>
            </w:r>
            <w:r>
              <w:tab/>
              <w:t>70% of facility reports were subject to desktop evaluation.</w:t>
            </w:r>
          </w:p>
          <w:p w14:paraId="0884CF8D" w14:textId="77777777" w:rsidR="00EB6564" w:rsidRDefault="00EB6564">
            <w:pPr>
              <w:pStyle w:val="06cTABLETEXT"/>
              <w:ind w:left="170" w:hanging="170"/>
            </w:pPr>
            <w:r>
              <w:t>•</w:t>
            </w:r>
            <w:r>
              <w:tab/>
              <w:t xml:space="preserve">1 in-depth on-site NPI audit was conducted during the reporting period for machinery manufacturing. </w:t>
            </w:r>
          </w:p>
        </w:tc>
      </w:tr>
      <w:tr w:rsidR="00EB6564" w14:paraId="2DE3ACCB" w14:textId="77777777" w:rsidTr="00993E8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2A482C99" w14:textId="77777777" w:rsidR="00EB6564" w:rsidRDefault="00EB6564">
            <w:pPr>
              <w:pStyle w:val="06cTABLETEXT"/>
              <w:ind w:left="170" w:hanging="170"/>
            </w:pPr>
            <w:r>
              <w:rPr>
                <w:rStyle w:val="BOLD"/>
              </w:rPr>
              <w:t>Government</w:t>
            </w:r>
          </w:p>
        </w:tc>
      </w:tr>
      <w:tr w:rsidR="00EB6564" w14:paraId="5C6F8A90" w14:textId="77777777" w:rsidTr="00993E87">
        <w:trPr>
          <w:trHeight w:val="60"/>
        </w:trPr>
        <w:tc>
          <w:tcPr>
            <w:tcW w:w="188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1268BEF7" w14:textId="77777777" w:rsidR="00EB6564" w:rsidRDefault="00EB6564">
            <w:pPr>
              <w:pStyle w:val="06cTABLETEXT"/>
              <w:ind w:left="170" w:hanging="170"/>
            </w:pPr>
            <w:r>
              <w:t>•</w:t>
            </w:r>
            <w:r>
              <w:tab/>
              <w:t>638 desktop audits</w:t>
            </w:r>
          </w:p>
          <w:p w14:paraId="5772CDB0" w14:textId="77777777" w:rsidR="00EB6564" w:rsidRDefault="00EB6564">
            <w:pPr>
              <w:pStyle w:val="06cTABLETEXT"/>
              <w:ind w:left="170" w:hanging="170"/>
            </w:pPr>
            <w:r>
              <w:t>•</w:t>
            </w:r>
            <w:r>
              <w:tab/>
              <w:t>1 on-site audits</w:t>
            </w:r>
          </w:p>
          <w:p w14:paraId="6A49CF79" w14:textId="77777777" w:rsidR="00EB6564" w:rsidRDefault="00EB6564">
            <w:pPr>
              <w:pStyle w:val="06cTABLETEXT"/>
              <w:ind w:left="170" w:hanging="170"/>
            </w:pPr>
            <w:r>
              <w:lastRenderedPageBreak/>
              <w:t>•</w:t>
            </w:r>
            <w:r>
              <w:tab/>
              <w:t>0 regulatory actions</w:t>
            </w:r>
          </w:p>
        </w:tc>
        <w:tc>
          <w:tcPr>
            <w:tcW w:w="2679"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2CA93C6F" w14:textId="77777777" w:rsidR="00EB6564" w:rsidRDefault="00EB6564">
            <w:pPr>
              <w:pStyle w:val="06cTABLETEXT"/>
              <w:ind w:left="170" w:hanging="170"/>
            </w:pPr>
            <w:r>
              <w:lastRenderedPageBreak/>
              <w:t>•</w:t>
            </w:r>
            <w:r>
              <w:tab/>
              <w:t xml:space="preserve">The Queensland Department of Environment and Science (DES) utilised the industry pollutant emissions data to contribute to the </w:t>
            </w:r>
            <w:r>
              <w:lastRenderedPageBreak/>
              <w:t>development of emissions inventories and specific externally funded projects</w:t>
            </w:r>
          </w:p>
        </w:tc>
        <w:tc>
          <w:tcPr>
            <w:tcW w:w="285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7380423E" w14:textId="77777777" w:rsidR="00EB6564" w:rsidRDefault="00EB6564">
            <w:pPr>
              <w:pStyle w:val="06cTABLETEXT"/>
              <w:ind w:left="170" w:hanging="170"/>
            </w:pPr>
            <w:r>
              <w:lastRenderedPageBreak/>
              <w:t>•</w:t>
            </w:r>
            <w:r>
              <w:tab/>
              <w:t xml:space="preserve">A Queensland wide survey of Department of Environment staff was conducted to ascertain NPI awareness </w:t>
            </w:r>
            <w:r>
              <w:lastRenderedPageBreak/>
              <w:t>levels, use of data and identify ways to improve NPI for end users of the data.</w:t>
            </w:r>
          </w:p>
          <w:p w14:paraId="1A7A2F26" w14:textId="77777777" w:rsidR="00EB6564" w:rsidRDefault="00EB6564">
            <w:pPr>
              <w:pStyle w:val="06cTABLETEXT"/>
              <w:ind w:left="170" w:hanging="170"/>
            </w:pPr>
            <w:r>
              <w:t>•</w:t>
            </w:r>
            <w:r>
              <w:tab/>
              <w:t>As a result of the survey the NPI team is in the process of identifying which environmental authorities have/have not been captured by NPI reporting in order to identify potential non-reporters.</w:t>
            </w:r>
          </w:p>
        </w:tc>
      </w:tr>
    </w:tbl>
    <w:p w14:paraId="6267467B" w14:textId="77777777" w:rsidR="00EB6564" w:rsidRPr="009408AB" w:rsidRDefault="00EB6564" w:rsidP="00CB0DA6">
      <w:pPr>
        <w:pStyle w:val="Heading2"/>
      </w:pPr>
      <w:bookmarkStart w:id="69" w:name="_Toc58254423"/>
      <w:r w:rsidRPr="009408AB">
        <w:lastRenderedPageBreak/>
        <w:t>Western Australia</w:t>
      </w:r>
      <w:bookmarkEnd w:id="69"/>
      <w:r w:rsidRPr="009408AB">
        <w:t xml:space="preserve"> </w:t>
      </w:r>
    </w:p>
    <w:p w14:paraId="2F07BF84" w14:textId="77777777" w:rsidR="00EB6564" w:rsidRDefault="00EB6564" w:rsidP="00EB6564">
      <w:pPr>
        <w:pStyle w:val="05BODYTEXT"/>
        <w:rPr>
          <w:rStyle w:val="ITALIC"/>
          <w:caps/>
          <w:sz w:val="20"/>
          <w:szCs w:val="20"/>
        </w:rPr>
      </w:pPr>
      <w:r>
        <w:rPr>
          <w:rStyle w:val="ITALIC"/>
        </w:rPr>
        <w:t xml:space="preserve">Report to the NEPC on the implementation of the National Environment Protection (National Pollutant Inventory) Measure for Western Australia by the Hon Stephen Dawson MLC, Minister for Environment; Disability Services; Electoral Affairs for the reporting year ended 30 June 2019. </w:t>
      </w:r>
    </w:p>
    <w:p w14:paraId="574AF4D5" w14:textId="77777777" w:rsidR="00EB6564" w:rsidRDefault="00EB6564" w:rsidP="00EB6564">
      <w:pPr>
        <w:pStyle w:val="02HEADING2"/>
      </w:pPr>
      <w:r>
        <w:t>Part 1—Implementation of the NEPM and any significant issues</w:t>
      </w:r>
    </w:p>
    <w:p w14:paraId="719F6CF6" w14:textId="77777777" w:rsidR="00EB6564" w:rsidRDefault="00EB6564" w:rsidP="00EB6564">
      <w:pPr>
        <w:pStyle w:val="05BODYTEXT"/>
      </w:pPr>
      <w:r>
        <w:t>In Western Australia, the Department of Water and Environmental Regulation (DWER) is responsible for implementing the National Environment Protection (National Pollutant Inventory) Measure under the</w:t>
      </w:r>
      <w:r>
        <w:rPr>
          <w:rStyle w:val="ITALIC"/>
        </w:rPr>
        <w:t xml:space="preserve"> National Environment Protection Council (WA) Act 199</w:t>
      </w:r>
      <w:r>
        <w:t>6, the</w:t>
      </w:r>
      <w:r>
        <w:rPr>
          <w:rStyle w:val="ITALIC"/>
        </w:rPr>
        <w:t xml:space="preserve"> Environmental Protection Act 1986 </w:t>
      </w:r>
      <w:r>
        <w:t xml:space="preserve">and the </w:t>
      </w:r>
      <w:r>
        <w:rPr>
          <w:rStyle w:val="ITALIC"/>
        </w:rPr>
        <w:t>Environmental Protection Regulations 1987</w:t>
      </w:r>
      <w:r>
        <w:t xml:space="preserve">. The implementation of the NEPM continues to be successful in Western Australia. </w:t>
      </w:r>
    </w:p>
    <w:p w14:paraId="0C24148E" w14:textId="77777777" w:rsidR="00EB6564" w:rsidRDefault="00EB6564" w:rsidP="00EB6564">
      <w:pPr>
        <w:pStyle w:val="05BODYTEXT"/>
      </w:pPr>
      <w:r>
        <w:t>DWER has identified opportunities for enhanced administration of the National Pollutant Inventory NEPM through the collection and reporting of aggregated emissions data. Work on the Perth Air Emissions Study 2016 was undertaken during the period to update the 2011-2012 aggregated emissions data for the greater Perth metropolitan region.</w:t>
      </w:r>
    </w:p>
    <w:p w14:paraId="5F353060" w14:textId="77777777" w:rsidR="00EB6564" w:rsidRDefault="00EB6564" w:rsidP="00EB6564">
      <w:pPr>
        <w:pStyle w:val="02HEADING2"/>
      </w:pPr>
      <w:r>
        <w:t>Part 2—Assessment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1597"/>
        <w:gridCol w:w="2877"/>
        <w:gridCol w:w="2943"/>
      </w:tblGrid>
      <w:tr w:rsidR="00EB6564" w14:paraId="1E075671" w14:textId="77777777" w:rsidTr="00993E87">
        <w:trPr>
          <w:trHeight w:val="60"/>
          <w:tblHeader/>
        </w:trPr>
        <w:tc>
          <w:tcPr>
            <w:tcW w:w="1597"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168DB3D6" w14:textId="77777777" w:rsidR="00EB6564" w:rsidRDefault="00EB6564">
            <w:pPr>
              <w:pStyle w:val="06bTABLEHEADERROW"/>
            </w:pPr>
            <w:r>
              <w:t>Participation levels</w:t>
            </w:r>
          </w:p>
        </w:tc>
        <w:tc>
          <w:tcPr>
            <w:tcW w:w="2877"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538CDDE" w14:textId="77777777" w:rsidR="00EB6564" w:rsidRDefault="00EB6564">
            <w:pPr>
              <w:pStyle w:val="06bTABLEHEADERROW"/>
            </w:pPr>
            <w:r>
              <w:t>Feedback from the community, industry and government</w:t>
            </w:r>
          </w:p>
        </w:tc>
        <w:tc>
          <w:tcPr>
            <w:tcW w:w="294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F3E8F2B" w14:textId="77777777" w:rsidR="00EB6564" w:rsidRDefault="00EB6564">
            <w:pPr>
              <w:pStyle w:val="06bTABLEHEADERROW"/>
            </w:pPr>
            <w:r>
              <w:t>Implementation activity effectiveness</w:t>
            </w:r>
          </w:p>
        </w:tc>
      </w:tr>
      <w:tr w:rsidR="00EB6564" w14:paraId="02B2F269" w14:textId="77777777" w:rsidTr="00993E8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1A8BDD3B" w14:textId="77777777" w:rsidR="00EB6564" w:rsidRDefault="00EB6564">
            <w:pPr>
              <w:pStyle w:val="06cTABLETEXT"/>
            </w:pPr>
            <w:r>
              <w:rPr>
                <w:rStyle w:val="BOLD"/>
              </w:rPr>
              <w:t>Public</w:t>
            </w:r>
          </w:p>
        </w:tc>
      </w:tr>
      <w:tr w:rsidR="00EB6564" w14:paraId="3AF25AE2" w14:textId="77777777" w:rsidTr="00993E87">
        <w:trPr>
          <w:trHeight w:val="60"/>
        </w:trPr>
        <w:tc>
          <w:tcPr>
            <w:tcW w:w="159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260A4EAF" w14:textId="77777777" w:rsidR="00EB6564" w:rsidRDefault="00EB6564">
            <w:pPr>
              <w:pStyle w:val="06cTABLETEXT"/>
              <w:ind w:left="170" w:hanging="170"/>
            </w:pPr>
            <w:r>
              <w:t>•</w:t>
            </w:r>
            <w:r>
              <w:tab/>
              <w:t>The number of community visits to the National Pollutant Inventory website was recorded by the Commonwealth.</w:t>
            </w:r>
          </w:p>
        </w:tc>
        <w:tc>
          <w:tcPr>
            <w:tcW w:w="287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74794D51" w14:textId="77777777" w:rsidR="00EB6564" w:rsidRDefault="00EB6564">
            <w:pPr>
              <w:pStyle w:val="06cTABLETEXT"/>
              <w:ind w:left="170" w:hanging="170"/>
            </w:pPr>
            <w:r>
              <w:t>•</w:t>
            </w:r>
            <w:r>
              <w:tab/>
              <w:t>Environment groups and the media utilise National Pollutant Inventory NEPM data where environmental issues of concern are identified.</w:t>
            </w:r>
          </w:p>
        </w:tc>
        <w:tc>
          <w:tcPr>
            <w:tcW w:w="294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6C9800AD" w14:textId="77777777" w:rsidR="00EB6564" w:rsidRDefault="00EB6564">
            <w:pPr>
              <w:pStyle w:val="06cTABLETEXT"/>
              <w:ind w:left="170" w:hanging="170"/>
            </w:pPr>
            <w:r>
              <w:t>•</w:t>
            </w:r>
            <w:r>
              <w:tab/>
              <w:t>1 query received from public related to NPI implementation in WA.</w:t>
            </w:r>
          </w:p>
          <w:p w14:paraId="1E5EEE8D" w14:textId="77777777" w:rsidR="00EB6564" w:rsidRDefault="00EB6564">
            <w:pPr>
              <w:pStyle w:val="06cTABLETEXT"/>
              <w:ind w:left="170" w:hanging="170"/>
            </w:pPr>
          </w:p>
        </w:tc>
      </w:tr>
      <w:tr w:rsidR="00EB6564" w14:paraId="452DB2CD" w14:textId="77777777" w:rsidTr="00993E8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7E956AC3" w14:textId="77777777" w:rsidR="00EB6564" w:rsidRDefault="00EB6564">
            <w:pPr>
              <w:pStyle w:val="06cTABLETEXT"/>
              <w:ind w:left="170" w:hanging="170"/>
            </w:pPr>
            <w:r>
              <w:rPr>
                <w:rStyle w:val="BOLD"/>
              </w:rPr>
              <w:t>Industry</w:t>
            </w:r>
          </w:p>
        </w:tc>
      </w:tr>
      <w:tr w:rsidR="00EB6564" w14:paraId="5C53653E" w14:textId="77777777" w:rsidTr="00993E87">
        <w:trPr>
          <w:trHeight w:val="60"/>
        </w:trPr>
        <w:tc>
          <w:tcPr>
            <w:tcW w:w="159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053134F9" w14:textId="77777777" w:rsidR="00EB6564" w:rsidRDefault="00EB6564">
            <w:pPr>
              <w:pStyle w:val="06cTABLETEXT"/>
              <w:ind w:left="170" w:hanging="170"/>
            </w:pPr>
            <w:r>
              <w:t>•</w:t>
            </w:r>
            <w:r>
              <w:tab/>
              <w:t>833 reports for 2017–18</w:t>
            </w:r>
          </w:p>
          <w:p w14:paraId="4BC9E768" w14:textId="317973EB" w:rsidR="00EB6564" w:rsidRDefault="00EB6564">
            <w:pPr>
              <w:pStyle w:val="06cTABLETEXT"/>
              <w:ind w:left="170" w:hanging="170"/>
            </w:pPr>
            <w:r>
              <w:t>•</w:t>
            </w:r>
            <w:r>
              <w:tab/>
              <w:t>813 reports for 2016–17</w:t>
            </w:r>
          </w:p>
          <w:p w14:paraId="1BBF6E67" w14:textId="77777777" w:rsidR="00EB6564" w:rsidRDefault="00EB6564">
            <w:pPr>
              <w:pStyle w:val="06cTABLETEXT"/>
              <w:ind w:left="170" w:hanging="170"/>
            </w:pPr>
            <w:r>
              <w:t>•</w:t>
            </w:r>
            <w:r>
              <w:tab/>
              <w:t>24 new reporters</w:t>
            </w:r>
          </w:p>
          <w:p w14:paraId="19FB354B" w14:textId="77777777" w:rsidR="00EB6564" w:rsidRDefault="00EB6564">
            <w:pPr>
              <w:pStyle w:val="06cTABLETEXT"/>
              <w:ind w:left="170" w:hanging="170"/>
            </w:pPr>
            <w:r>
              <w:t>•</w:t>
            </w:r>
            <w:r>
              <w:tab/>
              <w:t>1 new sector reporting (wood chipping)</w:t>
            </w:r>
          </w:p>
          <w:p w14:paraId="553849D9" w14:textId="77777777" w:rsidR="00EB6564" w:rsidRDefault="00EB6564">
            <w:pPr>
              <w:pStyle w:val="06cTABLETEXT"/>
              <w:ind w:left="170" w:hanging="170"/>
            </w:pPr>
            <w:r>
              <w:t>•</w:t>
            </w:r>
            <w:r>
              <w:tab/>
              <w:t>no confidentiality claims submitted</w:t>
            </w:r>
          </w:p>
        </w:tc>
        <w:tc>
          <w:tcPr>
            <w:tcW w:w="287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6B75EE3C" w14:textId="77777777" w:rsidR="00EB6564" w:rsidRDefault="00EB6564">
            <w:pPr>
              <w:pStyle w:val="06cTABLETEXT"/>
              <w:ind w:left="170" w:hanging="170"/>
            </w:pPr>
            <w:r>
              <w:t>•</w:t>
            </w:r>
            <w:r>
              <w:tab/>
              <w:t>Widespread compliance with the online reporting system with 98 per cent uptake in WA for 2017-18.</w:t>
            </w:r>
          </w:p>
          <w:p w14:paraId="26415CEC" w14:textId="77777777" w:rsidR="00EB6564" w:rsidRDefault="00EB6564">
            <w:pPr>
              <w:pStyle w:val="06cTABLETEXT"/>
              <w:ind w:left="170" w:hanging="170"/>
            </w:pPr>
            <w:r>
              <w:t>•</w:t>
            </w:r>
            <w:r>
              <w:tab/>
              <w:t>Some smaller facilities, mostly wineries and landfills, require above-average reporting guidance. Staff turnover and technical competency are the main drivers.</w:t>
            </w:r>
          </w:p>
          <w:p w14:paraId="34969D95" w14:textId="77777777" w:rsidR="00EB6564" w:rsidRDefault="00EB6564">
            <w:pPr>
              <w:pStyle w:val="06cTABLETEXT"/>
              <w:ind w:left="170" w:hanging="170"/>
            </w:pPr>
            <w:r>
              <w:t>•</w:t>
            </w:r>
            <w:r>
              <w:tab/>
              <w:t>Major industrial facilities maintain awareness of community interest in their emissions, and ensure reports accurately reflect site emissions.</w:t>
            </w:r>
          </w:p>
          <w:p w14:paraId="11281A6C" w14:textId="77777777" w:rsidR="00EB6564" w:rsidRDefault="00EB6564">
            <w:pPr>
              <w:pStyle w:val="06cTABLETEXT"/>
              <w:ind w:left="170" w:hanging="170"/>
            </w:pPr>
            <w:r>
              <w:t>•</w:t>
            </w:r>
            <w:r>
              <w:tab/>
              <w:t>Support provided by the Department of Water and Environmental Regulation staff is acknowledged by reporters.</w:t>
            </w:r>
          </w:p>
        </w:tc>
        <w:tc>
          <w:tcPr>
            <w:tcW w:w="294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4A8A6B0A" w14:textId="77777777" w:rsidR="00EB6564" w:rsidRDefault="00EB6564">
            <w:pPr>
              <w:pStyle w:val="06cTABLETEXT"/>
              <w:ind w:left="170" w:hanging="170"/>
            </w:pPr>
            <w:r>
              <w:t>•</w:t>
            </w:r>
            <w:r>
              <w:tab/>
              <w:t>Training sessions provided to industry reporters included information sessions, a webinar and online reporting training.</w:t>
            </w:r>
          </w:p>
          <w:p w14:paraId="3B393540" w14:textId="77777777" w:rsidR="00EB6564" w:rsidRDefault="00EB6564">
            <w:pPr>
              <w:pStyle w:val="06cTABLETEXT"/>
              <w:ind w:left="170" w:hanging="170"/>
            </w:pPr>
            <w:r>
              <w:t>•</w:t>
            </w:r>
            <w:r>
              <w:tab/>
              <w:t>Reporters from other jurisdictions were invited and attended the webinar.</w:t>
            </w:r>
          </w:p>
          <w:p w14:paraId="1CBCB131" w14:textId="77777777" w:rsidR="00EB6564" w:rsidRDefault="00EB6564">
            <w:pPr>
              <w:pStyle w:val="06cTABLETEXT"/>
              <w:ind w:left="170" w:hanging="170"/>
            </w:pPr>
            <w:r>
              <w:t>•</w:t>
            </w:r>
            <w:r>
              <w:tab/>
              <w:t>Continued to follow-up potential reporters in several industry sectors.</w:t>
            </w:r>
          </w:p>
          <w:p w14:paraId="0DE66F95" w14:textId="77777777" w:rsidR="00EB6564" w:rsidRDefault="00EB6564">
            <w:pPr>
              <w:pStyle w:val="06cTABLETEXT"/>
              <w:ind w:left="170" w:hanging="170"/>
            </w:pPr>
            <w:r>
              <w:t>•</w:t>
            </w:r>
            <w:r>
              <w:tab/>
              <w:t>Reporters regularly reminded of reporting deadlines and supplied additional reporting information to that available on website.</w:t>
            </w:r>
          </w:p>
        </w:tc>
      </w:tr>
      <w:tr w:rsidR="00EB6564" w14:paraId="28DEDC0D" w14:textId="77777777" w:rsidTr="00993E8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065FEB9F" w14:textId="77777777" w:rsidR="00EB6564" w:rsidRDefault="00EB6564">
            <w:pPr>
              <w:pStyle w:val="06cTABLETEXT"/>
              <w:ind w:left="170" w:hanging="170"/>
            </w:pPr>
            <w:r>
              <w:rPr>
                <w:rStyle w:val="BOLD"/>
              </w:rPr>
              <w:lastRenderedPageBreak/>
              <w:t>Government</w:t>
            </w:r>
          </w:p>
        </w:tc>
      </w:tr>
      <w:tr w:rsidR="00EB6564" w14:paraId="3157F449" w14:textId="77777777" w:rsidTr="00993E87">
        <w:trPr>
          <w:trHeight w:val="60"/>
        </w:trPr>
        <w:tc>
          <w:tcPr>
            <w:tcW w:w="159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08AC956D" w14:textId="77777777" w:rsidR="00EB6564" w:rsidRDefault="00EB6564">
            <w:pPr>
              <w:pStyle w:val="06cTABLETEXT"/>
              <w:ind w:left="170" w:hanging="170"/>
            </w:pPr>
            <w:r>
              <w:t>•</w:t>
            </w:r>
            <w:r>
              <w:tab/>
              <w:t>833 desktop audits</w:t>
            </w:r>
          </w:p>
          <w:p w14:paraId="5FED1AA3" w14:textId="77777777" w:rsidR="00EB6564" w:rsidRDefault="00EB6564">
            <w:pPr>
              <w:pStyle w:val="06cTABLETEXT"/>
              <w:ind w:left="170" w:hanging="170"/>
            </w:pPr>
            <w:r>
              <w:t>•</w:t>
            </w:r>
            <w:r>
              <w:tab/>
              <w:t>10 on-site audits</w:t>
            </w:r>
          </w:p>
          <w:p w14:paraId="2623C738" w14:textId="77777777" w:rsidR="00EB6564" w:rsidRDefault="00EB6564">
            <w:pPr>
              <w:pStyle w:val="06cTABLETEXT"/>
              <w:ind w:left="170" w:hanging="170"/>
            </w:pPr>
            <w:r>
              <w:t>•</w:t>
            </w:r>
            <w:r>
              <w:tab/>
              <w:t>no regulatory actions</w:t>
            </w:r>
          </w:p>
        </w:tc>
        <w:tc>
          <w:tcPr>
            <w:tcW w:w="287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459E6751" w14:textId="77777777" w:rsidR="00EB6564" w:rsidRDefault="00EB6564">
            <w:pPr>
              <w:pStyle w:val="06cTABLETEXT"/>
              <w:ind w:left="170" w:hanging="170"/>
            </w:pPr>
            <w:r>
              <w:t>•</w:t>
            </w:r>
            <w:r>
              <w:tab/>
              <w:t>The Department of Water and Environmental Regulation uses National Pollutant Inventory NEPM data to inform policy development, program implementation and to support regulatory activity.</w:t>
            </w:r>
          </w:p>
          <w:p w14:paraId="68EE5C33" w14:textId="77777777" w:rsidR="00EB6564" w:rsidRDefault="00EB6564">
            <w:pPr>
              <w:pStyle w:val="06cTABLETEXT"/>
              <w:ind w:left="170" w:hanging="170"/>
            </w:pPr>
            <w:r>
              <w:t>•</w:t>
            </w:r>
            <w:r>
              <w:tab/>
              <w:t>The Department of Water and Environmental Regulation uses National Pollutant Inventory NEPM data for the development of an emissions inventory for the greater Perth metropolitan region.</w:t>
            </w:r>
          </w:p>
          <w:p w14:paraId="1B53FF33" w14:textId="77777777" w:rsidR="00EB6564" w:rsidRDefault="00EB6564">
            <w:pPr>
              <w:pStyle w:val="06cTABLETEXT"/>
              <w:ind w:left="170" w:hanging="170"/>
            </w:pPr>
            <w:r>
              <w:t>•</w:t>
            </w:r>
            <w:r>
              <w:tab/>
              <w:t>National Pollutant Inventory NEPM data is used to identify and rank WA’s major emitters with comparisons made with national data.</w:t>
            </w:r>
          </w:p>
        </w:tc>
        <w:tc>
          <w:tcPr>
            <w:tcW w:w="294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007205DF" w14:textId="77777777" w:rsidR="00EB6564" w:rsidRDefault="00EB6564">
            <w:pPr>
              <w:pStyle w:val="06cTABLETEXT"/>
              <w:ind w:left="170" w:hanging="170"/>
            </w:pPr>
            <w:r>
              <w:t>•</w:t>
            </w:r>
            <w:r>
              <w:tab/>
              <w:t>The Department of Water and Environmental Regulation uses toxic equivalency potentials to support the assessment of risk.</w:t>
            </w:r>
          </w:p>
        </w:tc>
      </w:tr>
    </w:tbl>
    <w:p w14:paraId="164357CF" w14:textId="77777777" w:rsidR="00EB6564" w:rsidRDefault="00EB6564" w:rsidP="00EB6564">
      <w:pPr>
        <w:pStyle w:val="05BODYTEXT"/>
      </w:pPr>
    </w:p>
    <w:p w14:paraId="78087494" w14:textId="77777777" w:rsidR="00EB6564" w:rsidRPr="009408AB" w:rsidRDefault="00EB6564" w:rsidP="00CB0DA6">
      <w:pPr>
        <w:pStyle w:val="Heading2"/>
      </w:pPr>
      <w:bookmarkStart w:id="70" w:name="_Toc58254424"/>
      <w:r w:rsidRPr="009408AB">
        <w:t>South Australia</w:t>
      </w:r>
      <w:bookmarkEnd w:id="70"/>
    </w:p>
    <w:p w14:paraId="776D48DC" w14:textId="77777777" w:rsidR="00EB6564" w:rsidRDefault="00EB6564" w:rsidP="00EB6564">
      <w:pPr>
        <w:pStyle w:val="05BODYTEXT"/>
        <w:rPr>
          <w:rStyle w:val="ITALIC"/>
        </w:rPr>
      </w:pPr>
      <w:r>
        <w:rPr>
          <w:rStyle w:val="ITALIC"/>
        </w:rPr>
        <w:t>Report to the NEPC on the implementation of the National Environment Protection (National Pollutant Inventory) Measure for South Australia by Hon. David Speirs, Minister for Environment and Water, for the reporting year ended 30 June 2019.</w:t>
      </w:r>
    </w:p>
    <w:p w14:paraId="36912884" w14:textId="77777777" w:rsidR="00EB6564" w:rsidRDefault="00EB6564" w:rsidP="00EB6564">
      <w:pPr>
        <w:pStyle w:val="02HEADING2"/>
      </w:pPr>
      <w:r>
        <w:t>Part 1—Implementation of the NEPM and any significant issues</w:t>
      </w:r>
    </w:p>
    <w:p w14:paraId="79CC2EE2" w14:textId="77777777" w:rsidR="00EB6564" w:rsidRDefault="00EB6564" w:rsidP="00EB6564">
      <w:pPr>
        <w:pStyle w:val="05bDOTPOINTS"/>
      </w:pPr>
      <w:r>
        <w:t>•</w:t>
      </w:r>
      <w:r>
        <w:tab/>
        <w:t>In South Australia the Environment Protection Authority (SA EPA) implements the National Environment Protection (National Pollutant Inventory) Measure through the Environment Protection (National Pollutant Inventory) Policy 2008.</w:t>
      </w:r>
    </w:p>
    <w:p w14:paraId="292F99A0" w14:textId="77777777" w:rsidR="00EB6564" w:rsidRDefault="00EB6564" w:rsidP="00EB6564">
      <w:pPr>
        <w:pStyle w:val="05bDOTPOINTS"/>
      </w:pPr>
      <w:r>
        <w:t>•</w:t>
      </w:r>
      <w:r>
        <w:tab/>
        <w:t>South Australia has been involved in the Review of the National Pollutant Inventory (NPI) through its involvement within the NPI Intergovernmental Working Group (IWG) and the Steering Committee formed to oversee the Review. This has included the development of the NPI Review Discussion Paper that was released for public consultation on 2 July 2018 and the preparation of a SA government agencies response to the Discussion Paper. More recent discussions have focussed on options for how to progress the Review in light of the statutory review of the NEPC Act occurring in 2019. The Review of the NPI is important to deliver the necessary improvements to the NPI programme to ensure its longevity and utility in the future.</w:t>
      </w:r>
    </w:p>
    <w:p w14:paraId="22255CFA" w14:textId="77777777" w:rsidR="00EB6564" w:rsidRDefault="00EB6564" w:rsidP="00EB6564">
      <w:pPr>
        <w:pStyle w:val="05bDOTPOINTS"/>
      </w:pPr>
      <w:r>
        <w:t>•</w:t>
      </w:r>
      <w:r>
        <w:tab/>
        <w:t xml:space="preserve">A detailed air emissions inventory remains a strategic priority for both the NPI programme and the SA EPA. Aggregated emissions data are required for reliable comparison with industry </w:t>
      </w:r>
      <w:proofErr w:type="gramStart"/>
      <w:r>
        <w:t>emissions,</w:t>
      </w:r>
      <w:proofErr w:type="gramEnd"/>
      <w:r>
        <w:t xml:space="preserve"> however, program resourcing levels do not currently allow for the updating of aggregate emissions data (last done in South Australia in 2003).</w:t>
      </w:r>
    </w:p>
    <w:p w14:paraId="0E6CB219" w14:textId="192FBBEE" w:rsidR="00EB6564" w:rsidRDefault="00EB6564" w:rsidP="00EB6564">
      <w:pPr>
        <w:pStyle w:val="05bDOTPOINTS"/>
      </w:pPr>
      <w:r>
        <w:t>•</w:t>
      </w:r>
      <w:r>
        <w:tab/>
        <w:t xml:space="preserve">South Australia strongly supports the provision of a national NPI dataset to </w:t>
      </w:r>
      <w:hyperlink r:id="rId69" w:history="1">
        <w:r w:rsidRPr="00DE700E">
          <w:rPr>
            <w:rStyle w:val="Hyperlink"/>
            <w:color w:val="4472C4" w:themeColor="accent1"/>
            <w:u w:val="single"/>
          </w:rPr>
          <w:t>https://data.gov.au/dataset/npi</w:t>
        </w:r>
      </w:hyperlink>
      <w:r>
        <w:t>. This is an important step in making information more accessible, easier to use for data analysis and for comparing to other datasets.</w:t>
      </w:r>
    </w:p>
    <w:p w14:paraId="7AF9234C" w14:textId="77777777" w:rsidR="00EB6564" w:rsidRDefault="00EB6564" w:rsidP="00EB6564">
      <w:pPr>
        <w:pStyle w:val="02HEADING2"/>
      </w:pPr>
      <w:r>
        <w:t>Part 2—Assessment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1767"/>
        <w:gridCol w:w="2825"/>
        <w:gridCol w:w="2825"/>
      </w:tblGrid>
      <w:tr w:rsidR="00EB6564" w14:paraId="561DDFA7" w14:textId="77777777" w:rsidTr="00993E87">
        <w:trPr>
          <w:trHeight w:val="60"/>
          <w:tblHeader/>
        </w:trPr>
        <w:tc>
          <w:tcPr>
            <w:tcW w:w="1767"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2CC1FFB" w14:textId="77777777" w:rsidR="00EB6564" w:rsidRDefault="00EB6564">
            <w:pPr>
              <w:pStyle w:val="06bTABLEHEADERROW"/>
            </w:pPr>
            <w:r>
              <w:t>Participation levels</w:t>
            </w:r>
          </w:p>
        </w:tc>
        <w:tc>
          <w:tcPr>
            <w:tcW w:w="2825"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BF3C650" w14:textId="77777777" w:rsidR="00EB6564" w:rsidRDefault="00EB6564">
            <w:pPr>
              <w:pStyle w:val="06bTABLEHEADERROW"/>
            </w:pPr>
            <w:r>
              <w:t>Feedback from the community, industry and government</w:t>
            </w:r>
          </w:p>
        </w:tc>
        <w:tc>
          <w:tcPr>
            <w:tcW w:w="2825"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20BB4A4" w14:textId="77777777" w:rsidR="00EB6564" w:rsidRDefault="00EB6564">
            <w:pPr>
              <w:pStyle w:val="06bTABLEHEADERROW"/>
            </w:pPr>
            <w:r>
              <w:t>Implementation activity effectiveness</w:t>
            </w:r>
          </w:p>
        </w:tc>
      </w:tr>
      <w:tr w:rsidR="00EB6564" w14:paraId="24F1901D" w14:textId="77777777" w:rsidTr="00993E8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5319EEF8" w14:textId="77777777" w:rsidR="00EB6564" w:rsidRDefault="00EB6564">
            <w:pPr>
              <w:pStyle w:val="05BODYTEXT"/>
            </w:pPr>
            <w:r>
              <w:rPr>
                <w:rStyle w:val="BOLD"/>
              </w:rPr>
              <w:t>Public</w:t>
            </w:r>
          </w:p>
        </w:tc>
      </w:tr>
      <w:tr w:rsidR="00EB6564" w14:paraId="17A34E4F" w14:textId="77777777" w:rsidTr="00993E87">
        <w:trPr>
          <w:trHeight w:val="60"/>
        </w:trPr>
        <w:tc>
          <w:tcPr>
            <w:tcW w:w="176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62327137" w14:textId="77777777" w:rsidR="00EB6564" w:rsidRDefault="00EB6564">
            <w:pPr>
              <w:pStyle w:val="05BODYTEXT"/>
              <w:ind w:left="170" w:hanging="170"/>
            </w:pPr>
            <w:r>
              <w:t>•</w:t>
            </w:r>
            <w:r>
              <w:tab/>
              <w:t>The number of community member visits to the NPI website was recorded by the Commonwealth.</w:t>
            </w:r>
          </w:p>
        </w:tc>
        <w:tc>
          <w:tcPr>
            <w:tcW w:w="2825"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442E2C2A" w14:textId="77777777" w:rsidR="00EB6564" w:rsidRDefault="00EB6564">
            <w:pPr>
              <w:pStyle w:val="05BODYTEXT"/>
              <w:ind w:left="170" w:hanging="170"/>
            </w:pPr>
            <w:r>
              <w:t>•</w:t>
            </w:r>
            <w:r>
              <w:tab/>
              <w:t>There are occasional enquiries about NPI data from the general public.</w:t>
            </w:r>
          </w:p>
          <w:p w14:paraId="3A61114A" w14:textId="77777777" w:rsidR="00EB6564" w:rsidRDefault="00EB6564">
            <w:pPr>
              <w:pStyle w:val="05BODYTEXT"/>
              <w:ind w:left="170" w:hanging="170"/>
            </w:pPr>
            <w:r>
              <w:t>•</w:t>
            </w:r>
            <w:r>
              <w:tab/>
              <w:t>The media use NPI data.</w:t>
            </w:r>
          </w:p>
        </w:tc>
        <w:tc>
          <w:tcPr>
            <w:tcW w:w="2825"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38E1090B" w14:textId="77777777" w:rsidR="00EB6564" w:rsidRDefault="00EB6564">
            <w:pPr>
              <w:pStyle w:val="05BODYTEXT"/>
              <w:ind w:left="170" w:hanging="170"/>
            </w:pPr>
            <w:r>
              <w:t>•</w:t>
            </w:r>
            <w:r>
              <w:tab/>
              <w:t>Prompt responses are made when NPI data is requested.</w:t>
            </w:r>
          </w:p>
          <w:p w14:paraId="2C24B793" w14:textId="77777777" w:rsidR="00EB6564" w:rsidRDefault="00EB6564">
            <w:pPr>
              <w:pStyle w:val="05BODYTEXT"/>
              <w:ind w:left="170" w:hanging="170"/>
            </w:pPr>
            <w:r>
              <w:t>•</w:t>
            </w:r>
            <w:r>
              <w:tab/>
              <w:t xml:space="preserve">Participated in the </w:t>
            </w:r>
            <w:proofErr w:type="spellStart"/>
            <w:r>
              <w:t>GovHack</w:t>
            </w:r>
            <w:proofErr w:type="spellEnd"/>
            <w:r>
              <w:t xml:space="preserve"> 2018 open data competition as a data mentor.</w:t>
            </w:r>
          </w:p>
        </w:tc>
      </w:tr>
      <w:tr w:rsidR="00EB6564" w14:paraId="694ACFE3" w14:textId="77777777" w:rsidTr="00993E8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6EFFE03F" w14:textId="77777777" w:rsidR="00EB6564" w:rsidRDefault="00EB6564">
            <w:pPr>
              <w:pStyle w:val="06cTABLETEXT"/>
              <w:ind w:left="170" w:hanging="170"/>
            </w:pPr>
            <w:r>
              <w:rPr>
                <w:rStyle w:val="BOLD"/>
              </w:rPr>
              <w:lastRenderedPageBreak/>
              <w:t>Industry</w:t>
            </w:r>
          </w:p>
        </w:tc>
      </w:tr>
      <w:tr w:rsidR="00EB6564" w14:paraId="276C58CF" w14:textId="77777777" w:rsidTr="00993E87">
        <w:trPr>
          <w:trHeight w:val="60"/>
        </w:trPr>
        <w:tc>
          <w:tcPr>
            <w:tcW w:w="176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7616332B" w14:textId="77777777" w:rsidR="00EB6564" w:rsidRDefault="00EB6564">
            <w:pPr>
              <w:pStyle w:val="06cTABLETEXT"/>
              <w:ind w:left="170" w:hanging="170"/>
            </w:pPr>
            <w:r>
              <w:t>•</w:t>
            </w:r>
            <w:r>
              <w:tab/>
              <w:t>482 reports for 2017–18</w:t>
            </w:r>
          </w:p>
          <w:p w14:paraId="4CB5F48D" w14:textId="77777777" w:rsidR="00EB6564" w:rsidRDefault="00EB6564">
            <w:pPr>
              <w:pStyle w:val="06cTABLETEXT"/>
              <w:ind w:left="170" w:hanging="170"/>
            </w:pPr>
            <w:r>
              <w:t>•</w:t>
            </w:r>
            <w:r>
              <w:tab/>
              <w:t>479 reports for 2016–17</w:t>
            </w:r>
          </w:p>
          <w:p w14:paraId="7B73AFD8" w14:textId="77777777" w:rsidR="00EB6564" w:rsidRDefault="00EB6564">
            <w:pPr>
              <w:pStyle w:val="06cTABLETEXT"/>
              <w:ind w:left="170" w:hanging="170"/>
            </w:pPr>
            <w:r>
              <w:t>•</w:t>
            </w:r>
            <w:r>
              <w:tab/>
              <w:t>9 new reporters</w:t>
            </w:r>
          </w:p>
          <w:p w14:paraId="202DDD85" w14:textId="77777777" w:rsidR="00EB6564" w:rsidRDefault="00EB6564">
            <w:pPr>
              <w:pStyle w:val="06cTABLETEXT"/>
              <w:ind w:left="170" w:hanging="170"/>
            </w:pPr>
            <w:r>
              <w:t>•</w:t>
            </w:r>
            <w:r>
              <w:tab/>
              <w:t>No new sectors reporting</w:t>
            </w:r>
          </w:p>
          <w:p w14:paraId="1A97E819" w14:textId="77777777" w:rsidR="00EB6564" w:rsidRDefault="00EB6564">
            <w:pPr>
              <w:pStyle w:val="06cTABLETEXT"/>
              <w:ind w:left="170" w:hanging="170"/>
            </w:pPr>
            <w:r>
              <w:t>•</w:t>
            </w:r>
            <w:r>
              <w:tab/>
              <w:t>No confidentiality claims submitted</w:t>
            </w:r>
          </w:p>
        </w:tc>
        <w:tc>
          <w:tcPr>
            <w:tcW w:w="2825"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50AFC413" w14:textId="77777777" w:rsidR="00EB6564" w:rsidRDefault="00EB6564">
            <w:pPr>
              <w:pStyle w:val="06cTABLETEXT"/>
              <w:ind w:left="170" w:hanging="170"/>
            </w:pPr>
            <w:r>
              <w:t>•</w:t>
            </w:r>
            <w:r>
              <w:tab/>
              <w:t>Online reporting training has been well received by industry.</w:t>
            </w:r>
          </w:p>
          <w:p w14:paraId="0201E133" w14:textId="77777777" w:rsidR="00EB6564" w:rsidRDefault="00EB6564">
            <w:pPr>
              <w:pStyle w:val="06cTABLETEXT"/>
              <w:ind w:left="170" w:hanging="170"/>
            </w:pPr>
            <w:r>
              <w:t>•</w:t>
            </w:r>
            <w:r>
              <w:tab/>
              <w:t xml:space="preserve">Industry has expressed concern that the NPI emission calculation tools do not work with </w:t>
            </w:r>
            <w:proofErr w:type="gramStart"/>
            <w:r>
              <w:t>64 bit</w:t>
            </w:r>
            <w:proofErr w:type="gramEnd"/>
            <w:r>
              <w:t xml:space="preserve"> version of Excel.</w:t>
            </w:r>
          </w:p>
        </w:tc>
        <w:tc>
          <w:tcPr>
            <w:tcW w:w="2825"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1D292245" w14:textId="77777777" w:rsidR="00EB6564" w:rsidRDefault="00EB6564">
            <w:pPr>
              <w:pStyle w:val="06cTABLETEXT"/>
              <w:ind w:left="170" w:hanging="170"/>
            </w:pPr>
            <w:r>
              <w:t>•</w:t>
            </w:r>
            <w:r>
              <w:tab/>
              <w:t>A newsletter was emailed to reporters, and published on the SA EPA website, to inform reporters about updates and provide general information about NPI reporting.</w:t>
            </w:r>
          </w:p>
          <w:p w14:paraId="4E146225" w14:textId="77777777" w:rsidR="00EB6564" w:rsidRDefault="00EB6564">
            <w:pPr>
              <w:pStyle w:val="06cTABLETEXT"/>
              <w:ind w:left="170" w:hanging="170"/>
            </w:pPr>
            <w:r>
              <w:t>•</w:t>
            </w:r>
            <w:r>
              <w:tab/>
              <w:t>Industry enquiries have been promptly followed up.</w:t>
            </w:r>
          </w:p>
          <w:p w14:paraId="7F06154E" w14:textId="77777777" w:rsidR="00EB6564" w:rsidRDefault="00EB6564">
            <w:pPr>
              <w:pStyle w:val="06cTABLETEXT"/>
              <w:ind w:left="170" w:hanging="170"/>
            </w:pPr>
            <w:r>
              <w:t>•</w:t>
            </w:r>
            <w:r>
              <w:tab/>
              <w:t>Training on NPI requirements, online reporting and ‘drop in’ sessions were held in Adelaide.</w:t>
            </w:r>
          </w:p>
        </w:tc>
      </w:tr>
      <w:tr w:rsidR="00EB6564" w14:paraId="12B7939F" w14:textId="77777777" w:rsidTr="00993E8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0297C044" w14:textId="77777777" w:rsidR="00EB6564" w:rsidRDefault="00EB6564">
            <w:pPr>
              <w:pStyle w:val="06cTABLETEXT"/>
              <w:ind w:left="170" w:hanging="170"/>
            </w:pPr>
            <w:r>
              <w:rPr>
                <w:rStyle w:val="BOLD"/>
              </w:rPr>
              <w:t>Government</w:t>
            </w:r>
          </w:p>
        </w:tc>
      </w:tr>
      <w:tr w:rsidR="00EB6564" w14:paraId="5DBDE373" w14:textId="77777777" w:rsidTr="00993E87">
        <w:trPr>
          <w:trHeight w:val="60"/>
        </w:trPr>
        <w:tc>
          <w:tcPr>
            <w:tcW w:w="176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27A706F8" w14:textId="77777777" w:rsidR="00EB6564" w:rsidRDefault="00EB6564">
            <w:pPr>
              <w:pStyle w:val="06cTABLETEXT"/>
              <w:ind w:left="170" w:hanging="170"/>
            </w:pPr>
            <w:r>
              <w:t>•</w:t>
            </w:r>
            <w:r>
              <w:tab/>
              <w:t>482 desktop audits</w:t>
            </w:r>
          </w:p>
          <w:p w14:paraId="4DC31828" w14:textId="77777777" w:rsidR="00EB6564" w:rsidRDefault="00EB6564">
            <w:pPr>
              <w:pStyle w:val="06cTABLETEXT"/>
              <w:ind w:left="170" w:hanging="170"/>
            </w:pPr>
            <w:r>
              <w:t>•</w:t>
            </w:r>
            <w:r>
              <w:tab/>
              <w:t>No on-site audits</w:t>
            </w:r>
          </w:p>
          <w:p w14:paraId="50829BFC" w14:textId="77777777" w:rsidR="00EB6564" w:rsidRDefault="00EB6564">
            <w:pPr>
              <w:pStyle w:val="06cTABLETEXT"/>
              <w:ind w:left="170" w:hanging="170"/>
            </w:pPr>
            <w:r>
              <w:t>•</w:t>
            </w:r>
            <w:r>
              <w:tab/>
              <w:t>No regulatory actions</w:t>
            </w:r>
          </w:p>
        </w:tc>
        <w:tc>
          <w:tcPr>
            <w:tcW w:w="2825"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3DA6EA23" w14:textId="77777777" w:rsidR="00EB6564" w:rsidRDefault="00EB6564">
            <w:pPr>
              <w:pStyle w:val="06cTABLETEXT"/>
              <w:ind w:left="170" w:hanging="170"/>
            </w:pPr>
            <w:r>
              <w:t>•</w:t>
            </w:r>
            <w:r>
              <w:tab/>
              <w:t>The SA EPA utilises NPI data to implement the Resource Efficiency Component of its load based or ‘polluter pays’ licensing system.</w:t>
            </w:r>
          </w:p>
          <w:p w14:paraId="47712784" w14:textId="77777777" w:rsidR="00EB6564" w:rsidRDefault="00EB6564">
            <w:pPr>
              <w:pStyle w:val="06cTABLETEXT"/>
              <w:ind w:left="170" w:hanging="170"/>
            </w:pPr>
            <w:r>
              <w:t>•</w:t>
            </w:r>
            <w:r>
              <w:tab/>
              <w:t>NPI data are vital for developing air quality modelling to provide comprehensive, spatially distributed diffuse and industrial point pollutant emission data across all SA airsheds.</w:t>
            </w:r>
          </w:p>
        </w:tc>
        <w:tc>
          <w:tcPr>
            <w:tcW w:w="2825"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5B05D4E2" w14:textId="77777777" w:rsidR="00EB6564" w:rsidRDefault="00EB6564">
            <w:pPr>
              <w:pStyle w:val="06cTABLETEXT"/>
              <w:ind w:left="170" w:hanging="170"/>
            </w:pPr>
            <w:r>
              <w:t>•</w:t>
            </w:r>
            <w:r>
              <w:tab/>
              <w:t>Participation in the NPI Intergovernmental Working Group remains important for the discussion of policy, strategy and technical implementation details.</w:t>
            </w:r>
          </w:p>
          <w:p w14:paraId="09C4CB74" w14:textId="77777777" w:rsidR="00EB6564" w:rsidRDefault="00EB6564">
            <w:pPr>
              <w:pStyle w:val="06cTABLETEXT"/>
              <w:ind w:left="170" w:hanging="170"/>
            </w:pPr>
            <w:r>
              <w:t>•</w:t>
            </w:r>
            <w:r>
              <w:tab/>
              <w:t>Participation in the Review of the NPI is critical to ensuring its longevity and utility in the future.</w:t>
            </w:r>
          </w:p>
        </w:tc>
      </w:tr>
    </w:tbl>
    <w:p w14:paraId="5C0108C0" w14:textId="77777777" w:rsidR="00EB6564" w:rsidRPr="009408AB" w:rsidRDefault="00EB6564" w:rsidP="00CB0DA6">
      <w:pPr>
        <w:pStyle w:val="Heading2"/>
      </w:pPr>
      <w:bookmarkStart w:id="71" w:name="_Toc58254425"/>
      <w:r w:rsidRPr="009408AB">
        <w:t>Tasmania</w:t>
      </w:r>
      <w:bookmarkEnd w:id="71"/>
      <w:r w:rsidRPr="009408AB">
        <w:t xml:space="preserve"> </w:t>
      </w:r>
    </w:p>
    <w:p w14:paraId="2EB992C1" w14:textId="77777777" w:rsidR="00EB6564" w:rsidRDefault="00EB6564" w:rsidP="00EB6564">
      <w:pPr>
        <w:pStyle w:val="05BODYTEXT"/>
        <w:rPr>
          <w:rStyle w:val="ITALIC"/>
        </w:rPr>
      </w:pPr>
      <w:r>
        <w:rPr>
          <w:rStyle w:val="ITALIC"/>
        </w:rPr>
        <w:t xml:space="preserve">Report to the NEPC on the implementation of the National Environment Protection (National Pollutant Inventory) Measure for Tasmania by the Hon. Peter </w:t>
      </w:r>
      <w:proofErr w:type="spellStart"/>
      <w:r>
        <w:rPr>
          <w:rStyle w:val="ITALIC"/>
        </w:rPr>
        <w:t>Gutwein</w:t>
      </w:r>
      <w:proofErr w:type="spellEnd"/>
      <w:r>
        <w:rPr>
          <w:rStyle w:val="ITALIC"/>
        </w:rPr>
        <w:t xml:space="preserve"> MP, Minister for the Environment for the reporting year ended 30 June 2019.</w:t>
      </w:r>
    </w:p>
    <w:p w14:paraId="203FCA43" w14:textId="77777777" w:rsidR="00EB6564" w:rsidRDefault="00EB6564" w:rsidP="00EB6564">
      <w:pPr>
        <w:pStyle w:val="02HEADING2"/>
      </w:pPr>
      <w:r>
        <w:t>Part 1—Implementation of the NEPM and any significant issues</w:t>
      </w:r>
    </w:p>
    <w:p w14:paraId="4A3F1F24" w14:textId="77777777" w:rsidR="00EB6564" w:rsidRDefault="00EB6564" w:rsidP="00EB6564">
      <w:pPr>
        <w:pStyle w:val="05bDOTPOINTS"/>
      </w:pPr>
      <w:r>
        <w:t>•</w:t>
      </w:r>
      <w:r>
        <w:tab/>
        <w:t>NPI NEPM Goal A concerning information collection was met in Tasmania. Goal B concerning information dissemination was not met due to resourcing issues.</w:t>
      </w:r>
    </w:p>
    <w:p w14:paraId="729A87C2" w14:textId="77777777" w:rsidR="00EB6564" w:rsidRDefault="00EB6564" w:rsidP="00EB6564">
      <w:pPr>
        <w:pStyle w:val="05bDOTPOINTS"/>
      </w:pPr>
      <w:r>
        <w:t>•</w:t>
      </w:r>
      <w:r>
        <w:tab/>
        <w:t>NPI funding and support is an ongoing issue. Updated NPI emissions estimation techniques and other resources continue to be a critical need.</w:t>
      </w:r>
    </w:p>
    <w:p w14:paraId="2D571BF5" w14:textId="77777777" w:rsidR="00EB6564" w:rsidRDefault="00EB6564" w:rsidP="00EB6564">
      <w:pPr>
        <w:pStyle w:val="05bDOTPOINTS"/>
      </w:pPr>
      <w:r>
        <w:t>•</w:t>
      </w:r>
      <w:r>
        <w:tab/>
        <w:t xml:space="preserve">The statutory review of the </w:t>
      </w:r>
      <w:r>
        <w:rPr>
          <w:rStyle w:val="ITALIC"/>
        </w:rPr>
        <w:t>National Environmental Protection Council Act 1994</w:t>
      </w:r>
      <w:r>
        <w:t xml:space="preserve"> initiated in December 2018 has caused a pause in the review of the NPI.</w:t>
      </w:r>
    </w:p>
    <w:p w14:paraId="62A2CD01" w14:textId="77777777" w:rsidR="00EB6564" w:rsidRDefault="00EB6564" w:rsidP="00EB6564">
      <w:pPr>
        <w:pStyle w:val="02HEADING2"/>
      </w:pPr>
      <w:r>
        <w:t>Part 2—Assessment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1781"/>
        <w:gridCol w:w="2820"/>
        <w:gridCol w:w="2821"/>
      </w:tblGrid>
      <w:tr w:rsidR="00EB6564" w14:paraId="246C0745" w14:textId="77777777" w:rsidTr="00993E87">
        <w:trPr>
          <w:trHeight w:val="60"/>
          <w:tblHeader/>
        </w:trPr>
        <w:tc>
          <w:tcPr>
            <w:tcW w:w="1781"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1A9F8B57" w14:textId="77777777" w:rsidR="00EB6564" w:rsidRDefault="00EB6564">
            <w:pPr>
              <w:pStyle w:val="06bTABLEHEADERROW"/>
            </w:pPr>
            <w:r>
              <w:t>Participation levels</w:t>
            </w:r>
          </w:p>
        </w:tc>
        <w:tc>
          <w:tcPr>
            <w:tcW w:w="2820"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75B14944" w14:textId="77777777" w:rsidR="00EB6564" w:rsidRDefault="00EB6564">
            <w:pPr>
              <w:pStyle w:val="06bTABLEHEADERROW"/>
            </w:pPr>
            <w:r>
              <w:t>Feedback from the community, industry and government</w:t>
            </w:r>
          </w:p>
        </w:tc>
        <w:tc>
          <w:tcPr>
            <w:tcW w:w="2821"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D54AC8A" w14:textId="77777777" w:rsidR="00EB6564" w:rsidRDefault="00EB6564">
            <w:pPr>
              <w:pStyle w:val="06bTABLEHEADERROW"/>
            </w:pPr>
            <w:r>
              <w:t>Implementation activity effectiveness</w:t>
            </w:r>
          </w:p>
        </w:tc>
      </w:tr>
      <w:tr w:rsidR="00EB6564" w14:paraId="7573B390" w14:textId="77777777" w:rsidTr="00993E87">
        <w:trPr>
          <w:trHeight w:val="60"/>
        </w:trPr>
        <w:tc>
          <w:tcPr>
            <w:tcW w:w="7422"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5F5FB370" w14:textId="77777777" w:rsidR="00EB6564" w:rsidRDefault="00EB6564">
            <w:pPr>
              <w:pStyle w:val="06cTABLETEXT"/>
            </w:pPr>
            <w:r>
              <w:rPr>
                <w:rStyle w:val="BOLD"/>
              </w:rPr>
              <w:t>Public</w:t>
            </w:r>
          </w:p>
        </w:tc>
      </w:tr>
      <w:tr w:rsidR="00EB6564" w14:paraId="6113198B" w14:textId="77777777" w:rsidTr="00993E87">
        <w:trPr>
          <w:trHeight w:val="60"/>
        </w:trPr>
        <w:tc>
          <w:tcPr>
            <w:tcW w:w="17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72BCA062" w14:textId="77777777" w:rsidR="00EB6564" w:rsidRDefault="00EB6564">
            <w:pPr>
              <w:pStyle w:val="05BODYTEXT"/>
              <w:ind w:left="170" w:hanging="170"/>
            </w:pPr>
            <w:r>
              <w:t>•</w:t>
            </w:r>
            <w:r>
              <w:tab/>
              <w:t>The number of community member visits to the NPI website was recorded by the Commonwealth.</w:t>
            </w:r>
          </w:p>
        </w:tc>
        <w:tc>
          <w:tcPr>
            <w:tcW w:w="282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4961C038" w14:textId="77777777" w:rsidR="00EB6564" w:rsidRDefault="00EB6564">
            <w:pPr>
              <w:pStyle w:val="05bDOTPOINTS"/>
            </w:pPr>
            <w:r>
              <w:t>•</w:t>
            </w:r>
            <w:r>
              <w:tab/>
              <w:t>The NPI review process generated local media interest.</w:t>
            </w:r>
          </w:p>
          <w:p w14:paraId="4617FE7C" w14:textId="77777777" w:rsidR="00EB6564" w:rsidRDefault="00EB6564">
            <w:pPr>
              <w:pStyle w:val="05bDOTPOINTS"/>
            </w:pPr>
            <w:r>
              <w:t>•</w:t>
            </w:r>
            <w:r>
              <w:tab/>
              <w:t xml:space="preserve">The public and journalists used the NPI database to examine emissions data for specific Tasmanian industries. </w:t>
            </w:r>
          </w:p>
          <w:p w14:paraId="218AA23B" w14:textId="77777777" w:rsidR="00EB6564" w:rsidRDefault="00EB6564">
            <w:pPr>
              <w:pStyle w:val="05bDOTPOINTS"/>
            </w:pPr>
            <w:r>
              <w:t>•</w:t>
            </w:r>
            <w:r>
              <w:tab/>
              <w:t xml:space="preserve">Better interpretation tool and resources to facilitate transparency </w:t>
            </w:r>
            <w:r>
              <w:lastRenderedPageBreak/>
              <w:t>and better community access to NPI data are required.</w:t>
            </w:r>
          </w:p>
        </w:tc>
        <w:tc>
          <w:tcPr>
            <w:tcW w:w="282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5E7E7A56" w14:textId="77777777" w:rsidR="00EB6564" w:rsidRDefault="00EB6564">
            <w:pPr>
              <w:pStyle w:val="05bDOTPOINTS"/>
            </w:pPr>
            <w:r>
              <w:lastRenderedPageBreak/>
              <w:t>•</w:t>
            </w:r>
            <w:r>
              <w:tab/>
              <w:t>Public consultation for the NPI review generated some public interest.</w:t>
            </w:r>
          </w:p>
          <w:p w14:paraId="35282B55" w14:textId="77777777" w:rsidR="00EB6564" w:rsidRDefault="00EB6564">
            <w:pPr>
              <w:pStyle w:val="05bDOTPOINTS"/>
            </w:pPr>
          </w:p>
        </w:tc>
      </w:tr>
      <w:tr w:rsidR="00EB6564" w14:paraId="716F0B73" w14:textId="77777777" w:rsidTr="00993E87">
        <w:trPr>
          <w:trHeight w:val="60"/>
        </w:trPr>
        <w:tc>
          <w:tcPr>
            <w:tcW w:w="7422"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34C7D625" w14:textId="77777777" w:rsidR="00EB6564" w:rsidRDefault="00EB6564">
            <w:pPr>
              <w:pStyle w:val="05bDOTPOINTS"/>
            </w:pPr>
            <w:r>
              <w:rPr>
                <w:rStyle w:val="BOLD"/>
              </w:rPr>
              <w:t>Industry</w:t>
            </w:r>
          </w:p>
        </w:tc>
      </w:tr>
      <w:tr w:rsidR="00EB6564" w14:paraId="0ECA41DE" w14:textId="77777777" w:rsidTr="00993E87">
        <w:trPr>
          <w:trHeight w:val="60"/>
        </w:trPr>
        <w:tc>
          <w:tcPr>
            <w:tcW w:w="17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4C173BF4" w14:textId="77777777" w:rsidR="00EB6564" w:rsidRDefault="00EB6564">
            <w:pPr>
              <w:pStyle w:val="05bDOTPOINTS"/>
            </w:pPr>
            <w:r>
              <w:t>•</w:t>
            </w:r>
            <w:r>
              <w:tab/>
              <w:t>140 reports for 2018–19</w:t>
            </w:r>
          </w:p>
          <w:p w14:paraId="3263DF2D" w14:textId="77777777" w:rsidR="00EB6564" w:rsidRDefault="00EB6564">
            <w:pPr>
              <w:pStyle w:val="05bDOTPOINTS"/>
            </w:pPr>
            <w:r>
              <w:t>•</w:t>
            </w:r>
            <w:r>
              <w:tab/>
              <w:t>141 reports for 2017–18</w:t>
            </w:r>
          </w:p>
          <w:p w14:paraId="3C758B87" w14:textId="77777777" w:rsidR="00EB6564" w:rsidRDefault="00EB6564">
            <w:pPr>
              <w:pStyle w:val="05bDOTPOINTS"/>
            </w:pPr>
            <w:r>
              <w:t>•</w:t>
            </w:r>
            <w:r>
              <w:tab/>
              <w:t>5 new reporters</w:t>
            </w:r>
          </w:p>
          <w:p w14:paraId="04768D24" w14:textId="77777777" w:rsidR="00EB6564" w:rsidRDefault="00EB6564">
            <w:pPr>
              <w:pStyle w:val="05bDOTPOINTS"/>
            </w:pPr>
            <w:r>
              <w:t>•</w:t>
            </w:r>
            <w:r>
              <w:tab/>
              <w:t>0 new sectors reporting</w:t>
            </w:r>
          </w:p>
          <w:p w14:paraId="53116269" w14:textId="77777777" w:rsidR="00EB6564" w:rsidRDefault="00EB6564">
            <w:pPr>
              <w:pStyle w:val="05bDOTPOINTS"/>
            </w:pPr>
            <w:r>
              <w:t>•</w:t>
            </w:r>
            <w:r>
              <w:tab/>
              <w:t>0 confidentiality claims submitted</w:t>
            </w:r>
          </w:p>
        </w:tc>
        <w:tc>
          <w:tcPr>
            <w:tcW w:w="282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5CF94928" w14:textId="77777777" w:rsidR="00EB6564" w:rsidRDefault="00EB6564">
            <w:pPr>
              <w:pStyle w:val="05bDOTPOINTS"/>
            </w:pPr>
            <w:r>
              <w:t>•</w:t>
            </w:r>
            <w:r>
              <w:tab/>
              <w:t>An upgrade to the Online Reporting System would improve and help streamline reporting thus reducing regulatory burden on reporters.</w:t>
            </w:r>
          </w:p>
          <w:p w14:paraId="62787CC3" w14:textId="77777777" w:rsidR="00EB6564" w:rsidRDefault="00EB6564">
            <w:pPr>
              <w:pStyle w:val="05bDOTPOINTS"/>
            </w:pPr>
            <w:r>
              <w:t>•</w:t>
            </w:r>
            <w:r>
              <w:tab/>
              <w:t>The current emission estimation techniques are largely out of date and need to be updated to better reflect actual emissions.</w:t>
            </w:r>
          </w:p>
        </w:tc>
        <w:tc>
          <w:tcPr>
            <w:tcW w:w="282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435740FF" w14:textId="77777777" w:rsidR="00EB6564" w:rsidRDefault="00EB6564">
            <w:pPr>
              <w:pStyle w:val="05bDOTPOINTS"/>
            </w:pPr>
            <w:r>
              <w:t>•</w:t>
            </w:r>
            <w:r>
              <w:tab/>
              <w:t xml:space="preserve">With assistance from NSW, a new Emissions Estimation Technique has been developed for use by Tasmanian landfill operators. </w:t>
            </w:r>
          </w:p>
          <w:p w14:paraId="05654FA8" w14:textId="77777777" w:rsidR="00EB6564" w:rsidRDefault="00EB6564">
            <w:pPr>
              <w:pStyle w:val="05bDOTPOINTS"/>
            </w:pPr>
            <w:r>
              <w:t>•</w:t>
            </w:r>
            <w:r>
              <w:tab/>
              <w:t xml:space="preserve">Training, site visits and general assistance to industry is ongoing </w:t>
            </w:r>
          </w:p>
          <w:p w14:paraId="1AAD8B6B" w14:textId="77777777" w:rsidR="00EB6564" w:rsidRDefault="00EB6564">
            <w:pPr>
              <w:pStyle w:val="05bDOTPOINTS"/>
            </w:pPr>
            <w:r>
              <w:t>•</w:t>
            </w:r>
            <w:r>
              <w:tab/>
              <w:t>A specific requirement to comply with the NPI NEPM is being prepared for inclusion in notices issued by EPA.</w:t>
            </w:r>
          </w:p>
        </w:tc>
      </w:tr>
      <w:tr w:rsidR="00EB6564" w14:paraId="3EC2D73E" w14:textId="77777777" w:rsidTr="00993E87">
        <w:trPr>
          <w:trHeight w:val="60"/>
        </w:trPr>
        <w:tc>
          <w:tcPr>
            <w:tcW w:w="7422"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004DABC2" w14:textId="77777777" w:rsidR="00EB6564" w:rsidRDefault="00EB6564">
            <w:pPr>
              <w:pStyle w:val="05bDOTPOINTS"/>
            </w:pPr>
            <w:r>
              <w:rPr>
                <w:rStyle w:val="BOLD"/>
              </w:rPr>
              <w:t>Government</w:t>
            </w:r>
          </w:p>
        </w:tc>
      </w:tr>
      <w:tr w:rsidR="00EB6564" w14:paraId="1657860E" w14:textId="77777777" w:rsidTr="00993E87">
        <w:trPr>
          <w:trHeight w:val="60"/>
        </w:trPr>
        <w:tc>
          <w:tcPr>
            <w:tcW w:w="17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53C82DFB" w14:textId="77777777" w:rsidR="00EB6564" w:rsidRDefault="00EB6564">
            <w:pPr>
              <w:pStyle w:val="05bDOTPOINTS"/>
            </w:pPr>
            <w:r>
              <w:t>•</w:t>
            </w:r>
            <w:r>
              <w:tab/>
              <w:t>141 desktop audits</w:t>
            </w:r>
          </w:p>
          <w:p w14:paraId="4198D0D9" w14:textId="77777777" w:rsidR="00EB6564" w:rsidRDefault="00EB6564">
            <w:pPr>
              <w:pStyle w:val="05bDOTPOINTS"/>
            </w:pPr>
            <w:r>
              <w:t>•</w:t>
            </w:r>
            <w:r>
              <w:tab/>
              <w:t>0 on-site audits</w:t>
            </w:r>
          </w:p>
          <w:p w14:paraId="1E90E66E" w14:textId="77777777" w:rsidR="00EB6564" w:rsidRDefault="00EB6564">
            <w:pPr>
              <w:pStyle w:val="05bDOTPOINTS"/>
            </w:pPr>
            <w:r>
              <w:t>•</w:t>
            </w:r>
            <w:r>
              <w:tab/>
              <w:t>0 regulatory actions</w:t>
            </w:r>
          </w:p>
        </w:tc>
        <w:tc>
          <w:tcPr>
            <w:tcW w:w="282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37E4DC62" w14:textId="77777777" w:rsidR="00EB6564" w:rsidRDefault="00EB6564">
            <w:pPr>
              <w:pStyle w:val="05bDOTPOINTS"/>
            </w:pPr>
            <w:r>
              <w:t>•</w:t>
            </w:r>
            <w:r>
              <w:tab/>
              <w:t>NPI data is used by regulatory agencies to gauge and quantify emissions.</w:t>
            </w:r>
          </w:p>
          <w:p w14:paraId="61E76DF2" w14:textId="77777777" w:rsidR="00EB6564" w:rsidRDefault="00EB6564">
            <w:pPr>
              <w:pStyle w:val="05bDOTPOINTS"/>
            </w:pPr>
            <w:r>
              <w:t>•</w:t>
            </w:r>
            <w:r>
              <w:tab/>
              <w:t>Emissions Estimation Techniques are occasionally used by EPA Tasmania when considering a regulatory response.</w:t>
            </w:r>
          </w:p>
        </w:tc>
        <w:tc>
          <w:tcPr>
            <w:tcW w:w="282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0671CEA9" w14:textId="77777777" w:rsidR="00EB6564" w:rsidRDefault="00EB6564">
            <w:pPr>
              <w:pStyle w:val="05bDOTPOINTS"/>
            </w:pPr>
            <w:r>
              <w:t>•</w:t>
            </w:r>
            <w:r>
              <w:tab/>
              <w:t>Efforts to increase awareness of the NPI within EPA Tasmania and wider government are ongoing.</w:t>
            </w:r>
          </w:p>
          <w:p w14:paraId="5711D287" w14:textId="77777777" w:rsidR="00EB6564" w:rsidRDefault="00EB6564">
            <w:pPr>
              <w:pStyle w:val="05bDOTPOINTS"/>
            </w:pPr>
            <w:r>
              <w:t>•</w:t>
            </w:r>
            <w:r>
              <w:tab/>
              <w:t>Facilitation of an IWG meeting in Launceston and continued participation in IWG discussions.</w:t>
            </w:r>
          </w:p>
          <w:p w14:paraId="61C67A87" w14:textId="77777777" w:rsidR="00EB6564" w:rsidRDefault="00EB6564">
            <w:pPr>
              <w:pStyle w:val="05bDOTPOINTS"/>
            </w:pPr>
            <w:r>
              <w:t>•</w:t>
            </w:r>
            <w:r>
              <w:tab/>
              <w:t xml:space="preserve">Continued participation on NPI Review Steering Committee </w:t>
            </w:r>
          </w:p>
        </w:tc>
      </w:tr>
    </w:tbl>
    <w:p w14:paraId="4E8B225D" w14:textId="77777777" w:rsidR="00EB6564" w:rsidRPr="009408AB" w:rsidRDefault="00EB6564" w:rsidP="00CB0DA6">
      <w:pPr>
        <w:pStyle w:val="Heading2"/>
      </w:pPr>
      <w:bookmarkStart w:id="72" w:name="_Toc58254426"/>
      <w:r w:rsidRPr="009408AB">
        <w:t>Australian Capital Territory</w:t>
      </w:r>
      <w:bookmarkEnd w:id="72"/>
    </w:p>
    <w:p w14:paraId="4AB234B5" w14:textId="77777777" w:rsidR="00EB6564" w:rsidRDefault="00EB6564" w:rsidP="00EB6564">
      <w:pPr>
        <w:pStyle w:val="05BODYTEXT"/>
        <w:rPr>
          <w:rStyle w:val="ITALIC"/>
        </w:rPr>
      </w:pPr>
      <w:r>
        <w:rPr>
          <w:rStyle w:val="ITALIC"/>
        </w:rPr>
        <w:t>Report to the NEPC on the implementation of the National Environment Protection (National Pollutant Inventory) Measure for the Australian Capital Territory by Mr Mick Gentleman, MLA for the reporting year ended 30 June 2019.</w:t>
      </w:r>
    </w:p>
    <w:p w14:paraId="319CE550" w14:textId="77777777" w:rsidR="00EB6564" w:rsidRDefault="00EB6564" w:rsidP="00EB6564">
      <w:pPr>
        <w:pStyle w:val="02HEADING2"/>
      </w:pPr>
      <w:r>
        <w:t>Part 1—Implementation of the NEPM and any significant issues</w:t>
      </w:r>
    </w:p>
    <w:p w14:paraId="6B15F491" w14:textId="77777777" w:rsidR="00EB6564" w:rsidRDefault="00EB6564" w:rsidP="00EB6564">
      <w:pPr>
        <w:pStyle w:val="05bDOTPOINTS"/>
      </w:pPr>
      <w:r>
        <w:t>•</w:t>
      </w:r>
      <w:r>
        <w:tab/>
        <w:t>Access Canberra is responsible for the implementation and administration of the National Environment Protection (National Pollutant Inventory) Measure (the NEPM).</w:t>
      </w:r>
    </w:p>
    <w:p w14:paraId="44545BF5" w14:textId="77777777" w:rsidR="00EB6564" w:rsidRDefault="00EB6564" w:rsidP="00EB6564">
      <w:pPr>
        <w:pStyle w:val="05bDOTPOINTS"/>
      </w:pPr>
      <w:r>
        <w:t>•</w:t>
      </w:r>
      <w:r>
        <w:tab/>
        <w:t>The Environment Planning and Sustainable Development Directorate is responsible for the development of legislation and policy to ensure the NEPM is appropriately implemented in the Australian Capital Territory.</w:t>
      </w:r>
    </w:p>
    <w:p w14:paraId="73589473" w14:textId="77777777" w:rsidR="00EB6564" w:rsidRDefault="00EB6564" w:rsidP="00EB6564">
      <w:pPr>
        <w:pStyle w:val="05bDOTPOINTS"/>
      </w:pPr>
      <w:r>
        <w:t>•</w:t>
      </w:r>
      <w:r>
        <w:tab/>
        <w:t xml:space="preserve">The provisions of the NEPM are implemented through the </w:t>
      </w:r>
      <w:r>
        <w:rPr>
          <w:rStyle w:val="ITALIC"/>
        </w:rPr>
        <w:t>Environment Protection Act 1997</w:t>
      </w:r>
      <w:r>
        <w:t>.</w:t>
      </w:r>
    </w:p>
    <w:p w14:paraId="284406CD" w14:textId="77777777" w:rsidR="00EB6564" w:rsidRDefault="00EB6564" w:rsidP="00EB6564">
      <w:pPr>
        <w:pStyle w:val="02HEADING2"/>
      </w:pPr>
      <w:r>
        <w:t>Part 2—Assessment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1823"/>
        <w:gridCol w:w="2797"/>
        <w:gridCol w:w="2797"/>
      </w:tblGrid>
      <w:tr w:rsidR="00EB6564" w14:paraId="427B769A" w14:textId="77777777" w:rsidTr="00993E87">
        <w:trPr>
          <w:trHeight w:val="60"/>
          <w:tblHeader/>
        </w:trPr>
        <w:tc>
          <w:tcPr>
            <w:tcW w:w="1823"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54C5A63C" w14:textId="77777777" w:rsidR="00EB6564" w:rsidRDefault="00EB6564">
            <w:pPr>
              <w:pStyle w:val="06bTABLEHEADERROW"/>
            </w:pPr>
            <w:r>
              <w:t>Participation levels</w:t>
            </w:r>
          </w:p>
        </w:tc>
        <w:tc>
          <w:tcPr>
            <w:tcW w:w="2797"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D873BBD" w14:textId="77777777" w:rsidR="00EB6564" w:rsidRDefault="00EB6564">
            <w:pPr>
              <w:pStyle w:val="06bTABLEHEADERROW"/>
            </w:pPr>
            <w:r>
              <w:t>Feedback from the community, industry and government</w:t>
            </w:r>
          </w:p>
        </w:tc>
        <w:tc>
          <w:tcPr>
            <w:tcW w:w="2797"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080BA9BD" w14:textId="77777777" w:rsidR="00EB6564" w:rsidRDefault="00EB6564">
            <w:pPr>
              <w:pStyle w:val="06bTABLEHEADERROW"/>
            </w:pPr>
            <w:r>
              <w:t>Implementation activity effectiveness</w:t>
            </w:r>
          </w:p>
        </w:tc>
      </w:tr>
      <w:tr w:rsidR="00EB6564" w14:paraId="2D06CBA1" w14:textId="77777777" w:rsidTr="00993E8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vAlign w:val="center"/>
          </w:tcPr>
          <w:p w14:paraId="1581BB9A" w14:textId="77777777" w:rsidR="00EB6564" w:rsidRDefault="00EB6564">
            <w:pPr>
              <w:pStyle w:val="06cTABLETEXT"/>
            </w:pPr>
            <w:r>
              <w:rPr>
                <w:rStyle w:val="BOLD"/>
              </w:rPr>
              <w:t>Public</w:t>
            </w:r>
          </w:p>
        </w:tc>
      </w:tr>
      <w:tr w:rsidR="00EB6564" w14:paraId="0D82C64D" w14:textId="77777777" w:rsidTr="00993E87">
        <w:trPr>
          <w:trHeight w:val="60"/>
        </w:trPr>
        <w:tc>
          <w:tcPr>
            <w:tcW w:w="182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78BE9A4E" w14:textId="77777777" w:rsidR="00EB6564" w:rsidRDefault="00EB6564">
            <w:pPr>
              <w:pStyle w:val="06cTABLETEXT"/>
              <w:ind w:left="170" w:hanging="170"/>
            </w:pPr>
            <w:r>
              <w:t>•</w:t>
            </w:r>
            <w:r>
              <w:tab/>
              <w:t xml:space="preserve">The number of community member visits to the National Pollutant Inventory website was recorded </w:t>
            </w:r>
            <w:r>
              <w:lastRenderedPageBreak/>
              <w:t>by the Commonwealth.</w:t>
            </w:r>
          </w:p>
        </w:tc>
        <w:tc>
          <w:tcPr>
            <w:tcW w:w="279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433292BA" w14:textId="77777777" w:rsidR="00EB6564" w:rsidRDefault="00EB6564">
            <w:pPr>
              <w:pStyle w:val="06cTABLETEXT"/>
              <w:ind w:left="170" w:hanging="170"/>
            </w:pPr>
            <w:r>
              <w:lastRenderedPageBreak/>
              <w:t>•</w:t>
            </w:r>
            <w:r>
              <w:tab/>
              <w:t>No specific feedback was received from the community.</w:t>
            </w:r>
          </w:p>
        </w:tc>
        <w:tc>
          <w:tcPr>
            <w:tcW w:w="279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0633D519" w14:textId="77777777" w:rsidR="00EB6564" w:rsidRDefault="00EB6564">
            <w:pPr>
              <w:pStyle w:val="NoParagraphStyle"/>
              <w:spacing w:line="240" w:lineRule="auto"/>
              <w:textAlignment w:val="auto"/>
              <w:rPr>
                <w:rFonts w:ascii="Calibri" w:hAnsi="Calibri" w:cs="Calibri"/>
                <w:color w:val="auto"/>
              </w:rPr>
            </w:pPr>
          </w:p>
        </w:tc>
      </w:tr>
      <w:tr w:rsidR="00EB6564" w14:paraId="6BBF0480" w14:textId="77777777" w:rsidTr="00993E8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6CFE1D82" w14:textId="77777777" w:rsidR="00EB6564" w:rsidRDefault="00EB6564">
            <w:pPr>
              <w:pStyle w:val="06cTABLETEXT"/>
              <w:ind w:left="170" w:hanging="170"/>
            </w:pPr>
            <w:r>
              <w:rPr>
                <w:rStyle w:val="BOLD"/>
              </w:rPr>
              <w:t>Industry</w:t>
            </w:r>
          </w:p>
        </w:tc>
      </w:tr>
      <w:tr w:rsidR="00EB6564" w14:paraId="311ABEE8" w14:textId="77777777" w:rsidTr="00993E87">
        <w:trPr>
          <w:trHeight w:val="60"/>
        </w:trPr>
        <w:tc>
          <w:tcPr>
            <w:tcW w:w="182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1A1CA182" w14:textId="77777777" w:rsidR="00EB6564" w:rsidRDefault="00EB6564">
            <w:pPr>
              <w:pStyle w:val="06cTABLETEXT"/>
              <w:ind w:left="170" w:hanging="170"/>
            </w:pPr>
            <w:r>
              <w:t>•</w:t>
            </w:r>
            <w:r>
              <w:tab/>
              <w:t>22 reports for 2017–18</w:t>
            </w:r>
          </w:p>
          <w:p w14:paraId="576CA735" w14:textId="77777777" w:rsidR="00EB6564" w:rsidRDefault="00EB6564">
            <w:pPr>
              <w:pStyle w:val="06cTABLETEXT"/>
              <w:ind w:left="170" w:hanging="170"/>
            </w:pPr>
            <w:r>
              <w:t>•</w:t>
            </w:r>
            <w:r>
              <w:tab/>
              <w:t>21 reports for 2016–17</w:t>
            </w:r>
          </w:p>
          <w:p w14:paraId="7E5771D2" w14:textId="77777777" w:rsidR="00EB6564" w:rsidRDefault="00EB6564">
            <w:pPr>
              <w:pStyle w:val="06cTABLETEXT"/>
              <w:ind w:left="170" w:hanging="170"/>
            </w:pPr>
            <w:r>
              <w:t>•</w:t>
            </w:r>
            <w:r>
              <w:tab/>
              <w:t>No new reporters</w:t>
            </w:r>
          </w:p>
          <w:p w14:paraId="7BB66FC2" w14:textId="77777777" w:rsidR="00EB6564" w:rsidRDefault="00EB6564">
            <w:pPr>
              <w:pStyle w:val="06cTABLETEXT"/>
              <w:ind w:left="170" w:hanging="170"/>
            </w:pPr>
            <w:r>
              <w:t>•</w:t>
            </w:r>
            <w:r>
              <w:tab/>
              <w:t>No new sectors reporting</w:t>
            </w:r>
          </w:p>
          <w:p w14:paraId="20EA6A07" w14:textId="77777777" w:rsidR="00EB6564" w:rsidRDefault="00EB6564">
            <w:pPr>
              <w:pStyle w:val="06cTABLETEXT"/>
              <w:ind w:left="170" w:hanging="170"/>
            </w:pPr>
            <w:r>
              <w:t>•</w:t>
            </w:r>
            <w:r>
              <w:tab/>
              <w:t>No confidentiality claims submitted</w:t>
            </w:r>
          </w:p>
        </w:tc>
        <w:tc>
          <w:tcPr>
            <w:tcW w:w="279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5BF24E75" w14:textId="77777777" w:rsidR="00EB6564" w:rsidRDefault="00EB6564">
            <w:pPr>
              <w:pStyle w:val="06cTABLETEXT"/>
              <w:ind w:left="170" w:hanging="170"/>
            </w:pPr>
            <w:r>
              <w:t>•</w:t>
            </w:r>
            <w:r>
              <w:tab/>
              <w:t xml:space="preserve">Due to staff turnover, training was welcomed by the industry for understanding of the NEPM and the online reporting system. </w:t>
            </w:r>
          </w:p>
        </w:tc>
        <w:tc>
          <w:tcPr>
            <w:tcW w:w="279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79B8B604" w14:textId="77777777" w:rsidR="00EB6564" w:rsidRDefault="00EB6564">
            <w:pPr>
              <w:pStyle w:val="06cTABLETEXT"/>
              <w:ind w:left="170" w:hanging="170"/>
            </w:pPr>
            <w:r>
              <w:t>•</w:t>
            </w:r>
            <w:r>
              <w:tab/>
              <w:t xml:space="preserve">All ACT reporters used the online reporting system. </w:t>
            </w:r>
          </w:p>
          <w:p w14:paraId="3E2BBDA6" w14:textId="77777777" w:rsidR="00EB6564" w:rsidRDefault="00EB6564">
            <w:pPr>
              <w:pStyle w:val="06cTABLETEXT"/>
              <w:ind w:left="170" w:hanging="170"/>
            </w:pPr>
            <w:r>
              <w:t>•</w:t>
            </w:r>
            <w:r>
              <w:tab/>
              <w:t>One-on-one training sessions continued to work successfully.</w:t>
            </w:r>
          </w:p>
          <w:p w14:paraId="2F176F6F" w14:textId="77777777" w:rsidR="00EB6564" w:rsidRDefault="00EB6564">
            <w:pPr>
              <w:pStyle w:val="06cTABLETEXT"/>
              <w:ind w:left="170" w:hanging="170"/>
            </w:pPr>
            <w:r>
              <w:t>•</w:t>
            </w:r>
            <w:r>
              <w:tab/>
              <w:t>Industry enquiries were responded to in a timely manner.</w:t>
            </w:r>
          </w:p>
        </w:tc>
      </w:tr>
      <w:tr w:rsidR="00EB6564" w14:paraId="17797494" w14:textId="77777777" w:rsidTr="00993E8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6A1A8BFE" w14:textId="77777777" w:rsidR="00EB6564" w:rsidRDefault="00EB6564">
            <w:pPr>
              <w:pStyle w:val="06cTABLETEXT"/>
              <w:ind w:left="170" w:hanging="170"/>
            </w:pPr>
            <w:r>
              <w:rPr>
                <w:rStyle w:val="BOLD"/>
              </w:rPr>
              <w:t>Government</w:t>
            </w:r>
          </w:p>
        </w:tc>
      </w:tr>
      <w:tr w:rsidR="00EB6564" w14:paraId="4E341905" w14:textId="77777777" w:rsidTr="00993E87">
        <w:trPr>
          <w:trHeight w:val="60"/>
        </w:trPr>
        <w:tc>
          <w:tcPr>
            <w:tcW w:w="1823"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297A1B6C" w14:textId="77777777" w:rsidR="00EB6564" w:rsidRDefault="00EB6564">
            <w:pPr>
              <w:pStyle w:val="06cTABLETEXT"/>
              <w:ind w:left="170" w:hanging="170"/>
            </w:pPr>
            <w:r>
              <w:t>•</w:t>
            </w:r>
            <w:r>
              <w:tab/>
              <w:t>22 desktop audits</w:t>
            </w:r>
          </w:p>
          <w:p w14:paraId="4C7AC6EA" w14:textId="77777777" w:rsidR="00EB6564" w:rsidRDefault="00EB6564">
            <w:pPr>
              <w:pStyle w:val="06cTABLETEXT"/>
              <w:ind w:left="170" w:hanging="170"/>
            </w:pPr>
            <w:r>
              <w:t>•</w:t>
            </w:r>
            <w:r>
              <w:tab/>
              <w:t>No on-site audits</w:t>
            </w:r>
          </w:p>
          <w:p w14:paraId="1D2DE031" w14:textId="77777777" w:rsidR="00EB6564" w:rsidRDefault="00EB6564">
            <w:pPr>
              <w:pStyle w:val="06cTABLETEXT"/>
              <w:ind w:left="170" w:hanging="170"/>
            </w:pPr>
            <w:r>
              <w:t>•</w:t>
            </w:r>
            <w:r>
              <w:tab/>
              <w:t>No regulatory actions</w:t>
            </w:r>
          </w:p>
        </w:tc>
        <w:tc>
          <w:tcPr>
            <w:tcW w:w="279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03FE81D5" w14:textId="77777777" w:rsidR="00EB6564" w:rsidRDefault="00EB6564">
            <w:pPr>
              <w:pStyle w:val="06cTABLETEXT"/>
              <w:ind w:left="170" w:hanging="170"/>
            </w:pPr>
            <w:r>
              <w:t>•</w:t>
            </w:r>
            <w:r>
              <w:tab/>
              <w:t>No specific feedback was received from the government.</w:t>
            </w:r>
          </w:p>
        </w:tc>
        <w:tc>
          <w:tcPr>
            <w:tcW w:w="279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55C78D89" w14:textId="77777777" w:rsidR="00EB6564" w:rsidRDefault="00EB6564">
            <w:pPr>
              <w:pStyle w:val="06cTABLETEXT"/>
              <w:ind w:left="170" w:hanging="170"/>
            </w:pPr>
            <w:r>
              <w:t>•</w:t>
            </w:r>
            <w:r>
              <w:tab/>
              <w:t>Every NPI report underwent a desktop validation.</w:t>
            </w:r>
          </w:p>
          <w:p w14:paraId="638DB3B5" w14:textId="77777777" w:rsidR="00EB6564" w:rsidRDefault="00EB6564">
            <w:pPr>
              <w:pStyle w:val="06cTABLETEXT"/>
              <w:ind w:left="170" w:hanging="170"/>
            </w:pPr>
            <w:r>
              <w:t>•</w:t>
            </w:r>
            <w:r>
              <w:tab/>
              <w:t>The ACT Government continued liaising with other jurisdictions to achieve a nationally consistent implementation.</w:t>
            </w:r>
          </w:p>
        </w:tc>
      </w:tr>
    </w:tbl>
    <w:p w14:paraId="4E1E20AC" w14:textId="77777777" w:rsidR="00EB6564" w:rsidRPr="009408AB" w:rsidRDefault="00EB6564" w:rsidP="00CB0DA6">
      <w:pPr>
        <w:pStyle w:val="Heading2"/>
      </w:pPr>
      <w:bookmarkStart w:id="73" w:name="_Toc58254427"/>
      <w:r w:rsidRPr="009408AB">
        <w:t>Northern Territory</w:t>
      </w:r>
      <w:bookmarkEnd w:id="73"/>
    </w:p>
    <w:p w14:paraId="74D8353B" w14:textId="77777777" w:rsidR="00EB6564" w:rsidRDefault="00EB6564" w:rsidP="00EB6564">
      <w:pPr>
        <w:pStyle w:val="05BODYTEXT"/>
        <w:rPr>
          <w:rStyle w:val="ITALIC"/>
          <w:caps/>
          <w:sz w:val="20"/>
          <w:szCs w:val="20"/>
        </w:rPr>
      </w:pPr>
      <w:r>
        <w:rPr>
          <w:rStyle w:val="ITALIC"/>
        </w:rPr>
        <w:t>Report to the NEPC on the implementation of the National Environment Protection (National Pollutant Inventory) Measure for the Northern Territory by the Hon Eva Lawler, Minister for Environment and Natural Resources for the reporting year ended 30 June 2019.</w:t>
      </w:r>
    </w:p>
    <w:p w14:paraId="257F14F7" w14:textId="77777777" w:rsidR="00EB6564" w:rsidRDefault="00EB6564" w:rsidP="00EB6564">
      <w:pPr>
        <w:pStyle w:val="02HEADING2"/>
      </w:pPr>
      <w:r>
        <w:t>Part 1—Implementation of the NEPM and any significant issues</w:t>
      </w:r>
    </w:p>
    <w:p w14:paraId="17541D60" w14:textId="77777777" w:rsidR="00EB6564" w:rsidRDefault="00EB6564" w:rsidP="00EB6564">
      <w:pPr>
        <w:pStyle w:val="05bDOTPOINTS"/>
      </w:pPr>
      <w:r>
        <w:t>•</w:t>
      </w:r>
      <w:r>
        <w:tab/>
        <w:t xml:space="preserve">The National Pollutant Inventory (NPI) program is implemented in the Northern Territory through the </w:t>
      </w:r>
      <w:r>
        <w:rPr>
          <w:rStyle w:val="ITALIC"/>
        </w:rPr>
        <w:t>Environment Protection (National Pollutant Inventory) Objective 2004</w:t>
      </w:r>
      <w:r>
        <w:t xml:space="preserve"> established under the</w:t>
      </w:r>
      <w:r>
        <w:rPr>
          <w:rStyle w:val="ITALIC"/>
        </w:rPr>
        <w:t xml:space="preserve"> Waste Management and Pollution Control Act 1998</w:t>
      </w:r>
      <w:r>
        <w:t>. Overall responsibility for implementation of the NPI rests with the Northern Territory Environment Protection Authority (NT EPA).</w:t>
      </w:r>
    </w:p>
    <w:p w14:paraId="10F7B6F5" w14:textId="77777777" w:rsidR="00EB6564" w:rsidRDefault="00EB6564" w:rsidP="00EB6564">
      <w:pPr>
        <w:pStyle w:val="05bDOTPOINTS"/>
      </w:pPr>
      <w:r>
        <w:t>•</w:t>
      </w:r>
      <w:r>
        <w:tab/>
        <w:t xml:space="preserve">Due to limited resourcing, reports were validated selectively based on evidence of significant emissions changes from previous years and facility size. </w:t>
      </w:r>
    </w:p>
    <w:p w14:paraId="0A3288A2" w14:textId="77777777" w:rsidR="00EB6564" w:rsidRDefault="00EB6564" w:rsidP="00EB6564">
      <w:pPr>
        <w:pStyle w:val="05bDOTPOINTS"/>
      </w:pPr>
      <w:r>
        <w:t>•</w:t>
      </w:r>
      <w:r>
        <w:tab/>
        <w:t>The Northern Territory does not have sufficient funding to perform aggregate emissions data (AED) modelling as required by the NPI NEPM. AED includes diffuse sources of emissions such as fuel stations, motor vehicles and other non-road engines.</w:t>
      </w:r>
    </w:p>
    <w:p w14:paraId="4FB06819" w14:textId="77777777" w:rsidR="00EB6564" w:rsidRDefault="00EB6564" w:rsidP="00EB6564">
      <w:pPr>
        <w:pStyle w:val="02HEADING2"/>
      </w:pPr>
      <w:r>
        <w:t>Part 2—Assessment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1781"/>
        <w:gridCol w:w="2828"/>
        <w:gridCol w:w="2827"/>
      </w:tblGrid>
      <w:tr w:rsidR="00EB6564" w14:paraId="79C528AF" w14:textId="77777777" w:rsidTr="00993E87">
        <w:trPr>
          <w:trHeight w:val="60"/>
          <w:tblHeader/>
        </w:trPr>
        <w:tc>
          <w:tcPr>
            <w:tcW w:w="1781"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3D96583B" w14:textId="77777777" w:rsidR="00EB6564" w:rsidRDefault="00EB6564">
            <w:pPr>
              <w:pStyle w:val="06bTABLEHEADERROW"/>
            </w:pPr>
            <w:r>
              <w:t>Participation levels</w:t>
            </w:r>
          </w:p>
        </w:tc>
        <w:tc>
          <w:tcPr>
            <w:tcW w:w="2828"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4BC39E68" w14:textId="77777777" w:rsidR="00EB6564" w:rsidRDefault="00EB6564">
            <w:pPr>
              <w:pStyle w:val="06bTABLEHEADERROW"/>
            </w:pPr>
            <w:r>
              <w:t>Feedback from the community, industry and government</w:t>
            </w:r>
          </w:p>
        </w:tc>
        <w:tc>
          <w:tcPr>
            <w:tcW w:w="2827" w:type="dxa"/>
            <w:tcBorders>
              <w:top w:val="single" w:sz="4" w:space="0" w:color="FFFFFF"/>
              <w:left w:val="single" w:sz="4" w:space="0" w:color="FFFFFF"/>
              <w:bottom w:val="single" w:sz="4" w:space="0" w:color="FFFFFF"/>
              <w:right w:val="single" w:sz="4" w:space="0" w:color="FFFFFF"/>
            </w:tcBorders>
            <w:shd w:val="solid" w:color="000000" w:fill="auto"/>
            <w:tcMar>
              <w:top w:w="85" w:type="dxa"/>
              <w:left w:w="85" w:type="dxa"/>
              <w:bottom w:w="85" w:type="dxa"/>
              <w:right w:w="85" w:type="dxa"/>
            </w:tcMar>
            <w:vAlign w:val="bottom"/>
          </w:tcPr>
          <w:p w14:paraId="2AA0E6DB" w14:textId="77777777" w:rsidR="00EB6564" w:rsidRDefault="00EB6564">
            <w:pPr>
              <w:pStyle w:val="06bTABLEHEADERROW"/>
            </w:pPr>
            <w:r>
              <w:t>Implementation activity effectiveness</w:t>
            </w:r>
          </w:p>
        </w:tc>
      </w:tr>
      <w:tr w:rsidR="00EB6564" w14:paraId="4ED2AE6B" w14:textId="77777777" w:rsidTr="00993E87">
        <w:trPr>
          <w:trHeight w:val="60"/>
        </w:trPr>
        <w:tc>
          <w:tcPr>
            <w:tcW w:w="7436"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1BB6CC92" w14:textId="77777777" w:rsidR="00EB6564" w:rsidRDefault="00EB6564">
            <w:pPr>
              <w:pStyle w:val="05BODYTEXT"/>
            </w:pPr>
            <w:r>
              <w:rPr>
                <w:rStyle w:val="BOLD"/>
              </w:rPr>
              <w:t>Public</w:t>
            </w:r>
          </w:p>
        </w:tc>
      </w:tr>
      <w:tr w:rsidR="00EB6564" w14:paraId="3843F822" w14:textId="77777777" w:rsidTr="00993E87">
        <w:trPr>
          <w:trHeight w:val="60"/>
        </w:trPr>
        <w:tc>
          <w:tcPr>
            <w:tcW w:w="17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037A0D40" w14:textId="77777777" w:rsidR="00EB6564" w:rsidRDefault="00EB6564">
            <w:pPr>
              <w:pStyle w:val="05bDOTPOINTS"/>
            </w:pPr>
            <w:r>
              <w:t>•</w:t>
            </w:r>
            <w:r>
              <w:tab/>
              <w:t>The number of community member visits to the National Pollutant Inventory website was recorded by the Commonwealth.</w:t>
            </w:r>
          </w:p>
        </w:tc>
        <w:tc>
          <w:tcPr>
            <w:tcW w:w="282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7C5B0393" w14:textId="77777777" w:rsidR="00EB6564" w:rsidRDefault="00EB6564">
            <w:pPr>
              <w:pStyle w:val="05bDOTPOINTS"/>
            </w:pPr>
            <w:r>
              <w:t>•</w:t>
            </w:r>
            <w:r>
              <w:tab/>
              <w:t>No feedback was received from the public</w:t>
            </w:r>
          </w:p>
        </w:tc>
        <w:tc>
          <w:tcPr>
            <w:tcW w:w="282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4AA50880" w14:textId="77777777" w:rsidR="00EB6564" w:rsidRDefault="00EB6564">
            <w:pPr>
              <w:pStyle w:val="05bDOTPOINTS"/>
            </w:pPr>
            <w:r>
              <w:t>•</w:t>
            </w:r>
            <w:r>
              <w:tab/>
              <w:t>A statement was placed on the NT EPA website inviting the public to comment on the NPI Review Discussion Paper.</w:t>
            </w:r>
          </w:p>
        </w:tc>
      </w:tr>
      <w:tr w:rsidR="00EB6564" w14:paraId="7C2080CF" w14:textId="77777777" w:rsidTr="00993E87">
        <w:trPr>
          <w:trHeight w:val="60"/>
        </w:trPr>
        <w:tc>
          <w:tcPr>
            <w:tcW w:w="7436"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2292FDD4" w14:textId="77777777" w:rsidR="00EB6564" w:rsidRDefault="00EB6564">
            <w:pPr>
              <w:pStyle w:val="05bDOTPOINTS"/>
            </w:pPr>
            <w:r>
              <w:rPr>
                <w:rStyle w:val="BOLD"/>
              </w:rPr>
              <w:lastRenderedPageBreak/>
              <w:t>Industry</w:t>
            </w:r>
          </w:p>
        </w:tc>
      </w:tr>
      <w:tr w:rsidR="00EB6564" w14:paraId="6F46B664" w14:textId="77777777" w:rsidTr="00993E87">
        <w:trPr>
          <w:trHeight w:val="60"/>
        </w:trPr>
        <w:tc>
          <w:tcPr>
            <w:tcW w:w="17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05FA7A64" w14:textId="77777777" w:rsidR="00EB6564" w:rsidRDefault="00EB6564">
            <w:pPr>
              <w:pStyle w:val="05bDOTPOINTS"/>
              <w:spacing w:after="57"/>
            </w:pPr>
            <w:r>
              <w:t>•</w:t>
            </w:r>
            <w:r>
              <w:tab/>
              <w:t>105 reports for 2018–19</w:t>
            </w:r>
          </w:p>
          <w:p w14:paraId="75360519" w14:textId="77777777" w:rsidR="00EB6564" w:rsidRDefault="00EB6564">
            <w:pPr>
              <w:pStyle w:val="05bDOTPOINTS"/>
              <w:spacing w:after="57"/>
            </w:pPr>
            <w:r>
              <w:t>•</w:t>
            </w:r>
            <w:r>
              <w:tab/>
              <w:t>101 reports for 2017–18</w:t>
            </w:r>
          </w:p>
          <w:p w14:paraId="346E87D2" w14:textId="77777777" w:rsidR="00EB6564" w:rsidRDefault="00EB6564">
            <w:pPr>
              <w:pStyle w:val="05bDOTPOINTS"/>
              <w:spacing w:after="57"/>
            </w:pPr>
            <w:r>
              <w:t>•</w:t>
            </w:r>
            <w:r>
              <w:tab/>
              <w:t>7 new reporters</w:t>
            </w:r>
          </w:p>
          <w:p w14:paraId="0F5D40F5" w14:textId="77777777" w:rsidR="00EB6564" w:rsidRDefault="00EB6564">
            <w:pPr>
              <w:pStyle w:val="05bDOTPOINTS"/>
              <w:spacing w:after="57"/>
            </w:pPr>
            <w:r>
              <w:t>•</w:t>
            </w:r>
            <w:r>
              <w:tab/>
              <w:t>0 new sectors reporting</w:t>
            </w:r>
          </w:p>
          <w:p w14:paraId="0791BD4A" w14:textId="77777777" w:rsidR="00EB6564" w:rsidRDefault="00EB6564">
            <w:pPr>
              <w:pStyle w:val="05bDOTPOINTS"/>
              <w:spacing w:after="57"/>
            </w:pPr>
            <w:r>
              <w:t>•</w:t>
            </w:r>
            <w:r>
              <w:tab/>
              <w:t>0 confidentiality claims submitted</w:t>
            </w:r>
          </w:p>
        </w:tc>
        <w:tc>
          <w:tcPr>
            <w:tcW w:w="282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7D1781E4" w14:textId="77777777" w:rsidR="00EB6564" w:rsidRDefault="00EB6564">
            <w:pPr>
              <w:pStyle w:val="05bDOTPOINTS"/>
            </w:pPr>
            <w:r>
              <w:t>•</w:t>
            </w:r>
            <w:r>
              <w:tab/>
              <w:t>One industry reporter complained about the NPI calculation tool not working after upgrading to a higher version of MS Excel.</w:t>
            </w:r>
          </w:p>
          <w:p w14:paraId="09DF0902" w14:textId="77777777" w:rsidR="00EB6564" w:rsidRDefault="00EB6564">
            <w:pPr>
              <w:pStyle w:val="05bDOTPOINTS"/>
            </w:pPr>
            <w:r>
              <w:t>•</w:t>
            </w:r>
            <w:r>
              <w:tab/>
              <w:t>Most reporters expressed their appreciation for assistance provided.</w:t>
            </w:r>
          </w:p>
        </w:tc>
        <w:tc>
          <w:tcPr>
            <w:tcW w:w="282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4C694AE5" w14:textId="77777777" w:rsidR="00EB6564" w:rsidRDefault="00EB6564">
            <w:pPr>
              <w:pStyle w:val="05bDOTPOINTS"/>
            </w:pPr>
            <w:r>
              <w:t>•</w:t>
            </w:r>
            <w:r>
              <w:tab/>
              <w:t>All industry reports were submitted online.</w:t>
            </w:r>
          </w:p>
          <w:p w14:paraId="7E6B23BB" w14:textId="77777777" w:rsidR="00EB6564" w:rsidRDefault="00EB6564">
            <w:pPr>
              <w:pStyle w:val="05bDOTPOINTS"/>
            </w:pPr>
            <w:r>
              <w:t>•</w:t>
            </w:r>
            <w:r>
              <w:tab/>
              <w:t>Almost all industry reports were submitted on time.</w:t>
            </w:r>
          </w:p>
        </w:tc>
      </w:tr>
      <w:tr w:rsidR="00EB6564" w14:paraId="75608A23" w14:textId="77777777" w:rsidTr="00993E87">
        <w:trPr>
          <w:trHeight w:val="60"/>
        </w:trPr>
        <w:tc>
          <w:tcPr>
            <w:tcW w:w="7436"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0" w:type="dxa"/>
              <w:left w:w="80" w:type="dxa"/>
              <w:bottom w:w="80" w:type="dxa"/>
              <w:right w:w="80" w:type="dxa"/>
            </w:tcMar>
          </w:tcPr>
          <w:p w14:paraId="06D0051B" w14:textId="77777777" w:rsidR="00EB6564" w:rsidRDefault="00EB6564">
            <w:pPr>
              <w:pStyle w:val="05bDOTPOINTS"/>
            </w:pPr>
            <w:r>
              <w:rPr>
                <w:rStyle w:val="BOLD"/>
              </w:rPr>
              <w:t>Government</w:t>
            </w:r>
          </w:p>
        </w:tc>
      </w:tr>
      <w:tr w:rsidR="00EB6564" w14:paraId="4CC3E2B5" w14:textId="77777777" w:rsidTr="00993E87">
        <w:trPr>
          <w:trHeight w:val="60"/>
        </w:trPr>
        <w:tc>
          <w:tcPr>
            <w:tcW w:w="1781"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13A05CCD" w14:textId="77777777" w:rsidR="00EB6564" w:rsidRDefault="00EB6564">
            <w:pPr>
              <w:pStyle w:val="05bDOTPOINTS"/>
              <w:spacing w:after="57"/>
            </w:pPr>
            <w:r>
              <w:t>•</w:t>
            </w:r>
            <w:r>
              <w:tab/>
              <w:t>13 desktop audits</w:t>
            </w:r>
          </w:p>
          <w:p w14:paraId="0A14D029" w14:textId="77777777" w:rsidR="00EB6564" w:rsidRDefault="00EB6564">
            <w:pPr>
              <w:pStyle w:val="05bDOTPOINTS"/>
              <w:spacing w:after="57"/>
            </w:pPr>
            <w:r>
              <w:t>•</w:t>
            </w:r>
            <w:r>
              <w:tab/>
              <w:t>0 on-site audits</w:t>
            </w:r>
          </w:p>
          <w:p w14:paraId="5B826466" w14:textId="77777777" w:rsidR="00EB6564" w:rsidRDefault="00EB6564">
            <w:pPr>
              <w:pStyle w:val="05bDOTPOINTS"/>
              <w:spacing w:after="57"/>
            </w:pPr>
            <w:r>
              <w:t>•</w:t>
            </w:r>
            <w:r>
              <w:tab/>
              <w:t>0 regulatory actions</w:t>
            </w:r>
          </w:p>
        </w:tc>
        <w:tc>
          <w:tcPr>
            <w:tcW w:w="2828"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34527D0A" w14:textId="77777777" w:rsidR="00EB6564" w:rsidRDefault="00EB6564">
            <w:pPr>
              <w:pStyle w:val="05bDOTPOINTS"/>
            </w:pPr>
            <w:r>
              <w:t>•</w:t>
            </w:r>
            <w:r>
              <w:tab/>
              <w:t>Used selectively to determine potential impacts from emissions.</w:t>
            </w:r>
          </w:p>
        </w:tc>
        <w:tc>
          <w:tcPr>
            <w:tcW w:w="282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Mar>
              <w:top w:w="85" w:type="dxa"/>
              <w:left w:w="85" w:type="dxa"/>
              <w:bottom w:w="85" w:type="dxa"/>
              <w:right w:w="85" w:type="dxa"/>
            </w:tcMar>
          </w:tcPr>
          <w:p w14:paraId="5B93B642" w14:textId="77777777" w:rsidR="00EB6564" w:rsidRDefault="00EB6564">
            <w:pPr>
              <w:pStyle w:val="05bDOTPOINTS"/>
            </w:pPr>
            <w:r>
              <w:t>•</w:t>
            </w:r>
            <w:r>
              <w:tab/>
              <w:t>None known</w:t>
            </w:r>
          </w:p>
        </w:tc>
      </w:tr>
    </w:tbl>
    <w:p w14:paraId="11DD26B4" w14:textId="77777777" w:rsidR="00EB6564" w:rsidRDefault="00EB6564" w:rsidP="00EB6564">
      <w:pPr>
        <w:pStyle w:val="05BODYTEXT"/>
      </w:pPr>
    </w:p>
    <w:p w14:paraId="6C227EE9" w14:textId="34EFD5E1" w:rsidR="00993E87" w:rsidRDefault="00993E87">
      <w:pPr>
        <w:rPr>
          <w:rFonts w:ascii="Calibri" w:hAnsi="Calibri" w:cs="Calibri"/>
          <w:color w:val="000000"/>
          <w:sz w:val="14"/>
          <w:szCs w:val="14"/>
          <w:lang w:val="en-US"/>
        </w:rPr>
      </w:pPr>
      <w:r>
        <w:br w:type="page"/>
      </w:r>
    </w:p>
    <w:p w14:paraId="026BA157" w14:textId="77777777" w:rsidR="00EB6564" w:rsidRPr="00430022" w:rsidRDefault="00EB6564" w:rsidP="00430022">
      <w:pPr>
        <w:pStyle w:val="Heading1"/>
      </w:pPr>
      <w:bookmarkStart w:id="74" w:name="_Toc58254428"/>
      <w:r w:rsidRPr="00430022">
        <w:lastRenderedPageBreak/>
        <w:t>Appendix 7: Jurisdictional reports on the implementation and effectiveness of the Used Packaging Materials National Environment Protection Measure</w:t>
      </w:r>
      <w:bookmarkEnd w:id="74"/>
      <w:r w:rsidRPr="00430022">
        <w:t xml:space="preserve"> </w:t>
      </w:r>
    </w:p>
    <w:p w14:paraId="76194145" w14:textId="77777777" w:rsidR="00EB6564" w:rsidRPr="00CB0DA6" w:rsidRDefault="00EB6564" w:rsidP="00CB0DA6">
      <w:pPr>
        <w:pStyle w:val="Heading2"/>
      </w:pPr>
      <w:bookmarkStart w:id="75" w:name="_Toc58254429"/>
      <w:r w:rsidRPr="00CB0DA6">
        <w:t>Commonwealth</w:t>
      </w:r>
      <w:bookmarkEnd w:id="75"/>
    </w:p>
    <w:p w14:paraId="41E9FCE3" w14:textId="77777777" w:rsidR="00EB6564" w:rsidRDefault="00EB6564" w:rsidP="00EB6564">
      <w:pPr>
        <w:pStyle w:val="05BODYTEXT"/>
        <w:rPr>
          <w:rStyle w:val="ITALIC"/>
        </w:rPr>
      </w:pPr>
      <w:r>
        <w:rPr>
          <w:rStyle w:val="ITALIC"/>
        </w:rPr>
        <w:t xml:space="preserve">Report to the NEPC on the implementation of the National Environment Protection (Used Packaging Materials) Measure for the Commonwealth by the Hon </w:t>
      </w:r>
      <w:proofErr w:type="spellStart"/>
      <w:r>
        <w:rPr>
          <w:rStyle w:val="ITALIC"/>
        </w:rPr>
        <w:t>Sussan</w:t>
      </w:r>
      <w:proofErr w:type="spellEnd"/>
      <w:r>
        <w:rPr>
          <w:rStyle w:val="ITALIC"/>
        </w:rPr>
        <w:t xml:space="preserve"> Ley MP, Minister for the Environment, for the reporting year ended 30 June 2019.</w:t>
      </w:r>
    </w:p>
    <w:p w14:paraId="489774F2" w14:textId="77777777" w:rsidR="00EB6564" w:rsidRDefault="00EB6564" w:rsidP="00EB6564">
      <w:pPr>
        <w:pStyle w:val="02HEADING2"/>
      </w:pPr>
      <w:r>
        <w:t>Part 1—Implementation of the NEPM and any significant issues</w:t>
      </w:r>
    </w:p>
    <w:p w14:paraId="756E31A4" w14:textId="77777777" w:rsidR="00EB6564" w:rsidRDefault="00EB6564" w:rsidP="00EB6564">
      <w:pPr>
        <w:pStyle w:val="05bDOTPOINTS"/>
      </w:pPr>
      <w:r>
        <w:t>•</w:t>
      </w:r>
      <w:r>
        <w:tab/>
        <w:t xml:space="preserve">The Used Packaging Materials NEPM is implemented and enforced by participating jurisdictions through necessary laws and other administrative arrangements. It requires participating jurisdictions to establish a statutory basis for ensuring that signatories to the Australian Packaging Covenant (the Covenant) are not competitively disadvantaged in the </w:t>
      </w:r>
      <w:proofErr w:type="gramStart"/>
      <w:r>
        <w:t>market place</w:t>
      </w:r>
      <w:proofErr w:type="gramEnd"/>
      <w:r>
        <w:t xml:space="preserve"> by fulfilling their commitments under the Covenant. </w:t>
      </w:r>
    </w:p>
    <w:p w14:paraId="1F735698" w14:textId="77777777" w:rsidR="00EB6564" w:rsidRDefault="00EB6564" w:rsidP="00EB6564">
      <w:pPr>
        <w:pStyle w:val="05bDOTPOINTS"/>
      </w:pPr>
      <w:r>
        <w:t>•</w:t>
      </w:r>
      <w:r>
        <w:tab/>
        <w:t xml:space="preserve">The Covenant is an agreement between government and industry in the packaging supply chain that aims to change the culture of business to design more sustainable packaging and increase recycling rates. The Australian Packaging Covenant Organisation (APCO) is the industry body responsible for managing signatories to the Covenant and supporting industry action against the goals of the Covenant. </w:t>
      </w:r>
    </w:p>
    <w:p w14:paraId="26CDBBFE" w14:textId="77777777" w:rsidR="00EB6564" w:rsidRDefault="00EB6564" w:rsidP="00EB6564">
      <w:pPr>
        <w:pStyle w:val="05bDOTPOINTS"/>
      </w:pPr>
      <w:r>
        <w:t>•</w:t>
      </w:r>
      <w:r>
        <w:tab/>
        <w:t xml:space="preserve">The majority of packaging brand owners in Australia fall within one or more state and territory jurisdiction. If they are not exempt from the NEPM and Covenant, brand owners must become Covenant signatories, or become subject to NEPM requirements. Each state implements the NEPM through its own regulations. </w:t>
      </w:r>
    </w:p>
    <w:p w14:paraId="3DB1D0A5" w14:textId="77777777" w:rsidR="00EB6564" w:rsidRDefault="00EB6564" w:rsidP="00EB6564">
      <w:pPr>
        <w:pStyle w:val="05bDOTPOINTS"/>
      </w:pPr>
      <w:r>
        <w:t>•</w:t>
      </w:r>
      <w:r>
        <w:tab/>
        <w:t xml:space="preserve">The NEPM requires participating state and territory governments to report annually on brand owners that are subject to NEPM requirements, survey packaged products to ascertain the effectiveness of the </w:t>
      </w:r>
      <w:proofErr w:type="gramStart"/>
      <w:r>
        <w:t>NEPM, and</w:t>
      </w:r>
      <w:proofErr w:type="gramEnd"/>
      <w:r>
        <w:t xml:space="preserve"> report local government collection and participation data for kerbside or other municipal material recovery systems. </w:t>
      </w:r>
    </w:p>
    <w:p w14:paraId="699E2DD2" w14:textId="77777777" w:rsidR="00EB6564" w:rsidRDefault="00EB6564" w:rsidP="00EB6564">
      <w:pPr>
        <w:pStyle w:val="05bDOTPOINTS"/>
      </w:pPr>
      <w:r>
        <w:t>•</w:t>
      </w:r>
      <w:r>
        <w:tab/>
        <w:t xml:space="preserve">The Commonwealth NEPM applies to packaging brand owner companies with over 50 per cent Commonwealth ownership, and to the Commonwealth’s territories. Australia Post is the only Commonwealth brand owner under the definition of the NEPM, and Christmas and Cocos Keeling Islands are the only Commonwealth territories where the NEPM could be applied. </w:t>
      </w:r>
    </w:p>
    <w:p w14:paraId="7450AFFF" w14:textId="77777777" w:rsidR="00EB6564" w:rsidRDefault="00EB6564" w:rsidP="00EB6564">
      <w:pPr>
        <w:pStyle w:val="05bDOTPOINTS"/>
      </w:pPr>
      <w:r>
        <w:t>•</w:t>
      </w:r>
      <w:r>
        <w:tab/>
        <w:t xml:space="preserve">The Australian Government and Australia Post are signatories to the Covenant, and therefore are not subject to the requirements of the NEPM. The Australian Government encourages all Commonwealth agencies, including Australia Post, to undertake Covenant activities. </w:t>
      </w:r>
    </w:p>
    <w:p w14:paraId="567CBA41" w14:textId="77777777" w:rsidR="00EB6564" w:rsidRDefault="00EB6564" w:rsidP="00EB6564">
      <w:pPr>
        <w:pStyle w:val="05bDOTPOINTS"/>
      </w:pPr>
      <w:r>
        <w:t>•</w:t>
      </w:r>
      <w:r>
        <w:tab/>
        <w:t xml:space="preserve">The NEPM requires the Commonwealth to provide information annually to NEPC on the overall national performance of the Covenant. In accordance with Section 19 of the NEPM, the Commonwealth is to be provided information in relation to: </w:t>
      </w:r>
    </w:p>
    <w:p w14:paraId="0A0229C1" w14:textId="77777777" w:rsidR="00EB6564" w:rsidRDefault="00EB6564" w:rsidP="00EB6564">
      <w:pPr>
        <w:pStyle w:val="05bDOTPOINTS2ndlevel"/>
      </w:pPr>
      <w:r>
        <w:t>–</w:t>
      </w:r>
      <w:r>
        <w:tab/>
        <w:t xml:space="preserve">membership of the Covenant expressed as both the number of signatories and the proportion of consumer packaging used in Australia represented by those signatories </w:t>
      </w:r>
    </w:p>
    <w:p w14:paraId="1008984C" w14:textId="77777777" w:rsidR="00EB6564" w:rsidRDefault="00EB6564" w:rsidP="00EB6564">
      <w:pPr>
        <w:pStyle w:val="05bDOTPOINTS2ndlevel"/>
      </w:pPr>
      <w:r>
        <w:t>–</w:t>
      </w:r>
      <w:r>
        <w:tab/>
        <w:t xml:space="preserve">the number of action plans lodged with APCO </w:t>
      </w:r>
    </w:p>
    <w:p w14:paraId="34C76484" w14:textId="77777777" w:rsidR="00EB6564" w:rsidRDefault="00EB6564" w:rsidP="00EB6564">
      <w:pPr>
        <w:pStyle w:val="05bDOTPOINTS2ndlevel"/>
      </w:pPr>
      <w:r>
        <w:t>–</w:t>
      </w:r>
      <w:r>
        <w:tab/>
        <w:t xml:space="preserve">recovery and utilisation rates reported by Covenant signatories in accordance with their action plans under the Covenant, with reference to the key performance indicators and targets specified in the Covenant, and </w:t>
      </w:r>
    </w:p>
    <w:p w14:paraId="6067EBAD" w14:textId="77777777" w:rsidR="00EB6564" w:rsidRDefault="00EB6564" w:rsidP="00EB6564">
      <w:pPr>
        <w:pStyle w:val="05bDOTPOINTS2ndlevel"/>
      </w:pPr>
      <w:r>
        <w:t>–</w:t>
      </w:r>
      <w:r>
        <w:tab/>
        <w:t>a statement of interpretation of the information.</w:t>
      </w:r>
    </w:p>
    <w:p w14:paraId="0DC92FE1" w14:textId="77777777" w:rsidR="00EB6564" w:rsidRDefault="00EB6564" w:rsidP="00EB6564">
      <w:pPr>
        <w:pStyle w:val="02HEADING2"/>
      </w:pPr>
      <w:r>
        <w:t>Part 2—Assessment of NEPM effectiveness</w:t>
      </w:r>
    </w:p>
    <w:p w14:paraId="7A3E9105" w14:textId="77777777" w:rsidR="00EB6564" w:rsidRDefault="00EB6564" w:rsidP="00EB6564">
      <w:pPr>
        <w:pStyle w:val="05BODYTEXT"/>
      </w:pPr>
      <w:r>
        <w:t xml:space="preserve">At the end of June 2019, there were 1,467 Covenant signatories, of which 1,454 (99.1 per cent) were compliant. Non-compliant signatories are removed from the register of Covenant signatories and referred to the relevant state or territory government for follow up under the NEPM in that jurisdiction. </w:t>
      </w:r>
    </w:p>
    <w:p w14:paraId="512713B0" w14:textId="77777777" w:rsidR="00EB6564" w:rsidRDefault="00EB6564" w:rsidP="00EB6564">
      <w:pPr>
        <w:pStyle w:val="05BODYTEXT"/>
      </w:pPr>
      <w:r>
        <w:t xml:space="preserve">To comply with the Covenant, brand owner signatories are required to take the following actions: </w:t>
      </w:r>
    </w:p>
    <w:p w14:paraId="632B2D70" w14:textId="77777777" w:rsidR="00EB6564" w:rsidRDefault="00EB6564" w:rsidP="00EB6564">
      <w:pPr>
        <w:pStyle w:val="05bDOTPOINTS"/>
      </w:pPr>
      <w:r>
        <w:t>•</w:t>
      </w:r>
      <w:r>
        <w:tab/>
        <w:t>within three months of becoming a Signatory, submit an action plan that sets out what the Signatory proposes to do to contribute to the Covenant’s aim and meets the obligations published by APCO</w:t>
      </w:r>
    </w:p>
    <w:p w14:paraId="0A7B0E1D" w14:textId="77777777" w:rsidR="00EB6564" w:rsidRDefault="00EB6564" w:rsidP="00EB6564">
      <w:pPr>
        <w:pStyle w:val="05bDOTPOINTS"/>
      </w:pPr>
      <w:r>
        <w:t>•</w:t>
      </w:r>
      <w:r>
        <w:tab/>
        <w:t xml:space="preserve">by 31 March each year, commencing in the financial year following the year in which a company becomes a Signatory, submit an annual report that outlines performance against all of the action plan commitments and meets the reporting obligations as published by APCO </w:t>
      </w:r>
    </w:p>
    <w:p w14:paraId="2DD91BA5" w14:textId="77777777" w:rsidR="00EB6564" w:rsidRDefault="00EB6564" w:rsidP="00EB6564">
      <w:pPr>
        <w:pStyle w:val="05bDOTPOINTS"/>
      </w:pPr>
      <w:r>
        <w:lastRenderedPageBreak/>
        <w:t>•</w:t>
      </w:r>
      <w:r>
        <w:tab/>
        <w:t xml:space="preserve">publish the action plan and annual reports on its website in a prominent and readily identifiable way </w:t>
      </w:r>
    </w:p>
    <w:p w14:paraId="7D0649C0" w14:textId="77777777" w:rsidR="00EB6564" w:rsidRDefault="00EB6564" w:rsidP="00EB6564">
      <w:pPr>
        <w:pStyle w:val="05bDOTPOINTS"/>
      </w:pPr>
      <w:r>
        <w:t>•</w:t>
      </w:r>
      <w:r>
        <w:tab/>
        <w:t xml:space="preserve">make annual financial contributions in the form of membership fees payable to APCO </w:t>
      </w:r>
    </w:p>
    <w:p w14:paraId="75484F85" w14:textId="77777777" w:rsidR="00EB6564" w:rsidRDefault="00EB6564" w:rsidP="00EB6564">
      <w:pPr>
        <w:pStyle w:val="05bDOTPOINTS"/>
      </w:pPr>
      <w:r>
        <w:t>•</w:t>
      </w:r>
      <w:r>
        <w:tab/>
        <w:t xml:space="preserve">implement policies or procedures to buy products made from recycled materials </w:t>
      </w:r>
    </w:p>
    <w:p w14:paraId="721F9C6C" w14:textId="77777777" w:rsidR="00EB6564" w:rsidRDefault="00EB6564" w:rsidP="00EB6564">
      <w:pPr>
        <w:pStyle w:val="05bDOTPOINTS"/>
      </w:pPr>
      <w:r>
        <w:t>•</w:t>
      </w:r>
      <w:r>
        <w:tab/>
        <w:t xml:space="preserve">establish collection and recycling programs for used packaging materials generated on-site </w:t>
      </w:r>
    </w:p>
    <w:p w14:paraId="41C0C5DC" w14:textId="77777777" w:rsidR="00EB6564" w:rsidRDefault="00EB6564" w:rsidP="00EB6564">
      <w:pPr>
        <w:pStyle w:val="05bDOTPOINTS"/>
      </w:pPr>
      <w:r>
        <w:t>•</w:t>
      </w:r>
      <w:r>
        <w:tab/>
        <w:t xml:space="preserve">take action, where appropriate, to reduce litter </w:t>
      </w:r>
    </w:p>
    <w:p w14:paraId="1B734EAF" w14:textId="77777777" w:rsidR="00EB6564" w:rsidRDefault="00EB6564" w:rsidP="00EB6564">
      <w:pPr>
        <w:pStyle w:val="05bDOTPOINTS"/>
      </w:pPr>
      <w:r>
        <w:t>•</w:t>
      </w:r>
      <w:r>
        <w:tab/>
        <w:t xml:space="preserve">allow independent audits of annual reports and the implementation of action plans, including allowing access to relevant supporting documentation demonstrating application of the Sustainable Packaging Guidelines, or an alternative to the Guidelines, and </w:t>
      </w:r>
    </w:p>
    <w:p w14:paraId="319E472C" w14:textId="77777777" w:rsidR="00EB6564" w:rsidRDefault="00EB6564" w:rsidP="00EB6564">
      <w:pPr>
        <w:pStyle w:val="05bDOTPOINTS"/>
      </w:pPr>
      <w:r>
        <w:t>•</w:t>
      </w:r>
      <w:r>
        <w:tab/>
        <w:t xml:space="preserve">assist APCO to respond to complaints from the public about the design and use of packaging materials. </w:t>
      </w:r>
    </w:p>
    <w:p w14:paraId="201D3449" w14:textId="77777777" w:rsidR="00EB6564" w:rsidRDefault="00EB6564" w:rsidP="00EB6564">
      <w:pPr>
        <w:pStyle w:val="05BODYTEXT"/>
      </w:pPr>
      <w:r>
        <w:t xml:space="preserve">If a signatory to the Covenant does not meet one or more of the above obligations, the non-compliant signatory is removed from the Register of Signatories and APCO notifies the relevant state or territory government that the business in no longer a Signatory. APCO deems a business referred once the state or territory government has been notified. </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EB6564" w14:paraId="5C318C9B"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B6B8B12" w14:textId="77777777" w:rsidR="00EB6564" w:rsidRDefault="00EB6564">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7C2EE03" w14:textId="77777777" w:rsidR="00EB6564" w:rsidRDefault="00EB6564">
            <w:pPr>
              <w:pStyle w:val="06bTABLEHEADERROW"/>
              <w:jc w:val="center"/>
            </w:pPr>
            <w:r>
              <w:t>Number of covenant signatories</w:t>
            </w:r>
          </w:p>
        </w:tc>
      </w:tr>
      <w:tr w:rsidR="00EB6564" w14:paraId="7E7AD73D"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3EBF3E4" w14:textId="77777777" w:rsidR="00EB6564" w:rsidRDefault="00EB6564">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F86D03" w14:textId="77777777" w:rsidR="00EB6564" w:rsidRDefault="00EB6564">
            <w:pPr>
              <w:pStyle w:val="06cTABLETEXT"/>
              <w:jc w:val="center"/>
            </w:pPr>
            <w:r>
              <w:t>886</w:t>
            </w:r>
          </w:p>
        </w:tc>
      </w:tr>
      <w:tr w:rsidR="00EB6564" w14:paraId="76F8013F"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A0467B" w14:textId="77777777" w:rsidR="00EB6564" w:rsidRDefault="00EB6564">
            <w:pPr>
              <w:pStyle w:val="06cTABLETEXT"/>
              <w:jc w:val="center"/>
            </w:pPr>
            <w:r>
              <w:t>2018–19</w:t>
            </w:r>
          </w:p>
        </w:tc>
        <w:tc>
          <w:tcPr>
            <w:tcW w:w="370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4BCB853" w14:textId="77777777" w:rsidR="00EB6564" w:rsidRDefault="00EB6564">
            <w:pPr>
              <w:pStyle w:val="06cTABLETEXT"/>
              <w:jc w:val="center"/>
            </w:pPr>
            <w:r>
              <w:t>1467</w:t>
            </w:r>
          </w:p>
        </w:tc>
      </w:tr>
    </w:tbl>
    <w:p w14:paraId="2354B776" w14:textId="77777777" w:rsidR="00EB6564" w:rsidRDefault="00EB6564" w:rsidP="00EB6564">
      <w:pPr>
        <w:pStyle w:val="05BODYTEXT"/>
      </w:pPr>
    </w:p>
    <w:p w14:paraId="040F012A" w14:textId="77777777" w:rsidR="00EB6564" w:rsidRDefault="00EB6564" w:rsidP="00EB6564">
      <w:pPr>
        <w:pStyle w:val="05BODYTEXT"/>
        <w:spacing w:before="227"/>
      </w:pPr>
      <w:r>
        <w:t>The number of signatories increased in 2018-19 from the previous reporting year. This increase is a result of the brand owner audit undertaken by APCO in 2018 to identify non-signatory organisations who are not currently meeting their obligations under the NEPM. In total, 558 businesses became signatories to the Covenant in 2018-19 through the brand owner audit process.</w:t>
      </w:r>
    </w:p>
    <w:p w14:paraId="4EAC4CD2" w14:textId="77777777" w:rsidR="00EB6564" w:rsidRDefault="00EB6564" w:rsidP="00EB6564">
      <w:pPr>
        <w:pStyle w:val="03HEADING3"/>
      </w:pPr>
      <w:r>
        <w:t>Complaints, Investigations and Prosecutions</w:t>
      </w:r>
    </w:p>
    <w:p w14:paraId="430C06B4" w14:textId="77777777" w:rsidR="00EB6564" w:rsidRDefault="00EB6564" w:rsidP="00EB6564">
      <w:pPr>
        <w:pStyle w:val="05BODYTEXT"/>
      </w:pPr>
      <w:r>
        <w:t>No complaints regarding brand owners or Covenant signatories were received in the reporting period, and no investigations or prosecutions were necessary.</w:t>
      </w:r>
    </w:p>
    <w:p w14:paraId="62D78DEB" w14:textId="77777777" w:rsidR="00EB6564" w:rsidRPr="009408AB" w:rsidRDefault="00EB6564" w:rsidP="00CB0DA6">
      <w:pPr>
        <w:pStyle w:val="Heading2"/>
      </w:pPr>
      <w:bookmarkStart w:id="76" w:name="_Toc58254430"/>
      <w:r w:rsidRPr="009408AB">
        <w:t>New South Wales</w:t>
      </w:r>
      <w:bookmarkEnd w:id="76"/>
    </w:p>
    <w:p w14:paraId="026C6CC2" w14:textId="77777777" w:rsidR="00EB6564" w:rsidRDefault="00EB6564" w:rsidP="00EB6564">
      <w:pPr>
        <w:pStyle w:val="05BODYTEXT"/>
        <w:rPr>
          <w:rStyle w:val="ITALIC"/>
        </w:rPr>
      </w:pPr>
      <w:r>
        <w:rPr>
          <w:rStyle w:val="ITALIC"/>
        </w:rPr>
        <w:t>Report to the NEPC on the implementation of the National Environment Protection (Used Packaging Materials) Measure for New South Wales by the Hon. Matt Kean MP, Minister for Energy and Environment, for the reporting year ended 30 June 2019.</w:t>
      </w:r>
    </w:p>
    <w:p w14:paraId="1494EFAC" w14:textId="77777777" w:rsidR="00EB6564" w:rsidRDefault="00EB6564" w:rsidP="00EB6564">
      <w:pPr>
        <w:pStyle w:val="02HEADING2"/>
      </w:pPr>
      <w:r>
        <w:t>Part 1—Implementation of the NEPM and any significant issues</w:t>
      </w:r>
    </w:p>
    <w:p w14:paraId="30BB5EDF" w14:textId="77777777" w:rsidR="00EB6564" w:rsidRDefault="00EB6564" w:rsidP="00EB6564">
      <w:pPr>
        <w:pStyle w:val="05BODYTEXT"/>
      </w:pPr>
      <w:r>
        <w:t xml:space="preserve">Under the Waste Less, Recycle More initiative, the NSW Government has continued to commit to reducing packaging waste in the state through a range of funding priorities, including waste and recycling infrastructure, business recycling and littering. Up to June 2019 Waste Less, Recycle More has awarded $58.7 million towards the construction of 18 new major resource recovery facilities and $22.8 million towards the expansion and enhancement of 47 existing resource recovery facilities, funded free bin trim waste assessments for more than 28,000 </w:t>
      </w:r>
      <w:proofErr w:type="gramStart"/>
      <w:r>
        <w:t>small</w:t>
      </w:r>
      <w:proofErr w:type="gramEnd"/>
      <w:r>
        <w:t xml:space="preserve"> to medium businesses, and supported 223 litter prevention projects with $9.3 million in funding.</w:t>
      </w:r>
    </w:p>
    <w:p w14:paraId="1F336323" w14:textId="77777777" w:rsidR="00EB6564" w:rsidRDefault="00EB6564" w:rsidP="00EB6564">
      <w:pPr>
        <w:pStyle w:val="05BODYTEXT"/>
      </w:pPr>
      <w:r>
        <w:t xml:space="preserve">The NSW Government and Environment Protection Authority (EPA) are undertaking a number of programs and initiatives to drive a reduction in litter including: </w:t>
      </w:r>
    </w:p>
    <w:p w14:paraId="116EEC31" w14:textId="77777777" w:rsidR="00EB6564" w:rsidRDefault="00EB6564" w:rsidP="00EB6564">
      <w:pPr>
        <w:pStyle w:val="05bDOTPOINTS"/>
      </w:pPr>
      <w:r>
        <w:t>•</w:t>
      </w:r>
      <w:r>
        <w:tab/>
        <w:t xml:space="preserve">Working with the Australian Packaging Covenant Organisation to reduce the impacts of packaging waste through involvement in four key working groups focussed on projects under the themes: Data Analysis and Strategic Planning; Packaging Design, Consumer Education, Industry Engagement, Collection and Processing, and Procurement. </w:t>
      </w:r>
    </w:p>
    <w:p w14:paraId="6767C94C" w14:textId="77777777" w:rsidR="00EB6564" w:rsidRDefault="00EB6564" w:rsidP="00EB6564">
      <w:pPr>
        <w:pStyle w:val="05bDOTPOINTS"/>
      </w:pPr>
      <w:r>
        <w:t>•</w:t>
      </w:r>
      <w:r>
        <w:tab/>
        <w:t>The Report to EPA littering from vehicle program, promoted through the ‘Don’t be a Tosser’ campaign, now has over 40,000 registered community reporters and has resulted in over 35,000 litter fines being issued since it was introduced in February 2015.</w:t>
      </w:r>
    </w:p>
    <w:p w14:paraId="13A25CFA" w14:textId="77777777" w:rsidR="00EB6564" w:rsidRDefault="00EB6564" w:rsidP="00EB6564">
      <w:pPr>
        <w:pStyle w:val="05bDOTPOINTS"/>
      </w:pPr>
      <w:r>
        <w:t>•</w:t>
      </w:r>
      <w:r>
        <w:tab/>
        <w:t xml:space="preserve">NSW has reduced eligible drink container litter volume by 57% since November 2017, primarily through the Return and Earn scheme. The community has embraced Return and Earn, with over 2 billion drink containers returned across the state since the scheme commenced on 1 December 2017, of which 1.5 billion were in the 2018-19 financial year. </w:t>
      </w:r>
    </w:p>
    <w:p w14:paraId="56D599AB" w14:textId="77777777" w:rsidR="00EB6564" w:rsidRDefault="00EB6564" w:rsidP="00EB6564">
      <w:pPr>
        <w:pStyle w:val="05bDOTPOINTS"/>
      </w:pPr>
      <w:r>
        <w:t>•</w:t>
      </w:r>
      <w:r>
        <w:tab/>
        <w:t xml:space="preserve">The NSW Litter Prevention Program targets all littered items in NSW. The program includes the Don’t’ be A Tosser education campaign and the council and community grant program that has provided $9.3 million for over 220 projects. It has delivered 24% of the 37% reduction. </w:t>
      </w:r>
    </w:p>
    <w:p w14:paraId="5B750D76" w14:textId="77777777" w:rsidR="00EB6564" w:rsidRDefault="00EB6564" w:rsidP="00EB6564">
      <w:pPr>
        <w:pStyle w:val="05BODYTEXT"/>
      </w:pPr>
      <w:r>
        <w:t xml:space="preserve">In addition to litter initiatives, in February 2019 the NSW Government published the Circular Economy Policy Statement. </w:t>
      </w:r>
    </w:p>
    <w:p w14:paraId="349247A0" w14:textId="77777777" w:rsidR="00EB6564" w:rsidRDefault="00EB6564" w:rsidP="00EB6564">
      <w:pPr>
        <w:pStyle w:val="02HEADING2"/>
      </w:pPr>
      <w:r>
        <w:lastRenderedPageBreak/>
        <w:t>Part 2—Assessment of NEPM effectiveness</w:t>
      </w:r>
    </w:p>
    <w:p w14:paraId="6AD2A435" w14:textId="77777777" w:rsidR="00EB6564" w:rsidRDefault="00EB6564" w:rsidP="00EB6564">
      <w:pPr>
        <w:pStyle w:val="05BODYTEXT"/>
      </w:pPr>
      <w:r>
        <w:t>NSW has worked closely with the Australian Packaging Covenant Organisation (APCO) to ensure business compliance with the NEPM:</w:t>
      </w:r>
    </w:p>
    <w:p w14:paraId="2DF2725A" w14:textId="77777777" w:rsidR="00EB6564" w:rsidRDefault="00EB6564" w:rsidP="00EB6564">
      <w:pPr>
        <w:pStyle w:val="05bDOTPOINTS"/>
      </w:pPr>
      <w:r>
        <w:t>•</w:t>
      </w:r>
      <w:r>
        <w:tab/>
        <w:t>supporting APCO’s June 2018 brand audit</w:t>
      </w:r>
    </w:p>
    <w:p w14:paraId="4919AC27" w14:textId="77777777" w:rsidR="00EB6564" w:rsidRDefault="00EB6564" w:rsidP="00EB6564">
      <w:pPr>
        <w:pStyle w:val="05bDOTPOINTS"/>
      </w:pPr>
      <w:r>
        <w:t>•</w:t>
      </w:r>
      <w:r>
        <w:tab/>
        <w:t xml:space="preserve">responding to enquiries from businesses that are not members of APCO or abiding by the relevant state law on packaging (Part 8 of the Protection of the </w:t>
      </w:r>
      <w:r>
        <w:rPr>
          <w:rStyle w:val="ITALIC"/>
        </w:rPr>
        <w:t>Environment Operations (Waste) Regulation 2014</w:t>
      </w:r>
      <w:r>
        <w:t xml:space="preserve">). </w:t>
      </w:r>
    </w:p>
    <w:p w14:paraId="78EE3C9D" w14:textId="77777777" w:rsidR="00EB6564" w:rsidRDefault="00EB6564" w:rsidP="00EB6564">
      <w:pPr>
        <w:pStyle w:val="05BODYTEXT"/>
      </w:pPr>
      <w:r>
        <w:t xml:space="preserve">This action led to new signatories. NSW has also communicated with a number of businesses that have sought clarification on their regulatory requirements. </w:t>
      </w:r>
    </w:p>
    <w:p w14:paraId="7DEECF32" w14:textId="77777777" w:rsidR="00EB6564" w:rsidRDefault="00EB6564" w:rsidP="00EB6564">
      <w:pPr>
        <w:pStyle w:val="06TABLEHEADING"/>
      </w:pPr>
      <w:r>
        <w:t>Table 1 - Number of covenant signatories by reporting year</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EB6564" w14:paraId="2C334BD1"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D8FA90C" w14:textId="77777777" w:rsidR="00EB6564" w:rsidRDefault="00EB6564">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B55232E" w14:textId="77777777" w:rsidR="00EB6564" w:rsidRDefault="00EB6564">
            <w:pPr>
              <w:pStyle w:val="06bTABLEHEADERROW"/>
              <w:jc w:val="center"/>
            </w:pPr>
            <w:r>
              <w:t>Number of covenant signatories</w:t>
            </w:r>
          </w:p>
        </w:tc>
      </w:tr>
      <w:tr w:rsidR="00EB6564" w14:paraId="39312E6A"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6F05BEE" w14:textId="77777777" w:rsidR="00EB6564" w:rsidRDefault="00EB6564">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E038C7C" w14:textId="77777777" w:rsidR="00EB6564" w:rsidRDefault="00EB6564">
            <w:pPr>
              <w:pStyle w:val="06cTABLETEXT"/>
              <w:jc w:val="center"/>
            </w:pPr>
            <w:r>
              <w:t>380</w:t>
            </w:r>
          </w:p>
        </w:tc>
      </w:tr>
      <w:tr w:rsidR="00EB6564" w14:paraId="6E76FCFB"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CE6948" w14:textId="77777777" w:rsidR="00EB6564" w:rsidRDefault="00EB6564">
            <w:pPr>
              <w:pStyle w:val="06cTABLETEXT"/>
              <w:jc w:val="center"/>
            </w:pPr>
            <w:r>
              <w:t>2018-19</w:t>
            </w:r>
          </w:p>
        </w:tc>
        <w:tc>
          <w:tcPr>
            <w:tcW w:w="370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FA9C1A7" w14:textId="77777777" w:rsidR="00EB6564" w:rsidRDefault="00EB6564">
            <w:pPr>
              <w:pStyle w:val="06cTABLETEXT"/>
              <w:jc w:val="center"/>
            </w:pPr>
            <w:r>
              <w:t>607</w:t>
            </w:r>
          </w:p>
        </w:tc>
      </w:tr>
    </w:tbl>
    <w:p w14:paraId="147BACCA" w14:textId="77777777" w:rsidR="00EB6564" w:rsidRDefault="00EB6564" w:rsidP="00EB6564">
      <w:pPr>
        <w:pStyle w:val="03HEADING3"/>
      </w:pPr>
      <w:r>
        <w:t>Recovery data</w:t>
      </w:r>
    </w:p>
    <w:p w14:paraId="67A06D97" w14:textId="77777777" w:rsidR="00EB6564" w:rsidRDefault="00EB6564" w:rsidP="00EB6564">
      <w:pPr>
        <w:pStyle w:val="05BODYTEXT"/>
      </w:pPr>
      <w:r>
        <w:t>Nil (no brand owner was subject to record-keeping obligations under the NSW Waste Regulation).</w:t>
      </w:r>
    </w:p>
    <w:p w14:paraId="10991A24" w14:textId="77777777" w:rsidR="00EB6564" w:rsidRDefault="00EB6564" w:rsidP="00EB6564">
      <w:pPr>
        <w:pStyle w:val="03HEADING3"/>
      </w:pPr>
      <w:r>
        <w:t>Supporting data</w:t>
      </w:r>
    </w:p>
    <w:p w14:paraId="5C8C9A36" w14:textId="77777777" w:rsidR="00EB6564" w:rsidRDefault="00EB6564" w:rsidP="00EB6564">
      <w:pPr>
        <w:pStyle w:val="05BODYTEXT"/>
      </w:pPr>
      <w:r>
        <w:t>APCO defines compliance obligations as:</w:t>
      </w:r>
    </w:p>
    <w:p w14:paraId="1905003B" w14:textId="77777777" w:rsidR="00EB6564" w:rsidRDefault="00EB6564" w:rsidP="00EB6564">
      <w:pPr>
        <w:pStyle w:val="05bDOTPOINTS"/>
      </w:pPr>
      <w:r>
        <w:t>•</w:t>
      </w:r>
      <w:r>
        <w:tab/>
        <w:t>submission of an annual report</w:t>
      </w:r>
    </w:p>
    <w:p w14:paraId="6FE69F83" w14:textId="77777777" w:rsidR="00EB6564" w:rsidRDefault="00EB6564" w:rsidP="00EB6564">
      <w:pPr>
        <w:pStyle w:val="05bDOTPOINTS"/>
      </w:pPr>
      <w:r>
        <w:t>•</w:t>
      </w:r>
      <w:r>
        <w:tab/>
        <w:t>having a current action plan in place, and</w:t>
      </w:r>
    </w:p>
    <w:p w14:paraId="7D825AC0" w14:textId="77777777" w:rsidR="00EB6564" w:rsidRDefault="00EB6564" w:rsidP="00EB6564">
      <w:pPr>
        <w:pStyle w:val="05bDOTPOINTS"/>
      </w:pPr>
      <w:r>
        <w:t>•</w:t>
      </w:r>
      <w:r>
        <w:tab/>
        <w:t xml:space="preserve">payment of an annual membership fee. </w:t>
      </w:r>
    </w:p>
    <w:p w14:paraId="0CE062D3" w14:textId="77777777" w:rsidR="00EB6564" w:rsidRDefault="00EB6564" w:rsidP="00EB6564">
      <w:pPr>
        <w:pStyle w:val="05BODYTEXT"/>
      </w:pPr>
      <w:r>
        <w:t xml:space="preserve">In the case where a signatory does not meet one or more of the above obligations, the non-compliant signatory is removed from the register of signatories that are compliant with the requirements of the covenant and is referred to the relevant jurisdiction. </w:t>
      </w:r>
    </w:p>
    <w:p w14:paraId="173C01DC" w14:textId="77777777" w:rsidR="00EB6564" w:rsidRDefault="00EB6564" w:rsidP="00EB6564">
      <w:pPr>
        <w:pStyle w:val="05BODYTEXT"/>
      </w:pPr>
      <w:r>
        <w:t xml:space="preserve">During the 2017-18 financial year, 15 NSW businesses were referred to the NSW Government for noncompliance; one of those organisations re-signed with APCO during 2018-19. </w:t>
      </w:r>
    </w:p>
    <w:p w14:paraId="74201A27" w14:textId="77777777" w:rsidR="00EB6564" w:rsidRDefault="00EB6564" w:rsidP="00EB6564">
      <w:pPr>
        <w:pStyle w:val="05BODYTEXT"/>
      </w:pPr>
      <w:r>
        <w:t xml:space="preserve">A brand owner survey was conducted in June 2018, with 1,818 NSW companies approached by APCO. As a result of this survey, 722 businesses were referred to the NSW Government as they appeared not to be complying with the APCO obligations; this did not include the 14 referred during the 2017-18 financial year. </w:t>
      </w:r>
    </w:p>
    <w:p w14:paraId="0E984414" w14:textId="77777777" w:rsidR="00EB6564" w:rsidRDefault="00EB6564" w:rsidP="00EB6564">
      <w:pPr>
        <w:pStyle w:val="05BODYTEXT"/>
      </w:pPr>
      <w:r>
        <w:t>NSW is working with the Commonwealth, other jurisdictions and APCO to develop and implement a behaviour change program to encourage and promote organisations to become signatories prior to initiating regulatory enforcement actions.</w:t>
      </w:r>
    </w:p>
    <w:p w14:paraId="02787B20" w14:textId="77777777" w:rsidR="00EB6564" w:rsidRDefault="00EB6564" w:rsidP="00EB6564">
      <w:pPr>
        <w:pStyle w:val="03HEADING3"/>
      </w:pPr>
      <w:r>
        <w:t>Complaints, investigations and prosecutions</w:t>
      </w:r>
    </w:p>
    <w:p w14:paraId="63183584" w14:textId="77777777" w:rsidR="00EB6564" w:rsidRDefault="00EB6564" w:rsidP="00EB6564">
      <w:pPr>
        <w:pStyle w:val="05BODYTEXT"/>
      </w:pPr>
      <w:r>
        <w:t xml:space="preserve">No complaints in relation to specific businesses were received. No investigations or prosecutions were undertaken. </w:t>
      </w:r>
    </w:p>
    <w:p w14:paraId="32CA0051" w14:textId="77777777" w:rsidR="00EB6564" w:rsidRDefault="00EB6564" w:rsidP="00EB6564">
      <w:pPr>
        <w:pStyle w:val="03HEADING3"/>
      </w:pPr>
      <w:r>
        <w:t>Statement of interpretation of the information</w:t>
      </w:r>
    </w:p>
    <w:p w14:paraId="0A7AFB78" w14:textId="77777777" w:rsidR="00EB6564" w:rsidRDefault="00EB6564" w:rsidP="00EB6564">
      <w:pPr>
        <w:pStyle w:val="05BODYTEXT"/>
      </w:pPr>
      <w:r>
        <w:t xml:space="preserve">NSW has continued to focus on the reduction of packaging waste through Waste Less, Recycle More. It has also engaged with APCO and relevant businesses to meet the NEPM’s outcomes. </w:t>
      </w:r>
    </w:p>
    <w:p w14:paraId="2B0DEE7B" w14:textId="77777777" w:rsidR="00EB6564" w:rsidRDefault="00EB6564" w:rsidP="00EB6564">
      <w:pPr>
        <w:pStyle w:val="03HEADING3"/>
      </w:pPr>
      <w:r>
        <w:t xml:space="preserve">Local government data </w:t>
      </w:r>
    </w:p>
    <w:p w14:paraId="5082ADE3" w14:textId="62821750" w:rsidR="00EB6564" w:rsidRDefault="00EB6564" w:rsidP="00EB6564">
      <w:pPr>
        <w:pStyle w:val="05BODYTEXT"/>
      </w:pPr>
      <w:r>
        <w:t xml:space="preserve">Local government data is available on the NSW Environment Protection Authority’s website </w:t>
      </w:r>
      <w:hyperlink r:id="rId70" w:history="1">
        <w:r w:rsidRPr="00DE700E">
          <w:rPr>
            <w:rStyle w:val="Hyperlink"/>
            <w:color w:val="4472C4" w:themeColor="accent1"/>
            <w:u w:val="single"/>
          </w:rPr>
          <w:t>http://www.epa.nsw.gov.au/wastetools/surveys.htm</w:t>
        </w:r>
      </w:hyperlink>
      <w:r>
        <w:t xml:space="preserve">. </w:t>
      </w:r>
    </w:p>
    <w:p w14:paraId="26B6B9D5" w14:textId="77777777" w:rsidR="00EB6564" w:rsidRPr="009408AB" w:rsidRDefault="00EB6564" w:rsidP="00CB0DA6">
      <w:pPr>
        <w:pStyle w:val="Heading2"/>
      </w:pPr>
      <w:bookmarkStart w:id="77" w:name="_Toc58254431"/>
      <w:r w:rsidRPr="009408AB">
        <w:lastRenderedPageBreak/>
        <w:t>Victoria</w:t>
      </w:r>
      <w:bookmarkEnd w:id="77"/>
    </w:p>
    <w:p w14:paraId="4B03F80B" w14:textId="77777777" w:rsidR="00EB6564" w:rsidRDefault="00EB6564" w:rsidP="009408AB">
      <w:pPr>
        <w:pStyle w:val="05BODYTEXT"/>
        <w:keepNext/>
        <w:spacing w:line="240" w:lineRule="auto"/>
        <w:rPr>
          <w:rStyle w:val="ITALIC"/>
        </w:rPr>
      </w:pPr>
      <w:r>
        <w:rPr>
          <w:rStyle w:val="ITALIC"/>
        </w:rPr>
        <w:t xml:space="preserve">Report to the NEPC on the implementation of the National Environment Protection (Used Packaging Materials) Measure for Victoria by the Hon Lily </w:t>
      </w:r>
      <w:proofErr w:type="spellStart"/>
      <w:r>
        <w:rPr>
          <w:rStyle w:val="ITALIC"/>
        </w:rPr>
        <w:t>D’Ambrosio</w:t>
      </w:r>
      <w:proofErr w:type="spellEnd"/>
      <w:r>
        <w:rPr>
          <w:rStyle w:val="ITALIC"/>
        </w:rPr>
        <w:t>, Minister for Energy, Environment and Climate Change, for the reporting year ended 30 June 2019.</w:t>
      </w:r>
    </w:p>
    <w:p w14:paraId="724FABC3" w14:textId="77777777" w:rsidR="00EB6564" w:rsidRDefault="00EB6564" w:rsidP="009408AB">
      <w:pPr>
        <w:pStyle w:val="02HEADING2"/>
        <w:spacing w:line="240" w:lineRule="auto"/>
      </w:pPr>
      <w:r>
        <w:t>Part 1—Implementation of the NEPM and any significant issues</w:t>
      </w:r>
    </w:p>
    <w:p w14:paraId="757D5C03" w14:textId="77777777" w:rsidR="00EB6564" w:rsidRDefault="00EB6564" w:rsidP="009408AB">
      <w:pPr>
        <w:pStyle w:val="05bDOTPOINTS"/>
        <w:keepNext/>
        <w:spacing w:line="240" w:lineRule="auto"/>
      </w:pPr>
      <w:r>
        <w:t>•</w:t>
      </w:r>
      <w:r>
        <w:tab/>
        <w:t xml:space="preserve">The NEPM is implemented in Victoria is through the Waste Management Policy (Used Packaging Materials) (WMP). </w:t>
      </w:r>
    </w:p>
    <w:p w14:paraId="653FC8D0" w14:textId="77777777" w:rsidR="00EB6564" w:rsidRDefault="00EB6564" w:rsidP="009408AB">
      <w:pPr>
        <w:pStyle w:val="05bDOTPOINTS"/>
        <w:keepNext/>
        <w:spacing w:line="240" w:lineRule="auto"/>
      </w:pPr>
      <w:r>
        <w:t>•</w:t>
      </w:r>
      <w:r>
        <w:tab/>
        <w:t>The methodology for auditing brand owners under clause 16(4) of the NEPM has been agreed and adopted across all jurisdictions.</w:t>
      </w:r>
    </w:p>
    <w:p w14:paraId="5B07B8CA" w14:textId="77777777" w:rsidR="00EB6564" w:rsidRDefault="00EB6564" w:rsidP="00EB6564">
      <w:pPr>
        <w:pStyle w:val="02HEADING2"/>
      </w:pPr>
      <w:r>
        <w:t>Part 2—Assessment of NEPM effectiveness</w:t>
      </w:r>
    </w:p>
    <w:p w14:paraId="5249066E" w14:textId="77777777" w:rsidR="00EB6564" w:rsidRDefault="00EB6564" w:rsidP="00EB6564">
      <w:pPr>
        <w:pStyle w:val="05BODYTEXT"/>
      </w:pPr>
      <w:r>
        <w:t>The main purpose of the Used Packaging Materials NEPM is to establish a statutory basis for ensuring that brand owners that have signed up to the Australian Packaging Covenant are not competitively disadvantaged in fulfilling their commitments under the Covenant by non-signatories.</w:t>
      </w:r>
    </w:p>
    <w:p w14:paraId="56889D20" w14:textId="77777777" w:rsidR="00EB6564" w:rsidRDefault="00EB6564" w:rsidP="00EB6564">
      <w:pPr>
        <w:pStyle w:val="05BODYTEXT"/>
      </w:pPr>
      <w:r>
        <w:t>The Secretariat of the Covenant makes initial approaches to companies that are identified as brand owners (or potential brand owners) to encourage them to become signatories to the Covenant. This activity increased in this reporting year and explains the significant increase in the number of Covenant signatories in Victoria.</w:t>
      </w:r>
    </w:p>
    <w:p w14:paraId="5200B56E" w14:textId="77777777" w:rsidR="00EB6564" w:rsidRDefault="00EB6564" w:rsidP="00EB6564">
      <w:pPr>
        <w:pStyle w:val="05BODYTEXT"/>
      </w:pPr>
      <w:r>
        <w:t>The Secretariat then refers non-signatory brand owners and non-compliant signatory brand owners to jurisdictions. This is done in line with compliance procedures set out in Schedule 3 of the Covenant. Jurisdictions then write to, and speak with, representatives of the companies referred to them.</w:t>
      </w:r>
    </w:p>
    <w:p w14:paraId="003D30E1" w14:textId="77777777" w:rsidR="00EB6564" w:rsidRDefault="00EB6564" w:rsidP="00EB6564">
      <w:pPr>
        <w:pStyle w:val="05BODYTEXT"/>
      </w:pPr>
      <w:r>
        <w:t>Victoria, along with the Commonwealth and other jurisdictions have initiated a process to identify free riders and start them reporting on their obligations.</w:t>
      </w:r>
    </w:p>
    <w:p w14:paraId="4688DB24" w14:textId="77777777" w:rsidR="00EB6564" w:rsidRDefault="00EB6564" w:rsidP="00EB6564">
      <w:pPr>
        <w:pStyle w:val="05BODYTEXT"/>
      </w:pPr>
      <w:r>
        <w:t>As of 30 June 2019, there were 1462 signatories to the Covenant nationally. Victoria has 519 signatories, making 35% of all signatories.</w:t>
      </w:r>
    </w:p>
    <w:tbl>
      <w:tblPr>
        <w:tblW w:w="0" w:type="auto"/>
        <w:tblInd w:w="-5" w:type="dxa"/>
        <w:tblLayout w:type="fixed"/>
        <w:tblCellMar>
          <w:left w:w="0" w:type="dxa"/>
          <w:right w:w="0" w:type="dxa"/>
        </w:tblCellMar>
        <w:tblLook w:val="0000" w:firstRow="0" w:lastRow="0" w:firstColumn="0" w:lastColumn="0" w:noHBand="0" w:noVBand="0"/>
      </w:tblPr>
      <w:tblGrid>
        <w:gridCol w:w="3703"/>
        <w:gridCol w:w="3704"/>
      </w:tblGrid>
      <w:tr w:rsidR="00EB6564" w14:paraId="634D12A4" w14:textId="77777777">
        <w:trPr>
          <w:trHeight w:val="60"/>
          <w:tblHeader/>
        </w:trPr>
        <w:tc>
          <w:tcPr>
            <w:tcW w:w="370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B4BBEC9" w14:textId="77777777" w:rsidR="00EB6564" w:rsidRDefault="00EB6564">
            <w:pPr>
              <w:pStyle w:val="06bTABLEHEADERROW"/>
              <w:jc w:val="center"/>
            </w:pPr>
            <w:r>
              <w:t>Reporting Year</w:t>
            </w:r>
          </w:p>
        </w:tc>
        <w:tc>
          <w:tcPr>
            <w:tcW w:w="370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3E2EA8D" w14:textId="77777777" w:rsidR="00EB6564" w:rsidRDefault="00EB6564">
            <w:pPr>
              <w:pStyle w:val="06bTABLEHEADERROW"/>
              <w:jc w:val="center"/>
            </w:pPr>
            <w:r>
              <w:t>Number of covenant signatories</w:t>
            </w:r>
          </w:p>
        </w:tc>
      </w:tr>
      <w:tr w:rsidR="00EB6564" w14:paraId="64B35133"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ED0FB51" w14:textId="77777777" w:rsidR="00EB6564" w:rsidRDefault="00EB6564">
            <w:pPr>
              <w:pStyle w:val="06cTABLETEXT"/>
              <w:jc w:val="center"/>
            </w:pPr>
            <w:r>
              <w:t>2017–18</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460ED1" w14:textId="77777777" w:rsidR="00EB6564" w:rsidRDefault="00EB6564">
            <w:pPr>
              <w:pStyle w:val="06cTABLETEXT"/>
              <w:jc w:val="center"/>
            </w:pPr>
            <w:r>
              <w:t>324</w:t>
            </w:r>
          </w:p>
        </w:tc>
      </w:tr>
      <w:tr w:rsidR="00EB6564" w14:paraId="65032E32"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3EF33C" w14:textId="77777777" w:rsidR="00EB6564" w:rsidRDefault="00EB6564">
            <w:pPr>
              <w:pStyle w:val="06cTABLETEXT"/>
              <w:jc w:val="center"/>
            </w:pPr>
            <w:r>
              <w:t>2018–19</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06193D" w14:textId="77777777" w:rsidR="00EB6564" w:rsidRDefault="00EB6564">
            <w:pPr>
              <w:pStyle w:val="06cTABLETEXT"/>
              <w:jc w:val="center"/>
            </w:pPr>
            <w:r>
              <w:t>519</w:t>
            </w:r>
          </w:p>
        </w:tc>
      </w:tr>
    </w:tbl>
    <w:p w14:paraId="461029BA" w14:textId="77777777" w:rsidR="00EB6564" w:rsidRDefault="00EB6564" w:rsidP="00EB6564">
      <w:pPr>
        <w:pStyle w:val="05BODYTEXT"/>
      </w:pPr>
    </w:p>
    <w:p w14:paraId="751D9E2E" w14:textId="77777777" w:rsidR="00EB6564" w:rsidRDefault="00EB6564" w:rsidP="00EB6564">
      <w:pPr>
        <w:pStyle w:val="03HEADING3"/>
      </w:pPr>
      <w:r>
        <w:t>Recovery Data</w:t>
      </w:r>
    </w:p>
    <w:p w14:paraId="0C4A5435" w14:textId="77777777" w:rsidR="00EB6564" w:rsidRDefault="00EB6564" w:rsidP="00EB6564">
      <w:pPr>
        <w:pStyle w:val="05BODYTEXT"/>
      </w:pPr>
      <w:r>
        <w:t>Clause 18 of the Used Packaging Materials NEPM requires jurisdictions to carry out surveys of packaged products (‘brand owner surveys’) at least once every year to ascertain the effectiveness of the measure in preventing free riding. In August 2015, a meeting of jurisdictions and industry resolved that jurisdictions would not carry out the brand owner audit during the reporting period, and that industry would take responsibility for brand owner audits from 1 July 2016.</w:t>
      </w:r>
    </w:p>
    <w:p w14:paraId="362C4AEA" w14:textId="77777777" w:rsidR="00EB6564" w:rsidRDefault="00EB6564" w:rsidP="00EB6564">
      <w:pPr>
        <w:pStyle w:val="03HEADING3"/>
      </w:pPr>
      <w:r>
        <w:t>Supporting Data</w:t>
      </w:r>
    </w:p>
    <w:p w14:paraId="5C42C534" w14:textId="77777777" w:rsidR="00EB6564" w:rsidRDefault="00EB6564" w:rsidP="00EB6564">
      <w:pPr>
        <w:pStyle w:val="05BODYTEXT"/>
      </w:pPr>
      <w:r>
        <w:t>Nil</w:t>
      </w:r>
    </w:p>
    <w:p w14:paraId="08943FB3" w14:textId="77777777" w:rsidR="00EB6564" w:rsidRDefault="00EB6564" w:rsidP="00EB6564">
      <w:pPr>
        <w:pStyle w:val="03HEADING3"/>
      </w:pPr>
      <w:r>
        <w:t>Complaints, Investigations and Prosecutions</w:t>
      </w:r>
    </w:p>
    <w:p w14:paraId="3A5C6768" w14:textId="77777777" w:rsidR="00EB6564" w:rsidRDefault="00EB6564" w:rsidP="00EB6564">
      <w:pPr>
        <w:pStyle w:val="05BODYTEXT"/>
      </w:pPr>
      <w:r>
        <w:t>Nil</w:t>
      </w:r>
    </w:p>
    <w:p w14:paraId="05F7CF29" w14:textId="77777777" w:rsidR="00EB6564" w:rsidRDefault="00EB6564" w:rsidP="00EB6564">
      <w:pPr>
        <w:pStyle w:val="03HEADING3"/>
      </w:pPr>
      <w:r>
        <w:t>Statement of Interpretation of the Information</w:t>
      </w:r>
    </w:p>
    <w:p w14:paraId="0ED30B39" w14:textId="77777777" w:rsidR="00EB6564" w:rsidRDefault="00EB6564" w:rsidP="00EB6564">
      <w:pPr>
        <w:pStyle w:val="05BODYTEXT"/>
      </w:pPr>
      <w:r>
        <w:t>Nil</w:t>
      </w:r>
    </w:p>
    <w:p w14:paraId="51624D71" w14:textId="77777777" w:rsidR="00EB6564" w:rsidRDefault="00EB6564" w:rsidP="00EB6564">
      <w:pPr>
        <w:pStyle w:val="03HEADING3"/>
      </w:pPr>
      <w:r>
        <w:t xml:space="preserve">Local Government Data </w:t>
      </w:r>
    </w:p>
    <w:p w14:paraId="4341C9AF" w14:textId="18425314" w:rsidR="00EB6564" w:rsidRDefault="00EB6564" w:rsidP="00EB6564">
      <w:pPr>
        <w:pStyle w:val="05BODYTEXT"/>
        <w:rPr>
          <w:rStyle w:val="Hyperlink"/>
        </w:rPr>
      </w:pPr>
      <w:r>
        <w:t xml:space="preserve">Local government recycling data (sourced from Sustainability Victoria) is published on EPA Victoria’s website: </w:t>
      </w:r>
      <w:hyperlink r:id="rId71" w:history="1">
        <w:r w:rsidRPr="00DE700E">
          <w:rPr>
            <w:rStyle w:val="Hyperlink"/>
            <w:color w:val="4472C4" w:themeColor="accent1"/>
            <w:u w:val="single"/>
          </w:rPr>
          <w:t>https://www.epa.vic.gov.au/for-community/environmental-information/waste</w:t>
        </w:r>
      </w:hyperlink>
    </w:p>
    <w:p w14:paraId="4DE30C0D" w14:textId="77777777" w:rsidR="00EB6564" w:rsidRPr="009408AB" w:rsidRDefault="00EB6564" w:rsidP="00CB0DA6">
      <w:pPr>
        <w:pStyle w:val="Heading2"/>
      </w:pPr>
      <w:bookmarkStart w:id="78" w:name="_Toc58254432"/>
      <w:r w:rsidRPr="009408AB">
        <w:lastRenderedPageBreak/>
        <w:t>Queensland</w:t>
      </w:r>
      <w:bookmarkEnd w:id="78"/>
    </w:p>
    <w:p w14:paraId="1A522185" w14:textId="77777777" w:rsidR="00EB6564" w:rsidRDefault="00EB6564" w:rsidP="009408AB">
      <w:pPr>
        <w:pStyle w:val="05BODYTEXT"/>
        <w:keepNext/>
        <w:spacing w:line="240" w:lineRule="auto"/>
        <w:rPr>
          <w:rStyle w:val="ITALIC"/>
        </w:rPr>
      </w:pPr>
      <w:r>
        <w:rPr>
          <w:rStyle w:val="ITALIC"/>
        </w:rPr>
        <w:t>Report to the NEPC on the implementation of the National Environment Protection (Used Packaging Materials) Measure for Queensland by Leeanne Enoch MP, Minister for Environment and the Great Barrier Reef, Minister for Science, and Minister for the Arts.</w:t>
      </w:r>
    </w:p>
    <w:p w14:paraId="5BDCBA24" w14:textId="77777777" w:rsidR="00EB6564" w:rsidRDefault="00EB6564" w:rsidP="009408AB">
      <w:pPr>
        <w:pStyle w:val="02HEADING2"/>
        <w:spacing w:line="240" w:lineRule="auto"/>
      </w:pPr>
      <w:r>
        <w:t>Part 1—Implementation of the NEPM and any significant issues</w:t>
      </w:r>
    </w:p>
    <w:p w14:paraId="3DDDD437" w14:textId="77777777" w:rsidR="00EB6564" w:rsidRDefault="00EB6564" w:rsidP="009408AB">
      <w:pPr>
        <w:pStyle w:val="05BODYTEXT"/>
        <w:keepNext/>
        <w:spacing w:line="240" w:lineRule="auto"/>
      </w:pPr>
      <w:r>
        <w:t>No issues arose during the reporting year.</w:t>
      </w:r>
    </w:p>
    <w:p w14:paraId="0223135B" w14:textId="77777777" w:rsidR="00EB6564" w:rsidRDefault="00EB6564" w:rsidP="00EB6564">
      <w:pPr>
        <w:pStyle w:val="02HEADING2"/>
      </w:pPr>
      <w:r>
        <w:t>Part 2—Assessment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EB6564" w14:paraId="28E2EABF"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D88B11E" w14:textId="77777777" w:rsidR="00EB6564" w:rsidRDefault="00EB6564">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FFF86CB" w14:textId="77777777" w:rsidR="00EB6564" w:rsidRDefault="00EB6564">
            <w:pPr>
              <w:pStyle w:val="06bTABLEHEADERROW"/>
              <w:jc w:val="center"/>
            </w:pPr>
            <w:r>
              <w:t>Number of covenant signatories</w:t>
            </w:r>
          </w:p>
        </w:tc>
      </w:tr>
      <w:tr w:rsidR="00EB6564" w14:paraId="385E359B"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454626D" w14:textId="77777777" w:rsidR="00EB6564" w:rsidRDefault="00EB6564">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450BC8C" w14:textId="77777777" w:rsidR="00EB6564" w:rsidRDefault="00EB6564">
            <w:pPr>
              <w:pStyle w:val="06cTABLETEXT"/>
              <w:jc w:val="center"/>
            </w:pPr>
            <w:r>
              <w:t>66</w:t>
            </w:r>
          </w:p>
        </w:tc>
      </w:tr>
      <w:tr w:rsidR="00EB6564" w14:paraId="69441FAA"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13B409F" w14:textId="77777777" w:rsidR="00EB6564" w:rsidRDefault="00EB6564">
            <w:pPr>
              <w:pStyle w:val="06cTABLETEXT"/>
              <w:jc w:val="center"/>
            </w:pPr>
            <w:r>
              <w:t>2018–19</w:t>
            </w:r>
          </w:p>
        </w:tc>
        <w:tc>
          <w:tcPr>
            <w:tcW w:w="370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92AC7EA" w14:textId="77777777" w:rsidR="00EB6564" w:rsidRDefault="00EB6564">
            <w:pPr>
              <w:pStyle w:val="06cTABLETEXT"/>
              <w:jc w:val="center"/>
            </w:pPr>
            <w:r>
              <w:t>121</w:t>
            </w:r>
          </w:p>
        </w:tc>
      </w:tr>
    </w:tbl>
    <w:p w14:paraId="757FBDC8" w14:textId="77777777" w:rsidR="00EB6564" w:rsidRDefault="00EB6564" w:rsidP="00EB6564">
      <w:pPr>
        <w:pStyle w:val="05BODYTEXT"/>
      </w:pPr>
    </w:p>
    <w:p w14:paraId="40A0999E" w14:textId="77777777" w:rsidR="00EB6564" w:rsidRDefault="00EB6564" w:rsidP="00EB6564">
      <w:pPr>
        <w:pStyle w:val="03HEADING3"/>
      </w:pPr>
      <w:r>
        <w:t>Recovery Data</w:t>
      </w:r>
    </w:p>
    <w:p w14:paraId="6C3214E4" w14:textId="77777777" w:rsidR="00EB6564" w:rsidRDefault="00EB6564" w:rsidP="00EB6564">
      <w:pPr>
        <w:pStyle w:val="05BODYTEXT"/>
      </w:pPr>
      <w:r>
        <w:t xml:space="preserve">Audits of brand owner records were not conducted in 2018/19. In August 2015, a meeting of jurisdictions and industry resolved that jurisdictions would no longer carry out the brand owner </w:t>
      </w:r>
      <w:proofErr w:type="gramStart"/>
      <w:r>
        <w:t>audits</w:t>
      </w:r>
      <w:proofErr w:type="gramEnd"/>
      <w:r>
        <w:t xml:space="preserve"> and that industry would take responsibility from 1 July 2016.</w:t>
      </w:r>
    </w:p>
    <w:p w14:paraId="58586E81" w14:textId="77777777" w:rsidR="00EB6564" w:rsidRDefault="00EB6564" w:rsidP="00EB6564">
      <w:pPr>
        <w:pStyle w:val="03HEADING3"/>
      </w:pPr>
      <w:r>
        <w:t>Supporting Data</w:t>
      </w:r>
    </w:p>
    <w:p w14:paraId="5394387C" w14:textId="77777777" w:rsidR="00EB6564" w:rsidRDefault="00EB6564" w:rsidP="00EB6564">
      <w:pPr>
        <w:pStyle w:val="05BODYTEXT"/>
      </w:pPr>
      <w:r>
        <w:t>Nil response</w:t>
      </w:r>
    </w:p>
    <w:p w14:paraId="7847BCEB" w14:textId="77777777" w:rsidR="00EB6564" w:rsidRDefault="00EB6564" w:rsidP="00EB6564">
      <w:pPr>
        <w:pStyle w:val="03HEADING3"/>
      </w:pPr>
      <w:r>
        <w:t>Complaints, Investigations and Prosecutions</w:t>
      </w:r>
    </w:p>
    <w:p w14:paraId="73277556" w14:textId="77777777" w:rsidR="00EB6564" w:rsidRDefault="00EB6564" w:rsidP="00EB6564">
      <w:pPr>
        <w:pStyle w:val="05BODYTEXT"/>
      </w:pPr>
      <w:r>
        <w:t xml:space="preserve">No complaints received, investigations </w:t>
      </w:r>
      <w:proofErr w:type="gramStart"/>
      <w:r>
        <w:t>commenced</w:t>
      </w:r>
      <w:proofErr w:type="gramEnd"/>
      <w:r>
        <w:t xml:space="preserve"> or prosecutions commenced.</w:t>
      </w:r>
    </w:p>
    <w:p w14:paraId="4BCD48B8" w14:textId="77777777" w:rsidR="00EB6564" w:rsidRDefault="00EB6564" w:rsidP="00EB6564">
      <w:pPr>
        <w:pStyle w:val="03HEADING3"/>
      </w:pPr>
      <w:r>
        <w:t>Statement of Interpretation of the Information</w:t>
      </w:r>
    </w:p>
    <w:p w14:paraId="1D6BAB04" w14:textId="77777777" w:rsidR="00EB6564" w:rsidRDefault="00EB6564" w:rsidP="00EB6564">
      <w:pPr>
        <w:pStyle w:val="05BODYTEXT"/>
      </w:pPr>
      <w:r>
        <w:t>Nil response.</w:t>
      </w:r>
    </w:p>
    <w:p w14:paraId="468C68B5" w14:textId="77777777" w:rsidR="00EB6564" w:rsidRDefault="00EB6564" w:rsidP="00EB6564">
      <w:pPr>
        <w:pStyle w:val="03HEADING3"/>
      </w:pPr>
      <w:r>
        <w:t xml:space="preserve">Local Government Data </w:t>
      </w:r>
    </w:p>
    <w:p w14:paraId="1399C0B2" w14:textId="77777777" w:rsidR="00EB6564" w:rsidRDefault="00EB6564" w:rsidP="00EB6564">
      <w:pPr>
        <w:pStyle w:val="05BODYTEXT"/>
      </w:pPr>
      <w:r>
        <w:t>Local government data for the reporting period will be available in the 2018/19 annual recycling and waste report.</w:t>
      </w:r>
    </w:p>
    <w:p w14:paraId="0C823772" w14:textId="267ABBE8" w:rsidR="00EB6564" w:rsidRDefault="00EB6564" w:rsidP="00EB6564">
      <w:pPr>
        <w:pStyle w:val="05BODYTEXT"/>
      </w:pPr>
      <w:r>
        <w:t xml:space="preserve">The report will be published at </w:t>
      </w:r>
      <w:hyperlink r:id="rId72" w:history="1">
        <w:r w:rsidRPr="00CA5B14">
          <w:rPr>
            <w:rStyle w:val="Hyperlink"/>
            <w:color w:val="4472C4" w:themeColor="accent1"/>
            <w:u w:val="single"/>
          </w:rPr>
          <w:t>www.qld.gov.au/environment/pollution/management/waste/data-reports/recycling-waste</w:t>
        </w:r>
      </w:hyperlink>
      <w:r>
        <w:t xml:space="preserve"> (expected by early 2020).</w:t>
      </w:r>
    </w:p>
    <w:p w14:paraId="7A95CE87" w14:textId="77777777" w:rsidR="00EB6564" w:rsidRPr="009408AB" w:rsidRDefault="00EB6564" w:rsidP="00CB0DA6">
      <w:pPr>
        <w:pStyle w:val="Heading2"/>
      </w:pPr>
      <w:bookmarkStart w:id="79" w:name="_Toc58254433"/>
      <w:r w:rsidRPr="009408AB">
        <w:t>Western Australia</w:t>
      </w:r>
      <w:bookmarkEnd w:id="79"/>
      <w:r w:rsidRPr="009408AB">
        <w:t xml:space="preserve"> </w:t>
      </w:r>
    </w:p>
    <w:p w14:paraId="60210122" w14:textId="77777777" w:rsidR="00EB6564" w:rsidRDefault="00EB6564" w:rsidP="00EB6564">
      <w:pPr>
        <w:pStyle w:val="05BODYTEXT"/>
        <w:rPr>
          <w:rStyle w:val="ITALIC"/>
        </w:rPr>
      </w:pPr>
      <w:r>
        <w:rPr>
          <w:rStyle w:val="ITALIC"/>
        </w:rPr>
        <w:t>Report to the NEPC on the implementation of the National Environment Protection (Used Packaging Materials) Measure for Western Australia by the Hon. Stephen Dawson MLC, Minister for Environment; Disability Services; Electoral Affairs for the reporting year ended 30 June 2019.</w:t>
      </w:r>
    </w:p>
    <w:p w14:paraId="6D356B5C" w14:textId="77777777" w:rsidR="00EB6564" w:rsidRDefault="00EB6564" w:rsidP="00EB6564">
      <w:pPr>
        <w:pStyle w:val="02HEADING2"/>
      </w:pPr>
      <w:r>
        <w:t>Part 1—Implementation of the NEPM and any significant issues</w:t>
      </w:r>
    </w:p>
    <w:p w14:paraId="3564ABD9" w14:textId="0B13D4CF" w:rsidR="00EB6564" w:rsidRDefault="00EB6564" w:rsidP="00EB6564">
      <w:pPr>
        <w:pStyle w:val="05bDOTPOINTS"/>
      </w:pPr>
      <w:r>
        <w:t>•</w:t>
      </w:r>
      <w:r>
        <w:tab/>
        <w:t xml:space="preserve">In Western Australia, the National Environmental Protection (Used Packaging Materials) Measure (NEPM UPM) is implemented by the Department of Water and Environmental Regulation under the </w:t>
      </w:r>
      <w:r>
        <w:rPr>
          <w:rStyle w:val="ITALIC"/>
        </w:rPr>
        <w:t>Environmental Protection (NEPM-UPM) Regulations 2013</w:t>
      </w:r>
      <w:r>
        <w:t xml:space="preserve">. </w:t>
      </w:r>
    </w:p>
    <w:p w14:paraId="72216E62" w14:textId="77777777" w:rsidR="00EB6564" w:rsidRDefault="00EB6564" w:rsidP="00EB6564">
      <w:pPr>
        <w:pStyle w:val="05bDOTPOINTS"/>
      </w:pPr>
      <w:r>
        <w:t>•</w:t>
      </w:r>
      <w:r>
        <w:tab/>
        <w:t xml:space="preserve">The Australian Packaging Covenant Organisation did not refer any non-compliant signatories in 2018-2019. </w:t>
      </w:r>
    </w:p>
    <w:p w14:paraId="07949B8B" w14:textId="77777777" w:rsidR="00EB6564" w:rsidRDefault="00EB6564" w:rsidP="009408AB">
      <w:pPr>
        <w:pStyle w:val="02HEADING2"/>
        <w:spacing w:line="240" w:lineRule="auto"/>
      </w:pPr>
      <w:r>
        <w:t>Part 2—Assessment of NEPM effectiveness</w:t>
      </w:r>
    </w:p>
    <w:p w14:paraId="6B1FD35F" w14:textId="77777777" w:rsidR="00EB6564" w:rsidRDefault="00EB6564" w:rsidP="009408AB">
      <w:pPr>
        <w:pStyle w:val="05BODYTEXT"/>
        <w:keepNext/>
        <w:spacing w:line="240" w:lineRule="auto"/>
      </w:pPr>
      <w:r>
        <w:t>No compliance activity undertaken during the reporting period.</w:t>
      </w:r>
    </w:p>
    <w:tbl>
      <w:tblPr>
        <w:tblW w:w="0" w:type="auto"/>
        <w:tblInd w:w="-5" w:type="dxa"/>
        <w:tblLayout w:type="fixed"/>
        <w:tblCellMar>
          <w:left w:w="0" w:type="dxa"/>
          <w:right w:w="0" w:type="dxa"/>
        </w:tblCellMar>
        <w:tblLook w:val="0000" w:firstRow="0" w:lastRow="0" w:firstColumn="0" w:lastColumn="0" w:noHBand="0" w:noVBand="0"/>
      </w:tblPr>
      <w:tblGrid>
        <w:gridCol w:w="3703"/>
        <w:gridCol w:w="3704"/>
      </w:tblGrid>
      <w:tr w:rsidR="00EB6564" w14:paraId="0AB0AC7A" w14:textId="77777777">
        <w:trPr>
          <w:trHeight w:val="60"/>
          <w:tblHeader/>
        </w:trPr>
        <w:tc>
          <w:tcPr>
            <w:tcW w:w="370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EFCE656" w14:textId="77777777" w:rsidR="00EB6564" w:rsidRDefault="00EB6564" w:rsidP="009408AB">
            <w:pPr>
              <w:pStyle w:val="06bTABLEHEADERROW"/>
              <w:spacing w:line="240" w:lineRule="auto"/>
              <w:jc w:val="center"/>
            </w:pPr>
            <w:r>
              <w:t>Reporting Year</w:t>
            </w:r>
          </w:p>
        </w:tc>
        <w:tc>
          <w:tcPr>
            <w:tcW w:w="370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071D50C8" w14:textId="77777777" w:rsidR="00EB6564" w:rsidRDefault="00EB6564" w:rsidP="009408AB">
            <w:pPr>
              <w:pStyle w:val="06bTABLEHEADERROW"/>
              <w:spacing w:line="240" w:lineRule="auto"/>
              <w:jc w:val="center"/>
            </w:pPr>
            <w:r>
              <w:t>Number of covenant signatories</w:t>
            </w:r>
          </w:p>
        </w:tc>
      </w:tr>
      <w:tr w:rsidR="00EB6564" w14:paraId="1553FDE4"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6D5710E" w14:textId="77777777" w:rsidR="00EB6564" w:rsidRDefault="00EB6564" w:rsidP="009408AB">
            <w:pPr>
              <w:pStyle w:val="06cTABLETEXT"/>
              <w:keepNext/>
              <w:spacing w:line="240" w:lineRule="auto"/>
              <w:jc w:val="center"/>
            </w:pPr>
            <w:r>
              <w:t>2017–18</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55EEA6C" w14:textId="77777777" w:rsidR="00EB6564" w:rsidRDefault="00EB6564" w:rsidP="009408AB">
            <w:pPr>
              <w:pStyle w:val="06cTABLETEXT"/>
              <w:keepNext/>
              <w:spacing w:line="240" w:lineRule="auto"/>
              <w:jc w:val="center"/>
            </w:pPr>
            <w:r>
              <w:t>40</w:t>
            </w:r>
          </w:p>
        </w:tc>
      </w:tr>
      <w:tr w:rsidR="00EB6564" w14:paraId="29AA2749"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23FC056" w14:textId="77777777" w:rsidR="00EB6564" w:rsidRDefault="00EB6564" w:rsidP="009408AB">
            <w:pPr>
              <w:pStyle w:val="06cTABLETEXT"/>
              <w:keepNext/>
              <w:spacing w:line="240" w:lineRule="auto"/>
              <w:jc w:val="center"/>
            </w:pPr>
            <w:r>
              <w:t>2018–19</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C27908" w14:textId="77777777" w:rsidR="00EB6564" w:rsidRDefault="00EB6564" w:rsidP="009408AB">
            <w:pPr>
              <w:pStyle w:val="06cTABLETEXT"/>
              <w:keepNext/>
              <w:spacing w:line="240" w:lineRule="auto"/>
              <w:jc w:val="center"/>
            </w:pPr>
            <w:r>
              <w:t>105</w:t>
            </w:r>
          </w:p>
        </w:tc>
      </w:tr>
    </w:tbl>
    <w:p w14:paraId="7FB1ED43" w14:textId="77777777" w:rsidR="00EB6564" w:rsidRDefault="00EB6564" w:rsidP="00EB6564">
      <w:pPr>
        <w:pStyle w:val="05BODYTEXT"/>
      </w:pPr>
    </w:p>
    <w:p w14:paraId="67E82A0F" w14:textId="77777777" w:rsidR="00EB6564" w:rsidRDefault="00EB6564" w:rsidP="00EB6564">
      <w:pPr>
        <w:pStyle w:val="03HEADING3"/>
      </w:pPr>
      <w:r>
        <w:lastRenderedPageBreak/>
        <w:t>Recovery Data</w:t>
      </w:r>
    </w:p>
    <w:p w14:paraId="50A27211" w14:textId="77777777" w:rsidR="00EB6564" w:rsidRDefault="00EB6564" w:rsidP="00EB6564">
      <w:pPr>
        <w:pStyle w:val="05BODYTEXT"/>
      </w:pPr>
      <w:r>
        <w:t xml:space="preserve">No Western Australian based companies have been required to provide records for auditing. </w:t>
      </w:r>
    </w:p>
    <w:p w14:paraId="02FED03E" w14:textId="77777777" w:rsidR="00EB6564" w:rsidRDefault="00EB6564" w:rsidP="00EB6564">
      <w:pPr>
        <w:pStyle w:val="03HEADING3"/>
      </w:pPr>
      <w:r>
        <w:t>Supporting Data</w:t>
      </w:r>
    </w:p>
    <w:p w14:paraId="04879ABE" w14:textId="77777777" w:rsidR="00EB6564" w:rsidRDefault="00EB6564" w:rsidP="00EB6564">
      <w:pPr>
        <w:pStyle w:val="05BODYTEXT"/>
      </w:pPr>
      <w:r>
        <w:t>Not applicable.</w:t>
      </w:r>
    </w:p>
    <w:p w14:paraId="614811B0" w14:textId="77777777" w:rsidR="00EB6564" w:rsidRDefault="00EB6564" w:rsidP="00EB6564">
      <w:pPr>
        <w:pStyle w:val="03HEADING3"/>
      </w:pPr>
      <w:r>
        <w:t>Complaints, Investigations and Prosecutions</w:t>
      </w:r>
    </w:p>
    <w:p w14:paraId="24DB7348" w14:textId="77777777" w:rsidR="00EB6564" w:rsidRDefault="00EB6564" w:rsidP="00EB6564">
      <w:pPr>
        <w:pStyle w:val="05BODYTEXT"/>
      </w:pPr>
      <w:r>
        <w:t xml:space="preserve">No complaints were received, or investigated or prosecutions undertaken, during the 2018-2019 reporting period. </w:t>
      </w:r>
    </w:p>
    <w:p w14:paraId="11E2605C" w14:textId="77777777" w:rsidR="00EB6564" w:rsidRDefault="00EB6564" w:rsidP="00EB6564">
      <w:pPr>
        <w:pStyle w:val="03HEADING3"/>
      </w:pPr>
      <w:r>
        <w:t>Statement of Interpretation of the Information</w:t>
      </w:r>
    </w:p>
    <w:p w14:paraId="34975CAD" w14:textId="77777777" w:rsidR="00EB6564" w:rsidRDefault="00EB6564" w:rsidP="00EB6564">
      <w:pPr>
        <w:pStyle w:val="05BODYTEXT"/>
      </w:pPr>
      <w:r>
        <w:t>Not applicable.</w:t>
      </w:r>
    </w:p>
    <w:p w14:paraId="2DCB159E" w14:textId="77777777" w:rsidR="00EB6564" w:rsidRDefault="00EB6564" w:rsidP="00EB6564">
      <w:pPr>
        <w:pStyle w:val="03HEADING3"/>
      </w:pPr>
      <w:r>
        <w:t xml:space="preserve">Local Government Data </w:t>
      </w:r>
    </w:p>
    <w:p w14:paraId="63090DC9" w14:textId="7B7FB96C" w:rsidR="00EB6564" w:rsidRDefault="00EB6564" w:rsidP="00EB6564">
      <w:pPr>
        <w:pStyle w:val="05BODYTEXT"/>
      </w:pPr>
      <w:r>
        <w:t xml:space="preserve">Local government data will be available at </w:t>
      </w:r>
      <w:hyperlink r:id="rId73" w:history="1">
        <w:r w:rsidRPr="00CA5B14">
          <w:rPr>
            <w:rStyle w:val="Hyperlink"/>
            <w:color w:val="4472C4" w:themeColor="accent1"/>
            <w:u w:val="single"/>
          </w:rPr>
          <w:t>www.dwer.wa.gov.au</w:t>
        </w:r>
      </w:hyperlink>
      <w:r w:rsidRPr="00CA5B14">
        <w:rPr>
          <w:color w:val="4472C4" w:themeColor="accent1"/>
        </w:rPr>
        <w:t xml:space="preserve"> </w:t>
      </w:r>
      <w:r>
        <w:t>from June 2020.</w:t>
      </w:r>
    </w:p>
    <w:p w14:paraId="6D62CB7B" w14:textId="77777777" w:rsidR="00EB6564" w:rsidRPr="009408AB" w:rsidRDefault="00EB6564" w:rsidP="00CB0DA6">
      <w:pPr>
        <w:pStyle w:val="Heading2"/>
      </w:pPr>
      <w:bookmarkStart w:id="80" w:name="_Toc58254434"/>
      <w:r w:rsidRPr="009408AB">
        <w:t>South Australia</w:t>
      </w:r>
      <w:bookmarkEnd w:id="80"/>
    </w:p>
    <w:p w14:paraId="02252A5E" w14:textId="77777777" w:rsidR="00EB6564" w:rsidRDefault="00EB6564" w:rsidP="00EB6564">
      <w:pPr>
        <w:pStyle w:val="05BODYTEXT"/>
        <w:rPr>
          <w:rStyle w:val="ITALIC"/>
        </w:rPr>
      </w:pPr>
      <w:r>
        <w:rPr>
          <w:rStyle w:val="ITALIC"/>
        </w:rPr>
        <w:t>Report to the NEPC on the implementation of the National Environment Protection (Used Packaging Materials) Measure for South Australia by the Hon. David Speirs, Minister for Environment and Water, for the reporting year ended 30 June 2019.</w:t>
      </w:r>
    </w:p>
    <w:p w14:paraId="66D71537" w14:textId="77777777" w:rsidR="00EB6564" w:rsidRDefault="00EB6564" w:rsidP="00EB6564">
      <w:pPr>
        <w:pStyle w:val="02HEADING2"/>
      </w:pPr>
      <w:r>
        <w:t>Part 1—Implementation of the NEPM and any significant issues</w:t>
      </w:r>
    </w:p>
    <w:p w14:paraId="6455BA3E" w14:textId="77777777" w:rsidR="00EB6564" w:rsidRDefault="00EB6564" w:rsidP="00EB6564">
      <w:pPr>
        <w:pStyle w:val="05BODYTEXT"/>
      </w:pPr>
      <w:r>
        <w:t>In 2018-2019, South Australia continued to work with the Australian Packaging Covenant Organisation (APCO), industry and other jurisdictions to pursue national consistency in the attainment of the goal of the NEPM. The Environment Protection Authority (EPA) has representation on the Government Officials Group (GOG) which has been meeting frequently in 2018-2019 to provide advice to APCO to pursue a consistent national approach when administering the NEPM.</w:t>
      </w:r>
    </w:p>
    <w:p w14:paraId="47D6D682" w14:textId="77777777" w:rsidR="00EB6564" w:rsidRDefault="00EB6564" w:rsidP="00EB6564">
      <w:pPr>
        <w:pStyle w:val="05BODYTEXT"/>
      </w:pPr>
      <w:r>
        <w:t xml:space="preserve">The National Environment Protection (Used Packaging Materials) Measure 2011 is the legal instrument to ensure that signatories to the Covenant are not competitively disadvantaged in the </w:t>
      </w:r>
      <w:proofErr w:type="gramStart"/>
      <w:r>
        <w:t>market place</w:t>
      </w:r>
      <w:proofErr w:type="gramEnd"/>
      <w:r>
        <w:t xml:space="preserve"> by fulfilling their commitments under the Covenant.</w:t>
      </w:r>
    </w:p>
    <w:p w14:paraId="17F007FB" w14:textId="77777777" w:rsidR="00EB6564" w:rsidRDefault="00EB6564" w:rsidP="00EB6564">
      <w:pPr>
        <w:pStyle w:val="02HEADING2"/>
      </w:pPr>
      <w:r>
        <w:t>Part 2—Assessment of NEPM effectiveness</w:t>
      </w:r>
    </w:p>
    <w:p w14:paraId="6E6ED7FC" w14:textId="77777777" w:rsidR="00EB6564" w:rsidRDefault="00EB6564" w:rsidP="00EB6564">
      <w:pPr>
        <w:pStyle w:val="05BODYTEXT"/>
      </w:pPr>
      <w:r>
        <w:t>Jurisdictions should provide an overview of the effectiveness of the NEPM in their jurisdiction. This overview should focus on achievement of the NEPM Goal and Desired Environmental Outcomes(s) and should identify significant factors which have contributed to or hindered achievement of the Goal and Desired Environmental Outcome(s).</w:t>
      </w:r>
    </w:p>
    <w:p w14:paraId="2D60DA68" w14:textId="77777777" w:rsidR="00EB6564" w:rsidRDefault="00EB6564" w:rsidP="00EB6564">
      <w:pPr>
        <w:pStyle w:val="05BODYTEXT"/>
      </w:pPr>
      <w:r>
        <w:t xml:space="preserve">South Australia is currently working with APCO to ensure signatories continue to meet their obligations and requirements under the Covenant. </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EB6564" w14:paraId="2E53D37B"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7A784FF" w14:textId="77777777" w:rsidR="00EB6564" w:rsidRDefault="00EB6564">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0A613D5" w14:textId="77777777" w:rsidR="00EB6564" w:rsidRDefault="00EB6564">
            <w:pPr>
              <w:pStyle w:val="06bTABLEHEADERROW"/>
              <w:jc w:val="center"/>
            </w:pPr>
            <w:r>
              <w:t>Number of covenant signatories</w:t>
            </w:r>
          </w:p>
        </w:tc>
      </w:tr>
      <w:tr w:rsidR="00EB6564" w14:paraId="5CFDECD5"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0E4EE52" w14:textId="77777777" w:rsidR="00EB6564" w:rsidRDefault="00EB6564">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997BB6C" w14:textId="77777777" w:rsidR="00EB6564" w:rsidRDefault="00EB6564">
            <w:pPr>
              <w:pStyle w:val="06cTABLETEXT"/>
              <w:jc w:val="center"/>
            </w:pPr>
            <w:r>
              <w:t>48</w:t>
            </w:r>
          </w:p>
        </w:tc>
      </w:tr>
      <w:tr w:rsidR="00EB6564" w14:paraId="7DE3ED8E"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47395FA" w14:textId="77777777" w:rsidR="00EB6564" w:rsidRDefault="00EB6564">
            <w:pPr>
              <w:pStyle w:val="06cTABLETEXT"/>
              <w:jc w:val="center"/>
            </w:pPr>
            <w:r>
              <w:t>2018–19</w:t>
            </w:r>
          </w:p>
        </w:tc>
        <w:tc>
          <w:tcPr>
            <w:tcW w:w="370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14D4F32" w14:textId="77777777" w:rsidR="00EB6564" w:rsidRDefault="00EB6564">
            <w:pPr>
              <w:pStyle w:val="06cTABLETEXT"/>
              <w:jc w:val="center"/>
            </w:pPr>
            <w:r>
              <w:t>79</w:t>
            </w:r>
          </w:p>
        </w:tc>
      </w:tr>
    </w:tbl>
    <w:p w14:paraId="7AA75EB3" w14:textId="77777777" w:rsidR="00EB6564" w:rsidRDefault="00EB6564" w:rsidP="00EB6564">
      <w:pPr>
        <w:pStyle w:val="03HEADING3"/>
      </w:pPr>
      <w:r>
        <w:t>Recovery Data</w:t>
      </w:r>
    </w:p>
    <w:p w14:paraId="01E8FACF" w14:textId="77777777" w:rsidR="00EB6564" w:rsidRDefault="00EB6564" w:rsidP="00EB6564">
      <w:pPr>
        <w:pStyle w:val="05BODYTEXT"/>
      </w:pPr>
      <w:r>
        <w:t xml:space="preserve">There are currently no brand owners reporting to the EPA in South Australia and, therefore, no requirements for audits under clause 16. </w:t>
      </w:r>
    </w:p>
    <w:p w14:paraId="61EA7B63" w14:textId="77777777" w:rsidR="00EB6564" w:rsidRDefault="00EB6564" w:rsidP="00EB6564">
      <w:pPr>
        <w:pStyle w:val="03HEADING3"/>
      </w:pPr>
      <w:r>
        <w:t>Supporting Data</w:t>
      </w:r>
    </w:p>
    <w:p w14:paraId="7B8C7AE7" w14:textId="77777777" w:rsidR="00EB6564" w:rsidRDefault="00EB6564" w:rsidP="00EB6564">
      <w:pPr>
        <w:pStyle w:val="05BODYTEXT"/>
      </w:pPr>
      <w:r>
        <w:t>Clause 18 of the NEPM requires that at least once every year, participating jurisdictions ensure that surveys of packaged products sold by retailers and/or surveys of brand owners represented in materials recovery systems are carried out, to ascertain the effectiveness of the NEPM in preventing free riding.</w:t>
      </w:r>
    </w:p>
    <w:p w14:paraId="5753DD03" w14:textId="77777777" w:rsidR="00EB6564" w:rsidRDefault="00EB6564" w:rsidP="00EB6564">
      <w:pPr>
        <w:pStyle w:val="05BODYTEXT"/>
      </w:pPr>
      <w:r>
        <w:t xml:space="preserve">This has transitioned to an APCO responsibility and in 2018 APCO conducted a national brand owner audit of packaged products for the purpose of identifying potentially obligated signatories as agreed under the 2017 Australian Packaging Covenant arrangements. </w:t>
      </w:r>
    </w:p>
    <w:p w14:paraId="4752A7E9" w14:textId="77777777" w:rsidR="00EB6564" w:rsidRDefault="00EB6564" w:rsidP="00EB6564">
      <w:pPr>
        <w:pStyle w:val="03HEADING3"/>
      </w:pPr>
      <w:r>
        <w:t>Complaints, Investigations and Prosecutions</w:t>
      </w:r>
    </w:p>
    <w:p w14:paraId="32F24080" w14:textId="714D1371" w:rsidR="00EB6564" w:rsidRDefault="00EB6564" w:rsidP="00993E87">
      <w:pPr>
        <w:pStyle w:val="05BODYTEXT"/>
      </w:pPr>
      <w:r>
        <w:t xml:space="preserve">No complaints were received, investigations </w:t>
      </w:r>
      <w:proofErr w:type="gramStart"/>
      <w:r>
        <w:t>undertaken</w:t>
      </w:r>
      <w:proofErr w:type="gramEnd"/>
      <w:r>
        <w:t xml:space="preserve"> or prosecutions mounted pursuant to the NEPM during this reporting period. </w:t>
      </w:r>
    </w:p>
    <w:p w14:paraId="12A149EA" w14:textId="77777777" w:rsidR="00EB6564" w:rsidRDefault="00EB6564" w:rsidP="00EB6564">
      <w:pPr>
        <w:pStyle w:val="03HEADING3"/>
      </w:pPr>
      <w:r>
        <w:lastRenderedPageBreak/>
        <w:t>Statement of Interpretation of the Information</w:t>
      </w:r>
    </w:p>
    <w:p w14:paraId="509D6090" w14:textId="77777777" w:rsidR="00EB6564" w:rsidRDefault="00EB6564" w:rsidP="00EB6564">
      <w:pPr>
        <w:pStyle w:val="05BODYTEXT"/>
      </w:pPr>
      <w:r>
        <w:t xml:space="preserve">South Australia continued to work with APCO, the Commonwealth and other jurisdictions to provide advice and support for the implementation of the Covenant through a range of initiatives. </w:t>
      </w:r>
    </w:p>
    <w:p w14:paraId="408E43E3" w14:textId="77777777" w:rsidR="00EB6564" w:rsidRDefault="00EB6564" w:rsidP="00EB6564">
      <w:pPr>
        <w:pStyle w:val="05BODYTEXT"/>
      </w:pPr>
      <w:r>
        <w:t>South Australia has been working with all other jurisdictions through the GOG to pursue a consistent approach to the application of the NEPM objectives and obligations to ensure consistency across all jurisdictions.</w:t>
      </w:r>
    </w:p>
    <w:p w14:paraId="2CCF318F" w14:textId="77777777" w:rsidR="00EB6564" w:rsidRDefault="00EB6564" w:rsidP="00EB6564">
      <w:pPr>
        <w:pStyle w:val="03HEADING3"/>
      </w:pPr>
      <w:r>
        <w:t xml:space="preserve">Local Government Data </w:t>
      </w:r>
    </w:p>
    <w:p w14:paraId="23AD097A" w14:textId="77777777" w:rsidR="00EB6564" w:rsidRDefault="00EB6564" w:rsidP="00EB6564">
      <w:pPr>
        <w:pStyle w:val="05BODYTEXT"/>
      </w:pPr>
      <w:r>
        <w:t>Local Government data for the 2018-19 reporting period will be available at 2018-19 NEPM Annual Report – Local Government Data from end November 2019.</w:t>
      </w:r>
    </w:p>
    <w:p w14:paraId="694724ED" w14:textId="77777777" w:rsidR="00EB6564" w:rsidRPr="009408AB" w:rsidRDefault="00EB6564" w:rsidP="00CB0DA6">
      <w:pPr>
        <w:pStyle w:val="Heading2"/>
      </w:pPr>
      <w:bookmarkStart w:id="81" w:name="_Toc58254435"/>
      <w:r w:rsidRPr="009408AB">
        <w:t>Tasmania</w:t>
      </w:r>
      <w:bookmarkEnd w:id="81"/>
    </w:p>
    <w:p w14:paraId="696084E4" w14:textId="77777777" w:rsidR="00EB6564" w:rsidRDefault="00EB6564" w:rsidP="00EB6564">
      <w:pPr>
        <w:pStyle w:val="05BODYTEXT"/>
        <w:rPr>
          <w:rStyle w:val="ITALIC"/>
        </w:rPr>
      </w:pPr>
      <w:r>
        <w:rPr>
          <w:rStyle w:val="ITALIC"/>
        </w:rPr>
        <w:t xml:space="preserve">Report to the NEPC on the implementation of the National Environment Protection (Used Packaging Materials) Measure for Tasmania by the Hon. Peter </w:t>
      </w:r>
      <w:proofErr w:type="spellStart"/>
      <w:r>
        <w:rPr>
          <w:rStyle w:val="ITALIC"/>
        </w:rPr>
        <w:t>Gutwein</w:t>
      </w:r>
      <w:proofErr w:type="spellEnd"/>
      <w:r>
        <w:rPr>
          <w:rStyle w:val="ITALIC"/>
        </w:rPr>
        <w:t xml:space="preserve"> MP, Minister for the Environment, for the reporting year ended 30 June 2019.</w:t>
      </w:r>
    </w:p>
    <w:p w14:paraId="36D71524" w14:textId="77777777" w:rsidR="00EB6564" w:rsidRDefault="00EB6564" w:rsidP="00EB6564">
      <w:pPr>
        <w:pStyle w:val="02HEADING2"/>
      </w:pPr>
      <w:r>
        <w:t>Part 1—Implementation of the NEPM and any significant issues</w:t>
      </w:r>
    </w:p>
    <w:p w14:paraId="7452D8A5" w14:textId="77777777" w:rsidR="00EB6564" w:rsidRDefault="00EB6564" w:rsidP="00EB6564">
      <w:pPr>
        <w:pStyle w:val="03HEADING3"/>
      </w:pPr>
      <w:r>
        <w:t>Legislative, regulatory and administrative framework</w:t>
      </w:r>
    </w:p>
    <w:p w14:paraId="294E3897" w14:textId="77777777" w:rsidR="00EB6564" w:rsidRDefault="00EB6564" w:rsidP="00EB6564">
      <w:pPr>
        <w:pStyle w:val="05BODYTEXT"/>
      </w:pPr>
      <w:r>
        <w:t xml:space="preserve">The National Environment Protection (Used Packaging Materials) Measure (NEPM) is a state policy under the </w:t>
      </w:r>
      <w:r>
        <w:rPr>
          <w:rStyle w:val="ITALIC"/>
        </w:rPr>
        <w:t>State Policies and Projects Act 1993</w:t>
      </w:r>
      <w:r>
        <w:t>.</w:t>
      </w:r>
    </w:p>
    <w:p w14:paraId="38DDBC11" w14:textId="77777777" w:rsidR="00EB6564" w:rsidRDefault="00EB6564" w:rsidP="00EB6564">
      <w:pPr>
        <w:pStyle w:val="03HEADING3"/>
      </w:pPr>
      <w:r>
        <w:t>Implementation Issues Arising</w:t>
      </w:r>
    </w:p>
    <w:p w14:paraId="2D84AF65" w14:textId="77777777" w:rsidR="00EB6564" w:rsidRDefault="00EB6564" w:rsidP="00EB6564">
      <w:pPr>
        <w:pStyle w:val="05BODYTEXT"/>
      </w:pPr>
      <w:r>
        <w:t>Nil.</w:t>
      </w:r>
    </w:p>
    <w:p w14:paraId="564979A6" w14:textId="77777777" w:rsidR="00EB6564" w:rsidRDefault="00EB6564" w:rsidP="00EB6564">
      <w:pPr>
        <w:pStyle w:val="02HEADING2"/>
      </w:pPr>
      <w:r>
        <w:t>Part 2—Assessment of NEPM effectiveness</w:t>
      </w:r>
    </w:p>
    <w:p w14:paraId="5BCCCBD7" w14:textId="77777777" w:rsidR="00EB6564" w:rsidRDefault="00EB6564" w:rsidP="00EB6564">
      <w:pPr>
        <w:pStyle w:val="05BODYTEXT"/>
      </w:pPr>
      <w:r>
        <w:t>In the 2018 to 2019 reporting period Tasmania worked with the Australian Packaging Covenant Organisation (APCO) in development of communications to brand owners detailing obligations under the NEPM.</w:t>
      </w:r>
    </w:p>
    <w:p w14:paraId="5AB4DE95" w14:textId="77777777" w:rsidR="00EB6564" w:rsidRDefault="00EB6564" w:rsidP="00EB6564">
      <w:pPr>
        <w:pStyle w:val="05BODYTEXT"/>
      </w:pPr>
      <w:r>
        <w:t>The Tasmanian Government continues to support the implementation of the Australian Packaging Covenant through membership of the Government Officials Group, which is the formal mechanism of engagement between APCO and jurisdictional Governments.</w:t>
      </w:r>
    </w:p>
    <w:p w14:paraId="67CBCE0C" w14:textId="77777777" w:rsidR="00EB6564" w:rsidRDefault="00EB6564" w:rsidP="00EB6564">
      <w:pPr>
        <w:pStyle w:val="05BODYTEXT"/>
      </w:pPr>
      <w:r>
        <w:t>The NEPM has provided an incentive for brand owners to join the Covenant. Tasmania has fifteen company signatories and seventeen covenant signatories overall.</w:t>
      </w:r>
    </w:p>
    <w:tbl>
      <w:tblPr>
        <w:tblW w:w="0" w:type="auto"/>
        <w:tblInd w:w="-5" w:type="dxa"/>
        <w:tblLayout w:type="fixed"/>
        <w:tblCellMar>
          <w:left w:w="0" w:type="dxa"/>
          <w:right w:w="0" w:type="dxa"/>
        </w:tblCellMar>
        <w:tblLook w:val="0000" w:firstRow="0" w:lastRow="0" w:firstColumn="0" w:lastColumn="0" w:noHBand="0" w:noVBand="0"/>
      </w:tblPr>
      <w:tblGrid>
        <w:gridCol w:w="2522"/>
        <w:gridCol w:w="4885"/>
      </w:tblGrid>
      <w:tr w:rsidR="00EB6564" w14:paraId="6B9D5F6C" w14:textId="77777777">
        <w:trPr>
          <w:trHeight w:val="60"/>
          <w:tblHeader/>
        </w:trPr>
        <w:tc>
          <w:tcPr>
            <w:tcW w:w="2522"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0AC8CFC" w14:textId="77777777" w:rsidR="00EB6564" w:rsidRDefault="00EB6564">
            <w:pPr>
              <w:pStyle w:val="06bTABLEHEADERROW"/>
              <w:jc w:val="center"/>
            </w:pPr>
            <w:r>
              <w:t>Reporting Year</w:t>
            </w:r>
          </w:p>
        </w:tc>
        <w:tc>
          <w:tcPr>
            <w:tcW w:w="488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6A9653B" w14:textId="77777777" w:rsidR="00EB6564" w:rsidRDefault="00EB6564">
            <w:pPr>
              <w:pStyle w:val="06bTABLEHEADERROW"/>
              <w:jc w:val="center"/>
            </w:pPr>
            <w:r>
              <w:t>Number of covenant signatories</w:t>
            </w:r>
          </w:p>
        </w:tc>
      </w:tr>
      <w:tr w:rsidR="00EB6564" w14:paraId="2F64EF43" w14:textId="77777777">
        <w:trPr>
          <w:trHeight w:val="60"/>
        </w:trPr>
        <w:tc>
          <w:tcPr>
            <w:tcW w:w="25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F62AE05" w14:textId="77777777" w:rsidR="00EB6564" w:rsidRDefault="00EB6564">
            <w:pPr>
              <w:pStyle w:val="06cTABLETEXT"/>
              <w:jc w:val="center"/>
            </w:pPr>
            <w:r>
              <w:t>2017–18</w:t>
            </w:r>
          </w:p>
        </w:tc>
        <w:tc>
          <w:tcPr>
            <w:tcW w:w="488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7BAABFD" w14:textId="77777777" w:rsidR="00EB6564" w:rsidRDefault="00EB6564">
            <w:pPr>
              <w:pStyle w:val="06cTABLETEXT"/>
              <w:jc w:val="center"/>
            </w:pPr>
            <w:r>
              <w:t>17</w:t>
            </w:r>
          </w:p>
        </w:tc>
      </w:tr>
      <w:tr w:rsidR="00EB6564" w14:paraId="1F53FB37" w14:textId="77777777">
        <w:trPr>
          <w:trHeight w:val="60"/>
        </w:trPr>
        <w:tc>
          <w:tcPr>
            <w:tcW w:w="2522"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E3BBBD3" w14:textId="77777777" w:rsidR="00EB6564" w:rsidRDefault="00EB6564">
            <w:pPr>
              <w:pStyle w:val="06cTABLETEXT"/>
              <w:jc w:val="center"/>
            </w:pPr>
            <w:r>
              <w:t>2018–19</w:t>
            </w:r>
          </w:p>
        </w:tc>
        <w:tc>
          <w:tcPr>
            <w:tcW w:w="488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4A1695D" w14:textId="77777777" w:rsidR="00EB6564" w:rsidRDefault="00EB6564">
            <w:pPr>
              <w:pStyle w:val="06cTABLETEXT"/>
              <w:jc w:val="center"/>
            </w:pPr>
            <w:r>
              <w:t>21</w:t>
            </w:r>
          </w:p>
        </w:tc>
      </w:tr>
    </w:tbl>
    <w:p w14:paraId="73D92C11" w14:textId="77777777" w:rsidR="00EB6564" w:rsidRDefault="00EB6564" w:rsidP="00EB6564">
      <w:pPr>
        <w:pStyle w:val="05BODYTEXT"/>
      </w:pPr>
    </w:p>
    <w:p w14:paraId="6D7C8621" w14:textId="77777777" w:rsidR="00EB6564" w:rsidRDefault="00EB6564" w:rsidP="00EB6564">
      <w:pPr>
        <w:pStyle w:val="03HEADING3"/>
      </w:pPr>
      <w:r>
        <w:t>Recovery Data</w:t>
      </w:r>
    </w:p>
    <w:p w14:paraId="5D3286DD" w14:textId="77777777" w:rsidR="00EB6564" w:rsidRDefault="00EB6564" w:rsidP="00EB6564">
      <w:pPr>
        <w:pStyle w:val="05BODYTEXT"/>
      </w:pPr>
      <w:r>
        <w:t xml:space="preserve">No recovery data to report under Clause 16 of the NEPM. </w:t>
      </w:r>
    </w:p>
    <w:p w14:paraId="766CB542" w14:textId="77777777" w:rsidR="00EB6564" w:rsidRDefault="00EB6564" w:rsidP="00EB6564">
      <w:pPr>
        <w:pStyle w:val="03HEADING3"/>
      </w:pPr>
      <w:r>
        <w:t>Supporting Data</w:t>
      </w:r>
    </w:p>
    <w:p w14:paraId="4372912C" w14:textId="77777777" w:rsidR="00EB6564" w:rsidRDefault="00EB6564" w:rsidP="00EB6564">
      <w:pPr>
        <w:pStyle w:val="05BODYTEXT"/>
      </w:pPr>
      <w:r>
        <w:t>No surveys pursuant to clause 18 were completed during the reporting period.</w:t>
      </w:r>
    </w:p>
    <w:p w14:paraId="1D3829EA" w14:textId="77777777" w:rsidR="00EB6564" w:rsidRDefault="00EB6564" w:rsidP="00EB6564">
      <w:pPr>
        <w:pStyle w:val="03HEADING3"/>
      </w:pPr>
      <w:r>
        <w:t>Complaints, Investigations and Prosecutions</w:t>
      </w:r>
    </w:p>
    <w:p w14:paraId="0EACC330" w14:textId="77777777" w:rsidR="00EB6564" w:rsidRDefault="00EB6564" w:rsidP="00EB6564">
      <w:pPr>
        <w:pStyle w:val="05BODYTEXT"/>
      </w:pPr>
      <w:r>
        <w:t>No complaints regarding brand owners or Covenant signatories were received in the reporting period, and no investigations or prosecutions were initiated.</w:t>
      </w:r>
    </w:p>
    <w:p w14:paraId="14C8BF5D" w14:textId="77777777" w:rsidR="00EB6564" w:rsidRDefault="00EB6564" w:rsidP="00EB6564">
      <w:pPr>
        <w:pStyle w:val="03HEADING3"/>
      </w:pPr>
      <w:r>
        <w:t>Statement of Interpretation of the Information</w:t>
      </w:r>
    </w:p>
    <w:p w14:paraId="74620BBA" w14:textId="77777777" w:rsidR="00EB6564" w:rsidRDefault="00EB6564" w:rsidP="00EB6564">
      <w:pPr>
        <w:pStyle w:val="05BODYTEXT"/>
      </w:pPr>
      <w:r>
        <w:t>Not applicable.</w:t>
      </w:r>
    </w:p>
    <w:p w14:paraId="7068E091" w14:textId="77777777" w:rsidR="00EB6564" w:rsidRDefault="00EB6564" w:rsidP="00EB6564">
      <w:pPr>
        <w:pStyle w:val="03HEADING3"/>
      </w:pPr>
      <w:r>
        <w:t xml:space="preserve">Local Government Data </w:t>
      </w:r>
    </w:p>
    <w:p w14:paraId="027C2094" w14:textId="77777777" w:rsidR="00EB6564" w:rsidRDefault="00EB6564" w:rsidP="00EB6564">
      <w:pPr>
        <w:pStyle w:val="05BODYTEXT"/>
      </w:pPr>
      <w:r>
        <w:rPr>
          <w:rStyle w:val="BOLD"/>
        </w:rPr>
        <w:t>Year (reporting period):</w:t>
      </w:r>
      <w:r>
        <w:t xml:space="preserve"> 1 July 2017 — 30 June 2018</w:t>
      </w:r>
    </w:p>
    <w:p w14:paraId="6EFA71A7" w14:textId="77777777" w:rsidR="00EB6564" w:rsidRDefault="00EB6564" w:rsidP="00EB6564">
      <w:pPr>
        <w:pStyle w:val="05BODYTEXT"/>
      </w:pPr>
      <w:r>
        <w:rPr>
          <w:rStyle w:val="BOLD"/>
        </w:rPr>
        <w:t>Total number of Councils reporting:</w:t>
      </w:r>
      <w:r>
        <w:t xml:space="preserve"> 28 of 29</w:t>
      </w:r>
    </w:p>
    <w:p w14:paraId="18E7141A" w14:textId="77777777" w:rsidR="00EB6564" w:rsidRDefault="00EB6564" w:rsidP="00EB6564">
      <w:pPr>
        <w:pStyle w:val="05BODYTEXT"/>
      </w:pPr>
      <w:r>
        <w:rPr>
          <w:rStyle w:val="BOLD"/>
        </w:rPr>
        <w:t>Percentage of total Councils:</w:t>
      </w:r>
      <w:r>
        <w:tab/>
        <w:t>96.6% Total</w:t>
      </w:r>
    </w:p>
    <w:p w14:paraId="73FADA5F" w14:textId="77777777" w:rsidR="00EB6564" w:rsidRDefault="00EB6564" w:rsidP="00EB6564">
      <w:pPr>
        <w:pStyle w:val="05BODYTEXT"/>
        <w:spacing w:after="0"/>
        <w:rPr>
          <w:rStyle w:val="BOLD"/>
        </w:rPr>
      </w:pPr>
      <w:r>
        <w:rPr>
          <w:rStyle w:val="BOLD"/>
        </w:rPr>
        <w:lastRenderedPageBreak/>
        <w:t>Total councils reporting, broken down into the three Regional Waste Management Groups:</w:t>
      </w:r>
    </w:p>
    <w:p w14:paraId="79985FCD" w14:textId="77777777" w:rsidR="00EB6564" w:rsidRDefault="00EB6564" w:rsidP="00EB6564">
      <w:pPr>
        <w:pStyle w:val="05BODYTEXT"/>
        <w:spacing w:after="0"/>
      </w:pPr>
      <w:r>
        <w:t>Northern Tasmanian Waste Management Group – 8 councils reported</w:t>
      </w:r>
    </w:p>
    <w:p w14:paraId="65A02DE3" w14:textId="77777777" w:rsidR="00EB6564" w:rsidRDefault="00EB6564" w:rsidP="00EB6564">
      <w:pPr>
        <w:pStyle w:val="05BODYTEXT"/>
        <w:spacing w:after="0"/>
      </w:pPr>
      <w:r>
        <w:t>Cradle Coast Waste Management Group – 6 councils reported</w:t>
      </w:r>
    </w:p>
    <w:p w14:paraId="4D0D4564" w14:textId="77777777" w:rsidR="00EB6564" w:rsidRDefault="00EB6564" w:rsidP="00EB6564">
      <w:pPr>
        <w:pStyle w:val="05BODYTEXT"/>
        <w:spacing w:after="0"/>
      </w:pPr>
      <w:r>
        <w:t>Southern Waste Strategy Authority – 12 councils reported</w:t>
      </w:r>
    </w:p>
    <w:p w14:paraId="112BE4B3" w14:textId="77777777" w:rsidR="00EB6564" w:rsidRDefault="00EB6564" w:rsidP="00EB6564">
      <w:pPr>
        <w:pStyle w:val="05BODYTEXT"/>
      </w:pPr>
      <w:r>
        <w:t>Independent Councils – 2 councils reported</w:t>
      </w:r>
    </w:p>
    <w:p w14:paraId="5BF1528F" w14:textId="77777777" w:rsidR="00EB6564" w:rsidRDefault="00EB6564" w:rsidP="00EB6564">
      <w:pPr>
        <w:pStyle w:val="05BODYTEXT"/>
        <w:rPr>
          <w:rStyle w:val="BOLD"/>
        </w:rPr>
      </w:pPr>
      <w:r>
        <w:rPr>
          <w:rStyle w:val="BOLD"/>
        </w:rPr>
        <w:t>Container types and collection frequencies for all containers provided for kerbside collection by number of Councils (</w:t>
      </w:r>
      <w:proofErr w:type="gramStart"/>
      <w:r>
        <w:rPr>
          <w:rStyle w:val="BOLD"/>
        </w:rPr>
        <w:t>e.g.</w:t>
      </w:r>
      <w:proofErr w:type="gramEnd"/>
      <w:r>
        <w:rPr>
          <w:rStyle w:val="BOLD"/>
        </w:rPr>
        <w:t xml:space="preserve"> crate/split bin/bag): </w:t>
      </w:r>
    </w:p>
    <w:tbl>
      <w:tblPr>
        <w:tblW w:w="0" w:type="auto"/>
        <w:tblInd w:w="-5" w:type="dxa"/>
        <w:tblLayout w:type="fixed"/>
        <w:tblCellMar>
          <w:left w:w="0" w:type="dxa"/>
          <w:right w:w="0" w:type="dxa"/>
        </w:tblCellMar>
        <w:tblLook w:val="0000" w:firstRow="0" w:lastRow="0" w:firstColumn="0" w:lastColumn="0" w:noHBand="0" w:noVBand="0"/>
      </w:tblPr>
      <w:tblGrid>
        <w:gridCol w:w="1854"/>
        <w:gridCol w:w="1854"/>
        <w:gridCol w:w="1855"/>
        <w:gridCol w:w="1854"/>
      </w:tblGrid>
      <w:tr w:rsidR="00EB6564" w14:paraId="0499C66D" w14:textId="77777777">
        <w:trPr>
          <w:trHeight w:val="60"/>
          <w:tblHeader/>
        </w:trPr>
        <w:tc>
          <w:tcPr>
            <w:tcW w:w="185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3F9263E" w14:textId="77777777" w:rsidR="00EB6564" w:rsidRDefault="00EB6564">
            <w:pPr>
              <w:pStyle w:val="06bTABLEHEADERROW"/>
              <w:jc w:val="center"/>
            </w:pPr>
            <w:r>
              <w:t xml:space="preserve">Container type </w:t>
            </w:r>
          </w:p>
        </w:tc>
        <w:tc>
          <w:tcPr>
            <w:tcW w:w="185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83D00C0" w14:textId="77777777" w:rsidR="00EB6564" w:rsidRDefault="00EB6564">
            <w:pPr>
              <w:pStyle w:val="06bTABLEHEADERROW"/>
              <w:jc w:val="center"/>
            </w:pPr>
            <w:r>
              <w:t>Material type collected in container</w:t>
            </w:r>
          </w:p>
        </w:tc>
        <w:tc>
          <w:tcPr>
            <w:tcW w:w="185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75292A0" w14:textId="77777777" w:rsidR="00EB6564" w:rsidRDefault="00EB6564">
            <w:pPr>
              <w:pStyle w:val="06bTABLEHEADERROW"/>
              <w:jc w:val="center"/>
            </w:pPr>
            <w:r>
              <w:t>Frequency of service</w:t>
            </w:r>
          </w:p>
        </w:tc>
        <w:tc>
          <w:tcPr>
            <w:tcW w:w="185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35CFEBE7" w14:textId="77777777" w:rsidR="00EB6564" w:rsidRDefault="00EB6564">
            <w:pPr>
              <w:pStyle w:val="06bTABLEHEADERROW"/>
              <w:jc w:val="center"/>
            </w:pPr>
            <w:r>
              <w:t>Total No. of councils</w:t>
            </w:r>
          </w:p>
        </w:tc>
      </w:tr>
      <w:tr w:rsidR="00EB6564" w14:paraId="2C454501" w14:textId="77777777">
        <w:trPr>
          <w:trHeight w:val="60"/>
        </w:trPr>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A5DFE58" w14:textId="77777777" w:rsidR="00EB6564" w:rsidRDefault="00EB6564">
            <w:pPr>
              <w:pStyle w:val="06cTABLETEXT"/>
              <w:jc w:val="center"/>
            </w:pPr>
            <w:r>
              <w:t>MGB 140L</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2F33908" w14:textId="77777777" w:rsidR="00EB6564" w:rsidRDefault="00EB6564">
            <w:pPr>
              <w:pStyle w:val="06cTABLETEXT"/>
              <w:jc w:val="center"/>
            </w:pPr>
            <w:r>
              <w:t>Comingled recyclables</w:t>
            </w:r>
          </w:p>
        </w:tc>
        <w:tc>
          <w:tcPr>
            <w:tcW w:w="18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7DFB12F" w14:textId="77777777" w:rsidR="00EB6564" w:rsidRDefault="00EB6564">
            <w:pPr>
              <w:pStyle w:val="06cTABLETEXT"/>
              <w:jc w:val="center"/>
            </w:pPr>
            <w:r>
              <w:t>Fortnightly</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B9D4AA5" w14:textId="77777777" w:rsidR="00EB6564" w:rsidRDefault="00EB6564">
            <w:pPr>
              <w:pStyle w:val="06cTABLETEXT"/>
              <w:jc w:val="center"/>
            </w:pPr>
            <w:r>
              <w:t>1</w:t>
            </w:r>
          </w:p>
        </w:tc>
      </w:tr>
      <w:tr w:rsidR="00EB6564" w14:paraId="72998ED9" w14:textId="77777777">
        <w:trPr>
          <w:trHeight w:val="60"/>
        </w:trPr>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874FF84" w14:textId="77777777" w:rsidR="00EB6564" w:rsidRDefault="00EB6564">
            <w:pPr>
              <w:pStyle w:val="06cTABLETEXT"/>
              <w:jc w:val="center"/>
            </w:pPr>
            <w:r>
              <w:t>MGB 240L</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B7B6816" w14:textId="77777777" w:rsidR="00EB6564" w:rsidRDefault="00EB6564">
            <w:pPr>
              <w:pStyle w:val="06cTABLETEXT"/>
              <w:jc w:val="center"/>
            </w:pPr>
            <w:r>
              <w:t>Comingled recyclables</w:t>
            </w:r>
          </w:p>
        </w:tc>
        <w:tc>
          <w:tcPr>
            <w:tcW w:w="18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54D4A9" w14:textId="77777777" w:rsidR="00EB6564" w:rsidRDefault="00EB6564">
            <w:pPr>
              <w:pStyle w:val="06cTABLETEXT"/>
              <w:jc w:val="center"/>
            </w:pPr>
            <w:r>
              <w:t>Fortnightly</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6F0181" w14:textId="77777777" w:rsidR="00EB6564" w:rsidRDefault="00EB6564">
            <w:pPr>
              <w:pStyle w:val="06cTABLETEXT"/>
              <w:jc w:val="center"/>
            </w:pPr>
            <w:r>
              <w:t>19</w:t>
            </w:r>
          </w:p>
        </w:tc>
      </w:tr>
      <w:tr w:rsidR="00EB6564" w14:paraId="413974B7" w14:textId="77777777">
        <w:trPr>
          <w:trHeight w:val="60"/>
        </w:trPr>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80A04A2" w14:textId="77777777" w:rsidR="00EB6564" w:rsidRDefault="00EB6564">
            <w:pPr>
              <w:pStyle w:val="06cTABLETEXT"/>
              <w:jc w:val="center"/>
            </w:pPr>
            <w:r>
              <w:t>MGB 140L &amp; 240L options</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0360809D" w14:textId="77777777" w:rsidR="00EB6564" w:rsidRDefault="00EB6564">
            <w:pPr>
              <w:pStyle w:val="06cTABLETEXT"/>
              <w:jc w:val="center"/>
            </w:pPr>
            <w:r>
              <w:t>Comingled recyclables</w:t>
            </w:r>
          </w:p>
        </w:tc>
        <w:tc>
          <w:tcPr>
            <w:tcW w:w="18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832BEA2" w14:textId="77777777" w:rsidR="00EB6564" w:rsidRDefault="00EB6564">
            <w:pPr>
              <w:pStyle w:val="06cTABLETEXT"/>
              <w:jc w:val="center"/>
            </w:pPr>
            <w:r>
              <w:t>Fortnightly (for both options)</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DC81E26" w14:textId="77777777" w:rsidR="00EB6564" w:rsidRDefault="00EB6564">
            <w:pPr>
              <w:pStyle w:val="06cTABLETEXT"/>
              <w:jc w:val="center"/>
            </w:pPr>
            <w:r>
              <w:t>8</w:t>
            </w:r>
          </w:p>
        </w:tc>
      </w:tr>
    </w:tbl>
    <w:p w14:paraId="21378DF2" w14:textId="77777777" w:rsidR="00EB6564" w:rsidRDefault="00EB6564" w:rsidP="00EB6564">
      <w:pPr>
        <w:pStyle w:val="05BODYTEXT"/>
        <w:spacing w:before="283"/>
      </w:pPr>
      <w:r>
        <w:rPr>
          <w:rStyle w:val="BOLD"/>
        </w:rPr>
        <w:t>Other type of recycling services (</w:t>
      </w:r>
      <w:proofErr w:type="gramStart"/>
      <w:r>
        <w:rPr>
          <w:rStyle w:val="BOLD"/>
        </w:rPr>
        <w:t>e.g.</w:t>
      </w:r>
      <w:proofErr w:type="gramEnd"/>
      <w:r>
        <w:rPr>
          <w:rStyle w:val="BOLD"/>
        </w:rPr>
        <w:t xml:space="preserve"> drop off) by number of Councils:</w:t>
      </w:r>
      <w:r>
        <w:t xml:space="preserve"> All councils provide alternative drop-off facilities either at the landfills or waste transfer stations. Several councils offer recycling bins at council parks and grounds.</w:t>
      </w:r>
    </w:p>
    <w:p w14:paraId="6B4D3422" w14:textId="77777777" w:rsidR="00EB6564" w:rsidRDefault="00EB6564" w:rsidP="00EB6564">
      <w:pPr>
        <w:pStyle w:val="05BODYTEXT"/>
        <w:spacing w:after="0"/>
      </w:pPr>
      <w:r>
        <w:rPr>
          <w:rStyle w:val="BOLD"/>
        </w:rPr>
        <w:t>Total Number of premises/households:</w:t>
      </w:r>
      <w:r>
        <w:t xml:space="preserve"> </w:t>
      </w:r>
    </w:p>
    <w:p w14:paraId="0BD5F78A" w14:textId="77777777" w:rsidR="00EB6564" w:rsidRDefault="00EB6564" w:rsidP="00EB6564">
      <w:pPr>
        <w:pStyle w:val="05BODYTEXT"/>
        <w:spacing w:after="0"/>
      </w:pPr>
      <w:r>
        <w:t xml:space="preserve">Residential 215,735 </w:t>
      </w:r>
    </w:p>
    <w:p w14:paraId="2A860DED" w14:textId="77777777" w:rsidR="00EB6564" w:rsidRDefault="00EB6564" w:rsidP="00EB6564">
      <w:pPr>
        <w:pStyle w:val="05BODYTEXT"/>
      </w:pPr>
      <w:r>
        <w:t xml:space="preserve">Non-Residential 22,915 </w:t>
      </w:r>
    </w:p>
    <w:p w14:paraId="73D0F7B0" w14:textId="77777777" w:rsidR="00EB6564" w:rsidRDefault="00EB6564" w:rsidP="00EB6564">
      <w:pPr>
        <w:pStyle w:val="05BODYTEXT"/>
        <w:spacing w:after="0"/>
        <w:rPr>
          <w:rStyle w:val="BOLD"/>
        </w:rPr>
      </w:pPr>
      <w:r>
        <w:rPr>
          <w:rStyle w:val="BOLD"/>
        </w:rPr>
        <w:t>Number of households/premises serviced by recycling collections:</w:t>
      </w:r>
    </w:p>
    <w:p w14:paraId="32BB1CCA" w14:textId="77777777" w:rsidR="00EB6564" w:rsidRDefault="00EB6564" w:rsidP="00EB6564">
      <w:pPr>
        <w:pStyle w:val="05BODYTEXT"/>
        <w:spacing w:after="0"/>
      </w:pPr>
      <w:r>
        <w:t xml:space="preserve">Kerbside: </w:t>
      </w:r>
      <w:r>
        <w:tab/>
        <w:t xml:space="preserve">Drop off (Optional): </w:t>
      </w:r>
    </w:p>
    <w:p w14:paraId="4F4C42FB" w14:textId="77777777" w:rsidR="00EB6564" w:rsidRDefault="00EB6564" w:rsidP="00EB6564">
      <w:pPr>
        <w:pStyle w:val="05BODYTEXT"/>
        <w:spacing w:after="0"/>
      </w:pPr>
      <w:r>
        <w:t>Residential</w:t>
      </w:r>
      <w:r>
        <w:tab/>
        <w:t>207,722</w:t>
      </w:r>
      <w:r>
        <w:tab/>
        <w:t xml:space="preserve">93,363 </w:t>
      </w:r>
    </w:p>
    <w:p w14:paraId="3BB2699B" w14:textId="77777777" w:rsidR="00EB6564" w:rsidRDefault="00EB6564" w:rsidP="00EB6564">
      <w:pPr>
        <w:pStyle w:val="05BODYTEXT"/>
      </w:pPr>
      <w:r>
        <w:t>Non-residential</w:t>
      </w:r>
      <w:r>
        <w:tab/>
        <w:t>3,076</w:t>
      </w:r>
      <w:r>
        <w:tab/>
        <w:t xml:space="preserve">24,528 </w:t>
      </w:r>
    </w:p>
    <w:p w14:paraId="468A31A8" w14:textId="77777777" w:rsidR="00EB6564" w:rsidRDefault="00EB6564" w:rsidP="00EB6564">
      <w:pPr>
        <w:pStyle w:val="05BODYTEXT"/>
        <w:spacing w:after="0"/>
        <w:rPr>
          <w:rStyle w:val="BOLD"/>
        </w:rPr>
      </w:pPr>
      <w:r>
        <w:rPr>
          <w:rStyle w:val="BOLD"/>
        </w:rPr>
        <w:t xml:space="preserve">Average premises fee charged by Councils for recycling services. </w:t>
      </w:r>
    </w:p>
    <w:p w14:paraId="3E9FC569" w14:textId="77777777" w:rsidR="00EB6564" w:rsidRDefault="00EB6564" w:rsidP="00EB6564">
      <w:pPr>
        <w:pStyle w:val="05BODYTEXT"/>
        <w:tabs>
          <w:tab w:val="left" w:pos="840"/>
          <w:tab w:val="left" w:pos="1020"/>
          <w:tab w:val="left" w:pos="1900"/>
          <w:tab w:val="left" w:pos="3020"/>
          <w:tab w:val="left" w:pos="3240"/>
        </w:tabs>
      </w:pPr>
      <w:r>
        <w:t xml:space="preserve">Residential </w:t>
      </w:r>
      <w:r>
        <w:tab/>
        <w:t xml:space="preserve">$ </w:t>
      </w:r>
      <w:r>
        <w:tab/>
        <w:t>93.57</w:t>
      </w:r>
      <w:r>
        <w:tab/>
        <w:t>Non-residential</w:t>
      </w:r>
      <w:r>
        <w:tab/>
        <w:t xml:space="preserve">$ </w:t>
      </w:r>
      <w:r>
        <w:tab/>
        <w:t>153.13</w:t>
      </w:r>
    </w:p>
    <w:p w14:paraId="12651CA6" w14:textId="77777777" w:rsidR="00EB6564" w:rsidRDefault="00EB6564" w:rsidP="00EB6564">
      <w:pPr>
        <w:pStyle w:val="05BODYTEXT"/>
        <w:tabs>
          <w:tab w:val="left" w:pos="840"/>
          <w:tab w:val="left" w:pos="1020"/>
          <w:tab w:val="left" w:pos="1900"/>
          <w:tab w:val="left" w:pos="3020"/>
          <w:tab w:val="left" w:pos="3240"/>
        </w:tabs>
        <w:spacing w:after="0"/>
        <w:rPr>
          <w:rStyle w:val="BOLD"/>
        </w:rPr>
      </w:pPr>
      <w:r>
        <w:rPr>
          <w:rStyle w:val="BOLD"/>
        </w:rPr>
        <w:t xml:space="preserve">Annual average per premises cost to Council to provide a recycling service. </w:t>
      </w:r>
    </w:p>
    <w:p w14:paraId="4C08B511" w14:textId="77777777" w:rsidR="00EB6564" w:rsidRDefault="00EB6564" w:rsidP="00EB6564">
      <w:pPr>
        <w:pStyle w:val="05BODYTEXT"/>
        <w:tabs>
          <w:tab w:val="left" w:pos="840"/>
          <w:tab w:val="left" w:pos="1020"/>
          <w:tab w:val="left" w:pos="1900"/>
          <w:tab w:val="left" w:pos="3020"/>
          <w:tab w:val="left" w:pos="3240"/>
        </w:tabs>
      </w:pPr>
      <w:r>
        <w:t xml:space="preserve">Residential </w:t>
      </w:r>
      <w:r>
        <w:tab/>
        <w:t xml:space="preserve">$ </w:t>
      </w:r>
      <w:r>
        <w:tab/>
        <w:t>68.93</w:t>
      </w:r>
      <w:r>
        <w:tab/>
        <w:t>Non-residential</w:t>
      </w:r>
      <w:r>
        <w:tab/>
        <w:t xml:space="preserve">$ </w:t>
      </w:r>
      <w:r>
        <w:tab/>
        <w:t>72.81</w:t>
      </w:r>
    </w:p>
    <w:p w14:paraId="05171FD3" w14:textId="77777777" w:rsidR="00EB6564" w:rsidRDefault="00EB6564" w:rsidP="00EB6564">
      <w:pPr>
        <w:pStyle w:val="05BODYTEXT"/>
        <w:tabs>
          <w:tab w:val="left" w:pos="840"/>
          <w:tab w:val="left" w:pos="1020"/>
          <w:tab w:val="left" w:pos="1900"/>
          <w:tab w:val="left" w:pos="3020"/>
          <w:tab w:val="left" w:pos="3240"/>
        </w:tabs>
      </w:pPr>
      <w:r>
        <w:rPr>
          <w:rStyle w:val="BOLD"/>
        </w:rPr>
        <w:t xml:space="preserve">Proportion of household/premises with access to a recycling service. </w:t>
      </w:r>
      <w:r>
        <w:t>80%</w:t>
      </w:r>
    </w:p>
    <w:p w14:paraId="632CA28A" w14:textId="77777777" w:rsidR="00EB6564" w:rsidRDefault="00EB6564" w:rsidP="00EB6564">
      <w:pPr>
        <w:pStyle w:val="05BODYTEXT"/>
        <w:tabs>
          <w:tab w:val="left" w:pos="840"/>
          <w:tab w:val="left" w:pos="1020"/>
          <w:tab w:val="left" w:pos="1900"/>
          <w:tab w:val="left" w:pos="3020"/>
          <w:tab w:val="left" w:pos="3240"/>
        </w:tabs>
      </w:pPr>
      <w:r>
        <w:rPr>
          <w:rStyle w:val="BOLD"/>
        </w:rPr>
        <w:t>Average participation rate:</w:t>
      </w:r>
      <w:r>
        <w:t xml:space="preserve"> 83%</w:t>
      </w:r>
    </w:p>
    <w:p w14:paraId="21CA0B37" w14:textId="77777777" w:rsidR="00EB6564" w:rsidRDefault="00EB6564" w:rsidP="00EB6564">
      <w:pPr>
        <w:pStyle w:val="06TABLEHEADING"/>
      </w:pPr>
      <w:r>
        <w:t>Table 1: Amounts of materials collected at the kerbside, sent for secondary use/energy recovery and contamination (waste) disposed of to landfill 1 July 2017—30 June 2018</w:t>
      </w:r>
    </w:p>
    <w:tbl>
      <w:tblPr>
        <w:tblW w:w="0" w:type="auto"/>
        <w:tblInd w:w="-5" w:type="dxa"/>
        <w:tblLayout w:type="fixed"/>
        <w:tblCellMar>
          <w:left w:w="0" w:type="dxa"/>
          <w:right w:w="0" w:type="dxa"/>
        </w:tblCellMar>
        <w:tblLook w:val="0000" w:firstRow="0" w:lastRow="0" w:firstColumn="0" w:lastColumn="0" w:noHBand="0" w:noVBand="0"/>
      </w:tblPr>
      <w:tblGrid>
        <w:gridCol w:w="1854"/>
        <w:gridCol w:w="1854"/>
        <w:gridCol w:w="1855"/>
        <w:gridCol w:w="1854"/>
      </w:tblGrid>
      <w:tr w:rsidR="00EB6564" w14:paraId="14166139" w14:textId="77777777">
        <w:trPr>
          <w:trHeight w:val="60"/>
          <w:tblHeader/>
        </w:trPr>
        <w:tc>
          <w:tcPr>
            <w:tcW w:w="185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F1D018A" w14:textId="77777777" w:rsidR="00EB6564" w:rsidRDefault="00EB6564">
            <w:pPr>
              <w:pStyle w:val="06bTABLEHEADERROW"/>
            </w:pPr>
            <w:r>
              <w:rPr>
                <w:sz w:val="15"/>
                <w:szCs w:val="15"/>
              </w:rPr>
              <w:t>Material Types collected at kerbside</w:t>
            </w:r>
          </w:p>
        </w:tc>
        <w:tc>
          <w:tcPr>
            <w:tcW w:w="185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76D0ECB0" w14:textId="77777777" w:rsidR="00EB6564" w:rsidRDefault="00EB6564">
            <w:pPr>
              <w:pStyle w:val="06bTABLEHEADERROW"/>
              <w:jc w:val="center"/>
            </w:pPr>
            <w:r>
              <w:rPr>
                <w:sz w:val="15"/>
                <w:szCs w:val="15"/>
              </w:rPr>
              <w:t>Kerbside recycling collected (in tonnes)</w:t>
            </w:r>
          </w:p>
        </w:tc>
        <w:tc>
          <w:tcPr>
            <w:tcW w:w="1855"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481508CF" w14:textId="77777777" w:rsidR="00EB6564" w:rsidRDefault="00EB6564">
            <w:pPr>
              <w:pStyle w:val="06bTABLEHEADERROW"/>
              <w:jc w:val="center"/>
            </w:pPr>
            <w:r>
              <w:rPr>
                <w:sz w:val="15"/>
                <w:szCs w:val="15"/>
              </w:rPr>
              <w:t>Kerbside recycling sold or sent for secondary use including energy recovery by material type (in tonnes)</w:t>
            </w:r>
          </w:p>
        </w:tc>
        <w:tc>
          <w:tcPr>
            <w:tcW w:w="185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69FFC430" w14:textId="77777777" w:rsidR="00EB6564" w:rsidRDefault="00EB6564">
            <w:pPr>
              <w:pStyle w:val="06bTABLEHEADERROW"/>
              <w:jc w:val="center"/>
            </w:pPr>
            <w:r>
              <w:rPr>
                <w:sz w:val="15"/>
                <w:szCs w:val="15"/>
              </w:rPr>
              <w:t>Kerbside recycling residual waste (contaminants) disposed of to landfill (only report total tonnes)</w:t>
            </w:r>
          </w:p>
        </w:tc>
      </w:tr>
      <w:tr w:rsidR="00EB6564" w14:paraId="72A3125A" w14:textId="77777777">
        <w:trPr>
          <w:trHeight w:val="60"/>
        </w:trPr>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399C7DE2" w14:textId="77777777" w:rsidR="00EB6564" w:rsidRDefault="00EB6564">
            <w:pPr>
              <w:pStyle w:val="06cTABLETEXT"/>
            </w:pPr>
            <w:r>
              <w:t xml:space="preserve">Total packaging paper </w:t>
            </w:r>
            <w:proofErr w:type="gramStart"/>
            <w:r>
              <w:t>i.e.</w:t>
            </w:r>
            <w:proofErr w:type="gramEnd"/>
            <w:r>
              <w:t xml:space="preserve"> cardboard and liquid paper board</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43960717" w14:textId="77777777" w:rsidR="00EB6564" w:rsidRDefault="00EB6564">
            <w:pPr>
              <w:pStyle w:val="NoParagraphStyle"/>
              <w:spacing w:line="240" w:lineRule="auto"/>
              <w:textAlignment w:val="auto"/>
              <w:rPr>
                <w:rFonts w:ascii="Calibri" w:hAnsi="Calibri" w:cs="Calibri"/>
                <w:color w:val="auto"/>
              </w:rPr>
            </w:pPr>
          </w:p>
        </w:tc>
        <w:tc>
          <w:tcPr>
            <w:tcW w:w="18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6D9ADBD6" w14:textId="77777777" w:rsidR="00EB6564" w:rsidRDefault="00EB6564">
            <w:pPr>
              <w:pStyle w:val="06cTABLETEXT"/>
              <w:jc w:val="right"/>
            </w:pPr>
            <w:r>
              <w:t>21,738</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68F0A2D1" w14:textId="77777777" w:rsidR="00EB6564" w:rsidRDefault="00EB6564">
            <w:pPr>
              <w:pStyle w:val="NoParagraphStyle"/>
              <w:spacing w:line="240" w:lineRule="auto"/>
              <w:textAlignment w:val="auto"/>
              <w:rPr>
                <w:rFonts w:ascii="Calibri" w:hAnsi="Calibri" w:cs="Calibri"/>
                <w:color w:val="auto"/>
              </w:rPr>
            </w:pPr>
          </w:p>
        </w:tc>
      </w:tr>
      <w:tr w:rsidR="00EB6564" w14:paraId="5DB72E09" w14:textId="77777777">
        <w:trPr>
          <w:trHeight w:val="60"/>
        </w:trPr>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503EC25" w14:textId="77777777" w:rsidR="00EB6564" w:rsidRDefault="00EB6564">
            <w:pPr>
              <w:pStyle w:val="06cTABLETEXT"/>
            </w:pPr>
            <w:r>
              <w:t xml:space="preserve">Total </w:t>
            </w:r>
            <w:proofErr w:type="spellStart"/>
            <w:r>
              <w:t>non packaging</w:t>
            </w:r>
            <w:proofErr w:type="spellEnd"/>
            <w:r>
              <w:t xml:space="preserve"> paper </w:t>
            </w:r>
            <w:proofErr w:type="gramStart"/>
            <w:r>
              <w:t>i.e.</w:t>
            </w:r>
            <w:proofErr w:type="gramEnd"/>
            <w:r>
              <w:t xml:space="preserve"> paper mixed, paper white office, newspaper and magazines</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3287458C" w14:textId="77777777" w:rsidR="00EB6564" w:rsidRDefault="00EB6564">
            <w:pPr>
              <w:pStyle w:val="NoParagraphStyle"/>
              <w:spacing w:line="240" w:lineRule="auto"/>
              <w:textAlignment w:val="auto"/>
              <w:rPr>
                <w:rFonts w:ascii="Calibri" w:hAnsi="Calibri" w:cs="Calibri"/>
                <w:color w:val="auto"/>
              </w:rPr>
            </w:pPr>
          </w:p>
        </w:tc>
        <w:tc>
          <w:tcPr>
            <w:tcW w:w="18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0A83DA50" w14:textId="77777777" w:rsidR="00EB6564" w:rsidRDefault="00EB6564">
            <w:pPr>
              <w:pStyle w:val="06cTABLETEXT"/>
              <w:jc w:val="right"/>
            </w:pPr>
            <w:r>
              <w:t>5,275</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7F5AE95A" w14:textId="77777777" w:rsidR="00EB6564" w:rsidRDefault="00EB6564">
            <w:pPr>
              <w:pStyle w:val="NoParagraphStyle"/>
              <w:spacing w:line="240" w:lineRule="auto"/>
              <w:textAlignment w:val="auto"/>
              <w:rPr>
                <w:rFonts w:ascii="Calibri" w:hAnsi="Calibri" w:cs="Calibri"/>
                <w:color w:val="auto"/>
              </w:rPr>
            </w:pPr>
          </w:p>
        </w:tc>
      </w:tr>
      <w:tr w:rsidR="00EB6564" w14:paraId="64766D4B" w14:textId="77777777">
        <w:trPr>
          <w:trHeight w:val="60"/>
        </w:trPr>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76DF159" w14:textId="77777777" w:rsidR="00EB6564" w:rsidRDefault="00EB6564">
            <w:pPr>
              <w:pStyle w:val="06cTABLETEXT"/>
            </w:pPr>
            <w:r>
              <w:t>Total glass</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2FD0DA9F" w14:textId="77777777" w:rsidR="00EB6564" w:rsidRDefault="00EB6564">
            <w:pPr>
              <w:pStyle w:val="NoParagraphStyle"/>
              <w:spacing w:line="240" w:lineRule="auto"/>
              <w:textAlignment w:val="auto"/>
              <w:rPr>
                <w:rFonts w:ascii="Calibri" w:hAnsi="Calibri" w:cs="Calibri"/>
                <w:color w:val="auto"/>
              </w:rPr>
            </w:pPr>
          </w:p>
        </w:tc>
        <w:tc>
          <w:tcPr>
            <w:tcW w:w="18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7A5FBFD4" w14:textId="77777777" w:rsidR="00EB6564" w:rsidRDefault="00EB6564">
            <w:pPr>
              <w:pStyle w:val="06cTABLETEXT"/>
              <w:jc w:val="right"/>
            </w:pPr>
            <w:r>
              <w:t>15,317</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464F1F74" w14:textId="77777777" w:rsidR="00EB6564" w:rsidRDefault="00EB6564">
            <w:pPr>
              <w:pStyle w:val="NoParagraphStyle"/>
              <w:spacing w:line="240" w:lineRule="auto"/>
              <w:textAlignment w:val="auto"/>
              <w:rPr>
                <w:rFonts w:ascii="Calibri" w:hAnsi="Calibri" w:cs="Calibri"/>
                <w:color w:val="auto"/>
              </w:rPr>
            </w:pPr>
          </w:p>
        </w:tc>
      </w:tr>
      <w:tr w:rsidR="00EB6564" w14:paraId="2FA42975" w14:textId="77777777">
        <w:trPr>
          <w:trHeight w:val="60"/>
        </w:trPr>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E4BD361" w14:textId="77777777" w:rsidR="00EB6564" w:rsidRDefault="00EB6564">
            <w:pPr>
              <w:pStyle w:val="06cTABLETEXT"/>
            </w:pPr>
            <w:r>
              <w:t>Total plastics</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2DF8F0C1" w14:textId="77777777" w:rsidR="00EB6564" w:rsidRDefault="00EB6564">
            <w:pPr>
              <w:pStyle w:val="NoParagraphStyle"/>
              <w:spacing w:line="240" w:lineRule="auto"/>
              <w:textAlignment w:val="auto"/>
              <w:rPr>
                <w:rFonts w:ascii="Calibri" w:hAnsi="Calibri" w:cs="Calibri"/>
                <w:color w:val="auto"/>
              </w:rPr>
            </w:pPr>
          </w:p>
        </w:tc>
        <w:tc>
          <w:tcPr>
            <w:tcW w:w="18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4238DEA6" w14:textId="77777777" w:rsidR="00EB6564" w:rsidRDefault="00EB6564">
            <w:pPr>
              <w:pStyle w:val="06cTABLETEXT"/>
              <w:jc w:val="right"/>
            </w:pPr>
            <w:r>
              <w:t>3,202</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1AC26B89" w14:textId="77777777" w:rsidR="00EB6564" w:rsidRDefault="00EB6564">
            <w:pPr>
              <w:pStyle w:val="NoParagraphStyle"/>
              <w:spacing w:line="240" w:lineRule="auto"/>
              <w:textAlignment w:val="auto"/>
              <w:rPr>
                <w:rFonts w:ascii="Calibri" w:hAnsi="Calibri" w:cs="Calibri"/>
                <w:color w:val="auto"/>
              </w:rPr>
            </w:pPr>
          </w:p>
        </w:tc>
      </w:tr>
      <w:tr w:rsidR="00EB6564" w14:paraId="3A779356" w14:textId="77777777">
        <w:trPr>
          <w:trHeight w:val="60"/>
        </w:trPr>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7D73A4E" w14:textId="77777777" w:rsidR="00EB6564" w:rsidRDefault="00EB6564">
            <w:pPr>
              <w:pStyle w:val="06cTABLETEXT"/>
            </w:pPr>
            <w:r>
              <w:t>Total aluminium (cans)</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26E4A325" w14:textId="77777777" w:rsidR="00EB6564" w:rsidRDefault="00EB6564">
            <w:pPr>
              <w:pStyle w:val="NoParagraphStyle"/>
              <w:spacing w:line="240" w:lineRule="auto"/>
              <w:textAlignment w:val="auto"/>
              <w:rPr>
                <w:rFonts w:ascii="Calibri" w:hAnsi="Calibri" w:cs="Calibri"/>
                <w:color w:val="auto"/>
              </w:rPr>
            </w:pPr>
          </w:p>
        </w:tc>
        <w:tc>
          <w:tcPr>
            <w:tcW w:w="18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2C538FFE" w14:textId="77777777" w:rsidR="00EB6564" w:rsidRDefault="00EB6564">
            <w:pPr>
              <w:pStyle w:val="06cTABLETEXT"/>
              <w:jc w:val="right"/>
            </w:pPr>
            <w:r>
              <w:t>557.81</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1CC7DD0A" w14:textId="77777777" w:rsidR="00EB6564" w:rsidRDefault="00EB6564">
            <w:pPr>
              <w:pStyle w:val="NoParagraphStyle"/>
              <w:spacing w:line="240" w:lineRule="auto"/>
              <w:textAlignment w:val="auto"/>
              <w:rPr>
                <w:rFonts w:ascii="Calibri" w:hAnsi="Calibri" w:cs="Calibri"/>
                <w:color w:val="auto"/>
              </w:rPr>
            </w:pPr>
          </w:p>
        </w:tc>
      </w:tr>
      <w:tr w:rsidR="00EB6564" w14:paraId="5FFB6FFF" w14:textId="77777777">
        <w:trPr>
          <w:trHeight w:val="60"/>
        </w:trPr>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85C27C1" w14:textId="77777777" w:rsidR="00EB6564" w:rsidRDefault="00EB6564">
            <w:pPr>
              <w:pStyle w:val="06cTABLETEXT"/>
            </w:pPr>
            <w:r>
              <w:lastRenderedPageBreak/>
              <w:t>Total steel (cans, tins etc.)</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226DE4F7" w14:textId="77777777" w:rsidR="00EB6564" w:rsidRDefault="00EB6564">
            <w:pPr>
              <w:pStyle w:val="NoParagraphStyle"/>
              <w:spacing w:line="240" w:lineRule="auto"/>
              <w:textAlignment w:val="auto"/>
              <w:rPr>
                <w:rFonts w:ascii="Calibri" w:hAnsi="Calibri" w:cs="Calibri"/>
                <w:color w:val="auto"/>
              </w:rPr>
            </w:pPr>
          </w:p>
        </w:tc>
        <w:tc>
          <w:tcPr>
            <w:tcW w:w="18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6CF5A701" w14:textId="77777777" w:rsidR="00EB6564" w:rsidRDefault="00EB6564">
            <w:pPr>
              <w:pStyle w:val="06cTABLETEXT"/>
              <w:jc w:val="right"/>
            </w:pPr>
            <w:r>
              <w:t>867.08</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2714B1F3" w14:textId="77777777" w:rsidR="00EB6564" w:rsidRDefault="00EB6564">
            <w:pPr>
              <w:pStyle w:val="NoParagraphStyle"/>
              <w:spacing w:line="240" w:lineRule="auto"/>
              <w:textAlignment w:val="auto"/>
              <w:rPr>
                <w:rFonts w:ascii="Calibri" w:hAnsi="Calibri" w:cs="Calibri"/>
                <w:color w:val="auto"/>
              </w:rPr>
            </w:pPr>
          </w:p>
        </w:tc>
      </w:tr>
      <w:tr w:rsidR="00EB6564" w14:paraId="37A7D122" w14:textId="77777777">
        <w:trPr>
          <w:trHeight w:val="60"/>
        </w:trPr>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4C0476BB" w14:textId="77777777" w:rsidR="00EB6564" w:rsidRDefault="00EB6564">
            <w:pPr>
              <w:pStyle w:val="06cTABLETEXT"/>
            </w:pPr>
            <w:r>
              <w:rPr>
                <w:rStyle w:val="BOLD"/>
              </w:rPr>
              <w:t>Total</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624BCFC1" w14:textId="77777777" w:rsidR="00EB6564" w:rsidRDefault="00EB6564">
            <w:pPr>
              <w:pStyle w:val="06cTABLETEXT"/>
              <w:jc w:val="right"/>
            </w:pPr>
            <w:r>
              <w:rPr>
                <w:rStyle w:val="BOLD"/>
              </w:rPr>
              <w:t>51,276</w:t>
            </w:r>
          </w:p>
        </w:tc>
        <w:tc>
          <w:tcPr>
            <w:tcW w:w="1855"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116E0791" w14:textId="77777777" w:rsidR="00EB6564" w:rsidRDefault="00EB6564">
            <w:pPr>
              <w:pStyle w:val="06cTABLETEXT"/>
              <w:jc w:val="right"/>
            </w:pPr>
            <w:r>
              <w:rPr>
                <w:rStyle w:val="BOLD"/>
              </w:rPr>
              <w:t>46956.35</w:t>
            </w:r>
          </w:p>
        </w:tc>
        <w:tc>
          <w:tcPr>
            <w:tcW w:w="1854" w:type="dxa"/>
            <w:tcBorders>
              <w:top w:val="single" w:sz="4" w:space="0" w:color="FFFFFF"/>
              <w:left w:val="single" w:sz="4" w:space="0" w:color="FFFFFF"/>
              <w:bottom w:val="single" w:sz="4" w:space="0" w:color="FFFFFF"/>
              <w:right w:val="single" w:sz="4" w:space="0" w:color="FFFFFF"/>
            </w:tcBorders>
            <w:shd w:val="solid" w:color="CECECE" w:fill="auto"/>
            <w:tcMar>
              <w:top w:w="85" w:type="dxa"/>
              <w:left w:w="0" w:type="dxa"/>
              <w:bottom w:w="85" w:type="dxa"/>
              <w:right w:w="680" w:type="dxa"/>
            </w:tcMar>
            <w:vAlign w:val="center"/>
          </w:tcPr>
          <w:p w14:paraId="45250118" w14:textId="77777777" w:rsidR="00EB6564" w:rsidRDefault="00EB6564">
            <w:pPr>
              <w:pStyle w:val="06cTABLETEXT"/>
              <w:jc w:val="right"/>
            </w:pPr>
            <w:r>
              <w:rPr>
                <w:rStyle w:val="BOLD"/>
              </w:rPr>
              <w:t>4319.52</w:t>
            </w:r>
          </w:p>
        </w:tc>
      </w:tr>
    </w:tbl>
    <w:p w14:paraId="3C0ECFE8" w14:textId="77777777" w:rsidR="00EB6564" w:rsidRDefault="00EB6564" w:rsidP="00EB6564">
      <w:pPr>
        <w:pStyle w:val="05BODYTEXT"/>
      </w:pPr>
    </w:p>
    <w:p w14:paraId="1F4AC6DB" w14:textId="77777777" w:rsidR="00EB6564" w:rsidRDefault="00EB6564" w:rsidP="00EB6564">
      <w:pPr>
        <w:pStyle w:val="05BODYTEXT"/>
        <w:spacing w:before="283"/>
      </w:pPr>
      <w:r>
        <w:t>Residual waste (contaminants) disposed to landfill were not differentiated by material type.</w:t>
      </w:r>
    </w:p>
    <w:p w14:paraId="4168F631" w14:textId="77777777" w:rsidR="00EB6564" w:rsidRPr="009408AB" w:rsidRDefault="00EB6564" w:rsidP="00CB0DA6">
      <w:pPr>
        <w:pStyle w:val="Heading2"/>
      </w:pPr>
      <w:bookmarkStart w:id="82" w:name="_Toc58254436"/>
      <w:r w:rsidRPr="009408AB">
        <w:t>Australian Capital Territory</w:t>
      </w:r>
      <w:bookmarkEnd w:id="82"/>
    </w:p>
    <w:p w14:paraId="72B99D6D" w14:textId="77777777" w:rsidR="00EB6564" w:rsidRDefault="00EB6564" w:rsidP="00EB6564">
      <w:pPr>
        <w:pStyle w:val="05BODYTEXT"/>
        <w:rPr>
          <w:rStyle w:val="ITALIC"/>
        </w:rPr>
      </w:pPr>
      <w:r>
        <w:rPr>
          <w:rStyle w:val="ITALIC"/>
        </w:rPr>
        <w:t>Report to the NEPC on the implementation of the National Environment Protection (Used Packaging Materials) Measure for the Australian Capital Territory by Mr Mick Gentleman MLA for the reporting year ended 30 June 2019.</w:t>
      </w:r>
    </w:p>
    <w:p w14:paraId="55D94074" w14:textId="77777777" w:rsidR="00EB6564" w:rsidRDefault="00EB6564" w:rsidP="00EB6564">
      <w:pPr>
        <w:pStyle w:val="02HEADING2"/>
      </w:pPr>
      <w:r>
        <w:t>Part 1—Implementation of the NEPM and any significant issues</w:t>
      </w:r>
    </w:p>
    <w:p w14:paraId="0A8A84AD" w14:textId="77777777" w:rsidR="00EB6564" w:rsidRDefault="00EB6564" w:rsidP="00EB6564">
      <w:pPr>
        <w:pStyle w:val="05bDOTPOINTS"/>
      </w:pPr>
      <w:r>
        <w:t>•</w:t>
      </w:r>
      <w:r>
        <w:tab/>
        <w:t>The</w:t>
      </w:r>
      <w:r>
        <w:rPr>
          <w:rStyle w:val="ITALIC"/>
        </w:rPr>
        <w:t xml:space="preserve"> Waste Management and Resource Recovery Act 2016 </w:t>
      </w:r>
      <w:r>
        <w:t xml:space="preserve">(the Waste Act) continues to be implemented in the ACT to manage all waste activities. Under the Waste Act, all waste facilities are licensed, and waste transporters registered, with both required to report the amounts and types of waste handled each quarter. </w:t>
      </w:r>
    </w:p>
    <w:p w14:paraId="7F108EDA" w14:textId="77777777" w:rsidR="00EB6564" w:rsidRDefault="00EB6564" w:rsidP="00EB6564">
      <w:pPr>
        <w:pStyle w:val="05bDOTPOINTS"/>
      </w:pPr>
      <w:r>
        <w:t>•</w:t>
      </w:r>
      <w:r>
        <w:tab/>
        <w:t xml:space="preserve">While the ACT previously had an Industry Waste Reduction Plan (IWRP) that met the Used Packaging Materials (UPM) obligation under the </w:t>
      </w:r>
      <w:r>
        <w:rPr>
          <w:rStyle w:val="ITALIC"/>
        </w:rPr>
        <w:t>Waste Minimisation (Used Packaging Materials Industry Waste Reduction Plan) Approval 2013</w:t>
      </w:r>
      <w:r>
        <w:t xml:space="preserve"> (No 1), it was repealed in 2017 when the Waste Act commenced. </w:t>
      </w:r>
    </w:p>
    <w:p w14:paraId="39452F44" w14:textId="77777777" w:rsidR="00EB6564" w:rsidRDefault="00EB6564" w:rsidP="00EB6564">
      <w:pPr>
        <w:pStyle w:val="05bDOTPOINTS"/>
      </w:pPr>
      <w:r>
        <w:t>•</w:t>
      </w:r>
      <w:r>
        <w:tab/>
        <w:t xml:space="preserve">The Waste Act provides the Government with powers to establish mandatory codes of practice. A new code of practice is being developed to implement the NEPM (UPM). </w:t>
      </w:r>
    </w:p>
    <w:p w14:paraId="2E33171A" w14:textId="77777777" w:rsidR="00EB6564" w:rsidRDefault="00EB6564" w:rsidP="00EB6564">
      <w:pPr>
        <w:pStyle w:val="05bDOTPOINTS"/>
      </w:pPr>
      <w:r>
        <w:t>•</w:t>
      </w:r>
      <w:r>
        <w:tab/>
        <w:t>The ACT Container Deposit Scheme (CDS), also enabled under the Waste Act, continues to support the recovery of beverage containers in the ACT and reduce litter.</w:t>
      </w:r>
    </w:p>
    <w:p w14:paraId="7909FA49" w14:textId="77777777" w:rsidR="00EB6564" w:rsidRDefault="00EB6564" w:rsidP="00EB6564">
      <w:pPr>
        <w:pStyle w:val="05bDOTPOINTS"/>
      </w:pPr>
      <w:r>
        <w:t>•</w:t>
      </w:r>
      <w:r>
        <w:tab/>
        <w:t xml:space="preserve">The ACT Government continues to implement the </w:t>
      </w:r>
      <w:r>
        <w:rPr>
          <w:rStyle w:val="ITALIC"/>
        </w:rPr>
        <w:t>Waste Management Strategy 2011–2025</w:t>
      </w:r>
      <w:r>
        <w:t xml:space="preserve"> and work towards full resource recovery via a suite of measures including education, regulation, operating efficient collection systems, and planning for new waste infrastructure. </w:t>
      </w:r>
    </w:p>
    <w:p w14:paraId="0ED3CB6B" w14:textId="77777777" w:rsidR="00EB6564" w:rsidRDefault="00EB6564" w:rsidP="00EB6564">
      <w:pPr>
        <w:pStyle w:val="05bDOTPOINTS"/>
      </w:pPr>
      <w:r>
        <w:t>•</w:t>
      </w:r>
      <w:r>
        <w:tab/>
        <w:t>This includes working to manage single-use plastics in the Territory. Following consultation with businesses and the public in 2019, the ACT Government is considering possible approaches to phasing out specific single-use plastics.</w:t>
      </w:r>
    </w:p>
    <w:p w14:paraId="6E2F75F3" w14:textId="77777777" w:rsidR="00EB6564" w:rsidRDefault="00EB6564" w:rsidP="00EB6564">
      <w:pPr>
        <w:pStyle w:val="05bDOTPOINTS"/>
      </w:pPr>
      <w:r>
        <w:t>•</w:t>
      </w:r>
      <w:r>
        <w:tab/>
        <w:t xml:space="preserve">As a signatory to the Australian Packaging Covenant, the ACT is represented at meetings on a regular basis and engages with other jurisdictions on reducing packaging waste and achieving the Meeting of Environment Ministers endorsed target of 100% of Australian packaging being recyclable, reusable and compostable packaging by 2025. To support the implementation of the National Packaging Targets, ACT </w:t>
      </w:r>
      <w:proofErr w:type="spellStart"/>
      <w:r>
        <w:t>NoWaste</w:t>
      </w:r>
      <w:proofErr w:type="spellEnd"/>
      <w:r>
        <w:t xml:space="preserve"> represents the ACT on all four of the Australian Packaging Covenant Organisation’s cross-industry collaborative forums, covering National Packaging Target Implementation; Design; Systems and Education; and Materials Circularity.</w:t>
      </w:r>
    </w:p>
    <w:p w14:paraId="7E625D7A" w14:textId="77777777" w:rsidR="00EB6564" w:rsidRDefault="00EB6564" w:rsidP="00EB6564">
      <w:pPr>
        <w:pStyle w:val="02HEADING2"/>
      </w:pPr>
      <w:r>
        <w:t>Part 2—Assessment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EB6564" w14:paraId="7359E76C"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EA91293" w14:textId="77777777" w:rsidR="00EB6564" w:rsidRDefault="00EB6564">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73A519D" w14:textId="77777777" w:rsidR="00EB6564" w:rsidRDefault="00EB6564">
            <w:pPr>
              <w:pStyle w:val="06bTABLEHEADERROW"/>
              <w:jc w:val="center"/>
            </w:pPr>
            <w:r>
              <w:t>Number of covenant signatories</w:t>
            </w:r>
          </w:p>
        </w:tc>
      </w:tr>
      <w:tr w:rsidR="00EB6564" w14:paraId="540EF5FD"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B100FF2" w14:textId="77777777" w:rsidR="00EB6564" w:rsidRDefault="00EB6564">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12409E8B" w14:textId="77777777" w:rsidR="00EB6564" w:rsidRDefault="00EB6564">
            <w:pPr>
              <w:pStyle w:val="06cTABLETEXT"/>
              <w:jc w:val="center"/>
            </w:pPr>
            <w:r>
              <w:t>4</w:t>
            </w:r>
          </w:p>
        </w:tc>
      </w:tr>
      <w:tr w:rsidR="00EB6564" w14:paraId="5582EF29"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CFFCD4A" w14:textId="77777777" w:rsidR="00EB6564" w:rsidRDefault="00EB6564">
            <w:pPr>
              <w:pStyle w:val="06cTABLETEXT"/>
              <w:jc w:val="center"/>
            </w:pPr>
            <w:r>
              <w:t>2018–19</w:t>
            </w:r>
          </w:p>
        </w:tc>
        <w:tc>
          <w:tcPr>
            <w:tcW w:w="3709"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5C737CAD" w14:textId="77777777" w:rsidR="00EB6564" w:rsidRDefault="00EB6564">
            <w:pPr>
              <w:pStyle w:val="06cTABLETEXT"/>
              <w:jc w:val="center"/>
            </w:pPr>
            <w:r>
              <w:t>9</w:t>
            </w:r>
          </w:p>
        </w:tc>
      </w:tr>
    </w:tbl>
    <w:p w14:paraId="1B1DCA78" w14:textId="77777777" w:rsidR="00EB6564" w:rsidRDefault="00EB6564" w:rsidP="00EB6564">
      <w:pPr>
        <w:pStyle w:val="05BODYTEXT"/>
      </w:pPr>
    </w:p>
    <w:p w14:paraId="60ED1783" w14:textId="77777777" w:rsidR="00EB6564" w:rsidRDefault="00EB6564" w:rsidP="00EB6564">
      <w:pPr>
        <w:pStyle w:val="03HEADING3"/>
      </w:pPr>
      <w:r>
        <w:t>Recovery Data</w:t>
      </w:r>
    </w:p>
    <w:p w14:paraId="02ABE618" w14:textId="77777777" w:rsidR="00EB6564" w:rsidRDefault="00EB6564" w:rsidP="00EB6564">
      <w:pPr>
        <w:pStyle w:val="05BODYTEXT"/>
      </w:pPr>
      <w:r>
        <w:t>Maximising the recovery and re-use of resources is one of the six objects of the Waste Act. Data concerning the volumes and types of materials recovered is being collected through quarterly reporting under the Waste Act. This data will provide a comprehensive picture of the ACT’s waste sector and the fate of all materials that comprise it.</w:t>
      </w:r>
    </w:p>
    <w:p w14:paraId="17A6D09B" w14:textId="77777777" w:rsidR="00EB6564" w:rsidRDefault="00EB6564" w:rsidP="00EB6564">
      <w:pPr>
        <w:pStyle w:val="05BODYTEXT"/>
      </w:pPr>
      <w:r>
        <w:lastRenderedPageBreak/>
        <w:t>No brand owners’ records were audited in 2018-19. A proposed code of practice would allow for a program to monitor compliance of used packaging recovery data against performance targets into the future.</w:t>
      </w:r>
    </w:p>
    <w:p w14:paraId="759D9264" w14:textId="77777777" w:rsidR="00EB6564" w:rsidRDefault="00EB6564" w:rsidP="00EB6564">
      <w:pPr>
        <w:pStyle w:val="03HEADING3"/>
      </w:pPr>
      <w:r>
        <w:t>Supporting Data</w:t>
      </w:r>
    </w:p>
    <w:p w14:paraId="3905ED21" w14:textId="77777777" w:rsidR="00EB6564" w:rsidRDefault="00EB6564" w:rsidP="00EB6564">
      <w:pPr>
        <w:pStyle w:val="05BODYTEXT"/>
      </w:pPr>
      <w:r>
        <w:t>No retailer survey of packaged products was conducted in the ACT in 2018–19.</w:t>
      </w:r>
    </w:p>
    <w:p w14:paraId="3366ECEC" w14:textId="77777777" w:rsidR="00EB6564" w:rsidRDefault="00EB6564" w:rsidP="00EB6564">
      <w:pPr>
        <w:pStyle w:val="03HEADING3"/>
      </w:pPr>
      <w:r>
        <w:t>Complaints, Investigations and Prosecutions</w:t>
      </w:r>
    </w:p>
    <w:p w14:paraId="0E9BDCB9" w14:textId="77777777" w:rsidR="00EB6564" w:rsidRDefault="00EB6564" w:rsidP="00EB6564">
      <w:pPr>
        <w:pStyle w:val="05BODYTEXT"/>
      </w:pPr>
      <w:r>
        <w:t>No complaints, investigations, prosecutions or enforcement actions were recorded, and no non-compliant signatories were referred to the ACT Government in 2018-19 with respect to the NEPM (UPM).</w:t>
      </w:r>
    </w:p>
    <w:p w14:paraId="0C6F6786" w14:textId="77777777" w:rsidR="00EB6564" w:rsidRDefault="00EB6564" w:rsidP="00EB6564">
      <w:pPr>
        <w:pStyle w:val="03HEADING3"/>
      </w:pPr>
      <w:r>
        <w:t>Statement of Interpretation of the Information</w:t>
      </w:r>
    </w:p>
    <w:p w14:paraId="28E329A4" w14:textId="77777777" w:rsidR="00EB6564" w:rsidRDefault="00EB6564" w:rsidP="00EB6564">
      <w:pPr>
        <w:pStyle w:val="05BODYTEXT"/>
      </w:pPr>
      <w:r>
        <w:t>Over 2018-19 the ACT continued to work with the community and industry to encourage waste avoidance and increase recycling rates. The proposed phasing out of certain single-use plastic products would support the management of used packaging in the Territory, alongside the ongoing implementation of the CDS. These initiatives will support the proposed code of practice into the future.</w:t>
      </w:r>
    </w:p>
    <w:p w14:paraId="2DC147A1" w14:textId="77777777" w:rsidR="00EB6564" w:rsidRDefault="00EB6564" w:rsidP="00EB6564">
      <w:pPr>
        <w:pStyle w:val="03HEADING3"/>
      </w:pPr>
      <w:r>
        <w:t xml:space="preserve">Local Government Data </w:t>
      </w:r>
    </w:p>
    <w:p w14:paraId="6AE5B72A" w14:textId="46F83295" w:rsidR="00EB6564" w:rsidRDefault="00EB6564" w:rsidP="00EB6564">
      <w:pPr>
        <w:pStyle w:val="05BODYTEXT"/>
      </w:pPr>
      <w:r>
        <w:t xml:space="preserve">Data for the ACT will be provided on the Transport Canberra and City Services Directorate website as it becomes available at </w:t>
      </w:r>
      <w:hyperlink r:id="rId74" w:history="1">
        <w:r w:rsidRPr="00CA5B14">
          <w:rPr>
            <w:rStyle w:val="Hyperlink"/>
            <w:color w:val="4472C4" w:themeColor="accent1"/>
            <w:u w:val="single"/>
          </w:rPr>
          <w:t>www.tccs.act.gov.au</w:t>
        </w:r>
      </w:hyperlink>
      <w:r>
        <w:t>.</w:t>
      </w:r>
    </w:p>
    <w:p w14:paraId="09B0B1A2" w14:textId="77777777" w:rsidR="00EB6564" w:rsidRPr="009408AB" w:rsidRDefault="00EB6564" w:rsidP="00CB0DA6">
      <w:pPr>
        <w:pStyle w:val="Heading2"/>
      </w:pPr>
      <w:bookmarkStart w:id="83" w:name="_Toc58254437"/>
      <w:r w:rsidRPr="009408AB">
        <w:t>Northern Territory</w:t>
      </w:r>
      <w:bookmarkEnd w:id="83"/>
    </w:p>
    <w:p w14:paraId="5A9B5291" w14:textId="77777777" w:rsidR="00EB6564" w:rsidRDefault="00EB6564" w:rsidP="00EB6564">
      <w:pPr>
        <w:pStyle w:val="05BODYTEXT"/>
        <w:rPr>
          <w:rStyle w:val="ITALIC"/>
        </w:rPr>
      </w:pPr>
      <w:r>
        <w:rPr>
          <w:rStyle w:val="ITALIC"/>
        </w:rPr>
        <w:t>Report to the NEPC on the implementation of the National Environment Protection (Used Packaging Materials) Measure for the Northern Territory by the Hon Eva Lawler MLA, Minister for Environment and Natural Resources for the reporting year ended 30 June 2019.</w:t>
      </w:r>
    </w:p>
    <w:p w14:paraId="13BB5FCB" w14:textId="77777777" w:rsidR="00EB6564" w:rsidRDefault="00EB6564" w:rsidP="00EB6564">
      <w:pPr>
        <w:pStyle w:val="02HEADING2"/>
      </w:pPr>
      <w:r>
        <w:t>Part 1—Implementation of the NEPM and any significant issues</w:t>
      </w:r>
    </w:p>
    <w:p w14:paraId="16569D6E" w14:textId="77777777" w:rsidR="00EB6564" w:rsidRDefault="00EB6564" w:rsidP="00EB6564">
      <w:pPr>
        <w:pStyle w:val="05BODYTEXT"/>
      </w:pPr>
      <w:r>
        <w:t xml:space="preserve">Prior to 2017-18 there were no known major brand owners based in the Northern Territory who are likely to have responsibilities under the National Environment Protection (Used Packaging Materials) Measure (UPM NEPM). In May 2018, the Australian Packaging Covenant Organisation (APCO) advised that its 2018 Brand Audit identified Northern Territory businesses that may be liable under the UPM NEPM. The Northern Territory is reviewing provisions within its existing legislative framework, including under the </w:t>
      </w:r>
      <w:r>
        <w:rPr>
          <w:rStyle w:val="ITALIC"/>
        </w:rPr>
        <w:t>Waste Management and Pollution Control Act 1998</w:t>
      </w:r>
      <w:r>
        <w:t xml:space="preserve">, to determine the regulatory mechanisms that can be applied legislatively in the event that Northern Territory brand owners with obligations under the NEPM are found to be non-compliant. </w:t>
      </w:r>
    </w:p>
    <w:p w14:paraId="13E23EA9" w14:textId="77777777" w:rsidR="00EB6564" w:rsidRDefault="00EB6564" w:rsidP="00EB6564">
      <w:pPr>
        <w:pStyle w:val="05BODYTEXT"/>
      </w:pPr>
      <w:r>
        <w:t xml:space="preserve">The </w:t>
      </w:r>
      <w:r>
        <w:rPr>
          <w:rStyle w:val="ITALIC"/>
        </w:rPr>
        <w:t>Environment Protection (Beverage Containers and Plastic Bags) Act 2011</w:t>
      </w:r>
      <w:r>
        <w:t xml:space="preserve"> (the Act) established the container deposit scheme (CDS) to reduce beverage container waste and increase resource recovery, reuse and recycling, and to regulate the supply of single use, non-biodegradable plastic bags. The Act established a plastic bag ban from September 2011 that prohibits retailers from providing customers with lightweight polyethylene shopping bags with handles. The CDS commenced in January 2012. </w:t>
      </w:r>
    </w:p>
    <w:p w14:paraId="698A87A0" w14:textId="77777777" w:rsidR="00EB6564" w:rsidRDefault="00EB6564" w:rsidP="00EB6564">
      <w:pPr>
        <w:pStyle w:val="05BODYTEXT"/>
      </w:pPr>
      <w:r>
        <w:t>The Northern Territory’s environmental grants program encourages community participation in minimising waste and preventing pollution. In 2018-19 the Territory granted approximately $500,000 for projects and activities targeting waste management, minimisation and recycling from a total grant program of $1.1 million.</w:t>
      </w:r>
    </w:p>
    <w:p w14:paraId="0281E1BE" w14:textId="77777777" w:rsidR="00EB6564" w:rsidRDefault="00EB6564" w:rsidP="00EB6564">
      <w:pPr>
        <w:pStyle w:val="02HEADING2"/>
      </w:pPr>
      <w:r>
        <w:t>Part 2—Assessment of NEPM effectiveness</w:t>
      </w:r>
    </w:p>
    <w:p w14:paraId="4BBDD69E" w14:textId="77777777" w:rsidR="00EB6564" w:rsidRDefault="00EB6564" w:rsidP="00EB6564">
      <w:pPr>
        <w:pStyle w:val="05BODYTEXT"/>
      </w:pPr>
      <w:r>
        <w:t xml:space="preserve">As a result of the 2018 APCO Brand Audit, there has been one single brand-owner identified in the Northern Territory that would have obligations under the NEPM and is now a signatory of the Australian Packaging Covenant. </w:t>
      </w:r>
    </w:p>
    <w:p w14:paraId="4CDF45C4" w14:textId="77777777" w:rsidR="00EB6564" w:rsidRDefault="00EB6564" w:rsidP="00EB6564">
      <w:pPr>
        <w:pStyle w:val="05BODYTEXT"/>
      </w:pPr>
      <w:r>
        <w:t xml:space="preserve">There has been no reporting under clause 16 of the NEPM. </w:t>
      </w:r>
    </w:p>
    <w:p w14:paraId="2C843CEE" w14:textId="77777777" w:rsidR="00EB6564" w:rsidRDefault="00EB6564" w:rsidP="00EB6564">
      <w:pPr>
        <w:pStyle w:val="05BODYTEXT"/>
      </w:pPr>
      <w:r>
        <w:t xml:space="preserve">No surveys of brand owners were conducted in 2018-19 under clause 18. </w:t>
      </w:r>
    </w:p>
    <w:p w14:paraId="6822504C" w14:textId="77777777" w:rsidR="00EB6564" w:rsidRDefault="00EB6564" w:rsidP="00EB6564">
      <w:pPr>
        <w:pStyle w:val="05BODYTEXT"/>
      </w:pPr>
      <w:r>
        <w:t xml:space="preserve">Of the 17 councils within the Northern Territory, in 2018-19 only two provided kerbside recycling services – City of Darwin and Palmerston. This is primarily due to the small, dispersed population and distance to markets. Recycling activities in other areas face significant barriers and costs. Voluntary local drop-off recycling schemes are in place in a number of remote </w:t>
      </w:r>
      <w:proofErr w:type="gramStart"/>
      <w:r>
        <w:t>communities, but</w:t>
      </w:r>
      <w:proofErr w:type="gramEnd"/>
      <w:r>
        <w:t xml:space="preserve"> collecting reliable data from these communities is problematic. </w:t>
      </w:r>
    </w:p>
    <w:p w14:paraId="076F6BA6" w14:textId="77777777" w:rsidR="00EB6564" w:rsidRDefault="00EB6564" w:rsidP="00EB6564">
      <w:pPr>
        <w:pStyle w:val="05BODYTEXT"/>
      </w:pPr>
      <w:r>
        <w:t>The Container Deposit Scheme provides the most accurate and reliable indication of beverage containers.</w:t>
      </w:r>
    </w:p>
    <w:p w14:paraId="58817254" w14:textId="77777777" w:rsidR="00EB6564" w:rsidRDefault="00EB6564" w:rsidP="00EB6564">
      <w:pPr>
        <w:pStyle w:val="05BODYTEXT"/>
      </w:pPr>
      <w:r>
        <w:t>Major contributors to the waste stream are brand-owners not based in the Northern Territory. Brand-owners who are Covenant signatories are able to meet their national targets more cost effectively in other more populous jurisdictions where well-established recycling infrastructure and high volumes of recyclable materials are available.</w:t>
      </w:r>
    </w:p>
    <w:p w14:paraId="790BF51A" w14:textId="77777777" w:rsidR="00EB6564" w:rsidRDefault="00EB6564" w:rsidP="00EB6564">
      <w:pPr>
        <w:pStyle w:val="05BODYTEXT"/>
      </w:pPr>
      <w:r>
        <w:t>The Northern Territory continues to be committed to the NEPM goal and desired environmental outcomes through its existing programs.</w:t>
      </w:r>
    </w:p>
    <w:tbl>
      <w:tblPr>
        <w:tblW w:w="0" w:type="auto"/>
        <w:tblInd w:w="-5" w:type="dxa"/>
        <w:tblLayout w:type="fixed"/>
        <w:tblCellMar>
          <w:left w:w="0" w:type="dxa"/>
          <w:right w:w="0" w:type="dxa"/>
        </w:tblCellMar>
        <w:tblLook w:val="0000" w:firstRow="0" w:lastRow="0" w:firstColumn="0" w:lastColumn="0" w:noHBand="0" w:noVBand="0"/>
      </w:tblPr>
      <w:tblGrid>
        <w:gridCol w:w="3703"/>
        <w:gridCol w:w="3704"/>
      </w:tblGrid>
      <w:tr w:rsidR="00EB6564" w14:paraId="4C6F4FA3" w14:textId="77777777">
        <w:trPr>
          <w:trHeight w:val="60"/>
          <w:tblHeader/>
        </w:trPr>
        <w:tc>
          <w:tcPr>
            <w:tcW w:w="3703"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5AC6D88F" w14:textId="77777777" w:rsidR="00EB6564" w:rsidRDefault="00EB6564">
            <w:pPr>
              <w:pStyle w:val="06bTABLEHEADERROW"/>
              <w:jc w:val="center"/>
            </w:pPr>
            <w:r>
              <w:lastRenderedPageBreak/>
              <w:t>Reporting Year</w:t>
            </w:r>
          </w:p>
        </w:tc>
        <w:tc>
          <w:tcPr>
            <w:tcW w:w="3704" w:type="dxa"/>
            <w:tcBorders>
              <w:top w:val="single" w:sz="4" w:space="0" w:color="FFFFFF"/>
              <w:left w:val="single" w:sz="4" w:space="0" w:color="FFFFFF"/>
              <w:bottom w:val="single" w:sz="8" w:space="0" w:color="FFFFFF"/>
              <w:right w:val="single" w:sz="4" w:space="0" w:color="FFFFFF"/>
            </w:tcBorders>
            <w:shd w:val="solid" w:color="000000" w:fill="auto"/>
            <w:tcMar>
              <w:top w:w="85" w:type="dxa"/>
              <w:left w:w="85" w:type="dxa"/>
              <w:bottom w:w="85" w:type="dxa"/>
              <w:right w:w="85" w:type="dxa"/>
            </w:tcMar>
            <w:vAlign w:val="bottom"/>
          </w:tcPr>
          <w:p w14:paraId="196ED85E" w14:textId="77777777" w:rsidR="00EB6564" w:rsidRDefault="00EB6564">
            <w:pPr>
              <w:pStyle w:val="06bTABLEHEADERROW"/>
              <w:jc w:val="center"/>
            </w:pPr>
            <w:r>
              <w:t>Number of covenant signatories</w:t>
            </w:r>
          </w:p>
        </w:tc>
      </w:tr>
      <w:tr w:rsidR="00EB6564" w14:paraId="3F3D19A5"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654EF09C" w14:textId="77777777" w:rsidR="00EB6564" w:rsidRDefault="00EB6564">
            <w:pPr>
              <w:pStyle w:val="06cTABLETEXT"/>
              <w:jc w:val="center"/>
            </w:pPr>
            <w:r>
              <w:t>2017–18</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0718D0E" w14:textId="77777777" w:rsidR="00EB6564" w:rsidRDefault="00EB6564">
            <w:pPr>
              <w:pStyle w:val="06cTABLETEXT"/>
              <w:jc w:val="center"/>
            </w:pPr>
            <w:r>
              <w:t>0</w:t>
            </w:r>
          </w:p>
        </w:tc>
      </w:tr>
      <w:tr w:rsidR="00EB6564" w14:paraId="084ACDC2" w14:textId="77777777">
        <w:trPr>
          <w:trHeight w:val="60"/>
        </w:trPr>
        <w:tc>
          <w:tcPr>
            <w:tcW w:w="3703"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260D9454" w14:textId="77777777" w:rsidR="00EB6564" w:rsidRDefault="00EB6564">
            <w:pPr>
              <w:pStyle w:val="06cTABLETEXT"/>
              <w:jc w:val="center"/>
            </w:pPr>
            <w:r>
              <w:t>2018–19</w:t>
            </w:r>
          </w:p>
        </w:tc>
        <w:tc>
          <w:tcPr>
            <w:tcW w:w="3704" w:type="dxa"/>
            <w:tcBorders>
              <w:top w:val="single" w:sz="4" w:space="0" w:color="FFFFFF"/>
              <w:left w:val="single" w:sz="4" w:space="0" w:color="FFFFFF"/>
              <w:bottom w:val="single" w:sz="4" w:space="0" w:color="FFFFFF"/>
              <w:right w:val="single" w:sz="4" w:space="0" w:color="FFFFFF"/>
            </w:tcBorders>
            <w:shd w:val="solid" w:color="CECECE" w:fill="auto"/>
            <w:tcMar>
              <w:top w:w="85" w:type="dxa"/>
              <w:left w:w="85" w:type="dxa"/>
              <w:bottom w:w="85" w:type="dxa"/>
              <w:right w:w="85" w:type="dxa"/>
            </w:tcMar>
            <w:vAlign w:val="center"/>
          </w:tcPr>
          <w:p w14:paraId="720015A2" w14:textId="77777777" w:rsidR="00EB6564" w:rsidRDefault="00EB6564">
            <w:pPr>
              <w:pStyle w:val="06cTABLETEXT"/>
              <w:jc w:val="center"/>
            </w:pPr>
            <w:r>
              <w:t>1</w:t>
            </w:r>
          </w:p>
        </w:tc>
      </w:tr>
    </w:tbl>
    <w:p w14:paraId="6AD6BCB3" w14:textId="77777777" w:rsidR="00EB6564" w:rsidRDefault="00EB6564" w:rsidP="00EB6564">
      <w:pPr>
        <w:pStyle w:val="03HEADING3"/>
      </w:pPr>
      <w:r>
        <w:t>Recovery Data</w:t>
      </w:r>
    </w:p>
    <w:p w14:paraId="4B12199C" w14:textId="77777777" w:rsidR="00EB6564" w:rsidRDefault="00EB6564" w:rsidP="00EB6564">
      <w:pPr>
        <w:pStyle w:val="05BODYTEXT"/>
      </w:pPr>
      <w:r>
        <w:t>A total of 131,039,766 approved beverage containers were sold in the Northern Territory during 2018–19. Of these, 110,678,233 containers were returned by a collection depot to a CDS coordinator. This equates to 84% of all containers sold were returned, recycled and reused through the CDS, thereby diverted from landfill and litter. This is an increase in return rate for 2017-18 was 75%, this is a continuing trend of increasing return rates over previous years and is likely to be attributed to increased environmental awareness, community participation and access to recycling facilities.</w:t>
      </w:r>
    </w:p>
    <w:p w14:paraId="106D55CF" w14:textId="77777777" w:rsidR="00EB6564" w:rsidRDefault="00EB6564" w:rsidP="00EB6564">
      <w:pPr>
        <w:pStyle w:val="05BODYTEXT"/>
      </w:pPr>
      <w:r>
        <w:t xml:space="preserve">A desktop audit of CDS data conducted in 2018-19 identified inconsistent reporting by CDS coordinators and that under-reporting in 2016-17 had contributed to the reported annual return rate of 48% in 2016-17. Corrected 2016-17 data provided by CDS coordinators indicates that during 2016-17 a total of 149,752,726 approved containers were sold in the Northern Territory. Of these, 90,704,612 were returned to CDS coordinators and diverted from landfill. This equates to an annual return rate of 61% in 2016-17. This corrected return rate contributes to a relatively consistent increase in annual return rates since the introduction of CDS in 2012. </w:t>
      </w:r>
    </w:p>
    <w:p w14:paraId="4D819B66" w14:textId="77777777" w:rsidR="00EB6564" w:rsidRDefault="00EB6564" w:rsidP="00EB6564">
      <w:pPr>
        <w:pStyle w:val="03HEADING3"/>
      </w:pPr>
      <w:r>
        <w:t>Supporting Data</w:t>
      </w:r>
    </w:p>
    <w:p w14:paraId="0033708D" w14:textId="77777777" w:rsidR="00EB6564" w:rsidRDefault="00EB6564" w:rsidP="00EB6564">
      <w:pPr>
        <w:pStyle w:val="05BODYTEXT"/>
      </w:pPr>
      <w:r>
        <w:t>N/A</w:t>
      </w:r>
    </w:p>
    <w:p w14:paraId="50717231" w14:textId="77777777" w:rsidR="00EB6564" w:rsidRDefault="00EB6564" w:rsidP="00EB6564">
      <w:pPr>
        <w:pStyle w:val="03HEADING3"/>
      </w:pPr>
      <w:r>
        <w:t>Complaints, Investigations and Prosecutions</w:t>
      </w:r>
    </w:p>
    <w:p w14:paraId="2B3698A5" w14:textId="77777777" w:rsidR="00EB6564" w:rsidRDefault="00EB6564" w:rsidP="00EB6564">
      <w:pPr>
        <w:pStyle w:val="05BODYTEXT"/>
      </w:pPr>
      <w:r>
        <w:t xml:space="preserve">No complaints have been received, investigations </w:t>
      </w:r>
      <w:proofErr w:type="gramStart"/>
      <w:r>
        <w:t>undertaken</w:t>
      </w:r>
      <w:proofErr w:type="gramEnd"/>
      <w:r>
        <w:t xml:space="preserve"> or prosecutions mounted pursuant to this measure. </w:t>
      </w:r>
    </w:p>
    <w:p w14:paraId="688AC7CF" w14:textId="77777777" w:rsidR="00EB6564" w:rsidRDefault="00EB6564" w:rsidP="00EB6564">
      <w:pPr>
        <w:pStyle w:val="03HEADING3"/>
      </w:pPr>
      <w:r>
        <w:t>Statement of Interpretation of the Information</w:t>
      </w:r>
    </w:p>
    <w:p w14:paraId="2F20302F" w14:textId="77777777" w:rsidR="00EB6564" w:rsidRDefault="00EB6564" w:rsidP="00EB6564">
      <w:pPr>
        <w:pStyle w:val="05BODYTEXT"/>
      </w:pPr>
      <w:r>
        <w:t>N/A</w:t>
      </w:r>
    </w:p>
    <w:p w14:paraId="00E548B4" w14:textId="77777777" w:rsidR="00EB6564" w:rsidRDefault="00EB6564" w:rsidP="00EB6564">
      <w:pPr>
        <w:pStyle w:val="03HEADING3"/>
      </w:pPr>
      <w:r>
        <w:t xml:space="preserve">Local Government Data </w:t>
      </w:r>
    </w:p>
    <w:p w14:paraId="7722DBC2" w14:textId="77777777" w:rsidR="00EB6564" w:rsidRDefault="00EB6564" w:rsidP="00EB6564">
      <w:pPr>
        <w:pStyle w:val="05BODYTEXT"/>
      </w:pPr>
      <w:r>
        <w:t>N/A</w:t>
      </w:r>
    </w:p>
    <w:p w14:paraId="12D91BB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p w14:paraId="5F14AAC2" w14:textId="77777777" w:rsidR="007D495D" w:rsidRPr="00CB0DA6" w:rsidRDefault="007D495D" w:rsidP="00CB0DA6">
      <w:pPr>
        <w:pStyle w:val="Heading1"/>
      </w:pPr>
    </w:p>
    <w:p w14:paraId="0A3FBD6D"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bookmarkEnd w:id="2"/>
    <w:bookmarkEnd w:id="3"/>
    <w:p w14:paraId="422B8F93" w14:textId="77777777" w:rsidR="007D495D" w:rsidRPr="007D495D" w:rsidRDefault="007D495D" w:rsidP="007D495D">
      <w:pPr>
        <w:suppressAutoHyphens/>
        <w:autoSpaceDE w:val="0"/>
        <w:autoSpaceDN w:val="0"/>
        <w:adjustRightInd w:val="0"/>
        <w:spacing w:after="113" w:line="288" w:lineRule="auto"/>
        <w:textAlignment w:val="center"/>
        <w:rPr>
          <w:rFonts w:ascii="Times" w:hAnsi="Times" w:cs="Times"/>
          <w:color w:val="000000"/>
          <w:sz w:val="16"/>
          <w:szCs w:val="16"/>
        </w:rPr>
      </w:pPr>
    </w:p>
    <w:sectPr w:rsidR="007D495D" w:rsidRPr="007D495D" w:rsidSect="00470BBE">
      <w:pgSz w:w="11900" w:h="16840"/>
      <w:pgMar w:top="1132" w:right="1440" w:bottom="1440" w:left="78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E89D9" w14:textId="77777777" w:rsidR="003F26A6" w:rsidRDefault="003F26A6" w:rsidP="00175B77">
      <w:r>
        <w:separator/>
      </w:r>
    </w:p>
  </w:endnote>
  <w:endnote w:type="continuationSeparator" w:id="0">
    <w:p w14:paraId="1B9A08C0" w14:textId="77777777" w:rsidR="003F26A6" w:rsidRDefault="003F26A6" w:rsidP="0017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E00002AF" w:usb1="5000205B" w:usb2="00000000" w:usb3="00000000" w:csb0="0000009F" w:csb1="00000000"/>
  </w:font>
  <w:font w:name="Times">
    <w:altName w:val="﷽﷽﷽﷽﷽﷽﷽﷽ꂀ౬怀"/>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715218"/>
      <w:docPartObj>
        <w:docPartGallery w:val="Page Numbers (Bottom of Page)"/>
        <w:docPartUnique/>
      </w:docPartObj>
    </w:sdtPr>
    <w:sdtEndPr>
      <w:rPr>
        <w:rStyle w:val="PageNumber"/>
      </w:rPr>
    </w:sdtEndPr>
    <w:sdtContent>
      <w:p w14:paraId="006B8403" w14:textId="130D229F" w:rsidR="00276A45" w:rsidRDefault="00276A45" w:rsidP="00397A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8D23C4" w14:textId="77777777" w:rsidR="00276A45" w:rsidRDefault="00276A45" w:rsidP="003410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5852831"/>
      <w:docPartObj>
        <w:docPartGallery w:val="Page Numbers (Bottom of Page)"/>
        <w:docPartUnique/>
      </w:docPartObj>
    </w:sdtPr>
    <w:sdtEndPr>
      <w:rPr>
        <w:rStyle w:val="PageNumber"/>
      </w:rPr>
    </w:sdtEndPr>
    <w:sdtContent>
      <w:p w14:paraId="5107DC2C" w14:textId="19B8B12D" w:rsidR="00276A45" w:rsidRDefault="00276A45" w:rsidP="00397A8C">
        <w:pPr>
          <w:pStyle w:val="Footer"/>
          <w:framePr w:wrap="none" w:vAnchor="text" w:hAnchor="margin" w:xAlign="right" w:y="1"/>
          <w:rPr>
            <w:rStyle w:val="PageNumber"/>
          </w:rPr>
        </w:pPr>
        <w:r w:rsidRPr="00341067">
          <w:rPr>
            <w:rStyle w:val="PageNumber"/>
            <w:sz w:val="18"/>
            <w:szCs w:val="18"/>
          </w:rPr>
          <w:fldChar w:fldCharType="begin"/>
        </w:r>
        <w:r w:rsidRPr="00341067">
          <w:rPr>
            <w:rStyle w:val="PageNumber"/>
            <w:sz w:val="18"/>
            <w:szCs w:val="18"/>
          </w:rPr>
          <w:instrText xml:space="preserve"> PAGE </w:instrText>
        </w:r>
        <w:r w:rsidRPr="00341067">
          <w:rPr>
            <w:rStyle w:val="PageNumber"/>
            <w:sz w:val="18"/>
            <w:szCs w:val="18"/>
          </w:rPr>
          <w:fldChar w:fldCharType="separate"/>
        </w:r>
        <w:r w:rsidRPr="00341067">
          <w:rPr>
            <w:rStyle w:val="PageNumber"/>
            <w:noProof/>
            <w:sz w:val="18"/>
            <w:szCs w:val="18"/>
          </w:rPr>
          <w:t>24</w:t>
        </w:r>
        <w:r w:rsidRPr="00341067">
          <w:rPr>
            <w:rStyle w:val="PageNumber"/>
            <w:sz w:val="18"/>
            <w:szCs w:val="18"/>
          </w:rPr>
          <w:fldChar w:fldCharType="end"/>
        </w:r>
      </w:p>
    </w:sdtContent>
  </w:sdt>
  <w:p w14:paraId="1B328250" w14:textId="24537216" w:rsidR="00276A45" w:rsidRPr="00341067" w:rsidRDefault="00276A45" w:rsidP="00341067">
    <w:pPr>
      <w:pStyle w:val="BasicParagraph"/>
      <w:ind w:right="360"/>
      <w:rPr>
        <w:rFonts w:ascii="Calibri" w:hAnsi="Calibri" w:cs="Calibri"/>
        <w:sz w:val="15"/>
        <w:szCs w:val="15"/>
      </w:rPr>
    </w:pPr>
    <w:r w:rsidRPr="00341067">
      <w:rPr>
        <w:rFonts w:ascii="Calibri Light" w:hAnsi="Calibri Light" w:cs="Calibri Light"/>
        <w:sz w:val="15"/>
        <w:szCs w:val="15"/>
      </w:rPr>
      <w:t xml:space="preserve">National Environment Protection Council </w:t>
    </w:r>
    <w:r w:rsidRPr="00341067">
      <w:rPr>
        <w:rFonts w:ascii="Calibri" w:hAnsi="Calibri" w:cs="Calibri"/>
        <w:sz w:val="15"/>
        <w:szCs w:val="15"/>
      </w:rPr>
      <w:t>annual report 2018–19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277B4" w14:textId="77777777" w:rsidR="003F26A6" w:rsidRDefault="003F26A6" w:rsidP="00175B77">
      <w:r>
        <w:separator/>
      </w:r>
    </w:p>
  </w:footnote>
  <w:footnote w:type="continuationSeparator" w:id="0">
    <w:p w14:paraId="04CDE275" w14:textId="77777777" w:rsidR="003F26A6" w:rsidRDefault="003F26A6" w:rsidP="00175B77">
      <w:r>
        <w:continuationSeparator/>
      </w:r>
    </w:p>
  </w:footnote>
  <w:footnote w:id="1">
    <w:p w14:paraId="0F558E6D" w14:textId="77777777" w:rsidR="00276A45" w:rsidRDefault="00276A45" w:rsidP="00EB6564">
      <w:pPr>
        <w:pStyle w:val="07FOOTNOTES"/>
      </w:pPr>
      <w:r>
        <w:rPr>
          <w:vertAlign w:val="superscript"/>
        </w:rPr>
        <w:footnoteRef/>
      </w:r>
      <w:r>
        <w:tab/>
        <w:t xml:space="preserve"> Formerly known as the State Transit Authority</w:t>
      </w:r>
    </w:p>
    <w:p w14:paraId="6045AEA8" w14:textId="77777777" w:rsidR="00276A45" w:rsidRDefault="00276A45" w:rsidP="00EB6564">
      <w:pPr>
        <w:pStyle w:val="07FOOTNOTES"/>
      </w:pPr>
    </w:p>
  </w:footnote>
  <w:footnote w:id="2">
    <w:p w14:paraId="6C4A52AC" w14:textId="271E05CA" w:rsidR="00276A45" w:rsidRDefault="00276A45" w:rsidP="00EB6564">
      <w:pPr>
        <w:pStyle w:val="07FOOTNOTES"/>
      </w:pPr>
      <w:r>
        <w:rPr>
          <w:vertAlign w:val="superscript"/>
        </w:rPr>
        <w:footnoteRef/>
      </w:r>
      <w:r>
        <w:tab/>
        <w:t xml:space="preserve">‘Sydney region’ is as defined in the Air Emissions Inventory for the NSW Greater Metropolitan Region, which can be found on the EPA’s website </w:t>
      </w:r>
      <w:hyperlink r:id="rId1" w:history="1">
        <w:r w:rsidRPr="00276A45">
          <w:rPr>
            <w:rStyle w:val="Hyperlink"/>
            <w:color w:val="4472C4" w:themeColor="accent1"/>
            <w:u w:val="single"/>
          </w:rPr>
          <w:t>http://www.epa.nsw.gov.au/air/airinventory.htm</w:t>
        </w:r>
      </w:hyperlink>
      <w:r>
        <w:t>.</w:t>
      </w:r>
    </w:p>
    <w:p w14:paraId="7A52830C" w14:textId="77777777" w:rsidR="00276A45" w:rsidRDefault="00276A45" w:rsidP="00EB6564">
      <w:pPr>
        <w:pStyle w:val="07FOOTNOTES"/>
      </w:pPr>
    </w:p>
  </w:footnote>
  <w:footnote w:id="3">
    <w:p w14:paraId="4A7A5939" w14:textId="77777777" w:rsidR="00276A45" w:rsidRDefault="00276A45" w:rsidP="00EB6564">
      <w:pPr>
        <w:pStyle w:val="07FOOTNOTES"/>
      </w:pPr>
      <w:r>
        <w:rPr>
          <w:vertAlign w:val="superscript"/>
        </w:rPr>
        <w:footnoteRef/>
      </w:r>
      <w:r>
        <w:tab/>
        <w:t>A mailing error resulted in several vehicle owners receiving incorrect vehicle details (though registration and location details were still correct). Outside this event, only one wrong vehicle response was received.</w:t>
      </w:r>
    </w:p>
    <w:p w14:paraId="52BDAEE8" w14:textId="77777777" w:rsidR="00276A45" w:rsidRDefault="00276A45" w:rsidP="00EB6564">
      <w:pPr>
        <w:pStyle w:val="07FOOTNOTES"/>
      </w:pPr>
    </w:p>
  </w:footnote>
  <w:footnote w:id="4">
    <w:p w14:paraId="51EBD3E5" w14:textId="77777777" w:rsidR="00276A45" w:rsidRDefault="00276A45" w:rsidP="00EB6564">
      <w:pPr>
        <w:pStyle w:val="07FOOTNOTES"/>
        <w:rPr>
          <w:rStyle w:val="ITALIC"/>
        </w:rPr>
      </w:pPr>
      <w:r>
        <w:rPr>
          <w:vertAlign w:val="superscript"/>
        </w:rPr>
        <w:footnoteRef/>
      </w:r>
      <w:r>
        <w:tab/>
        <w:t xml:space="preserve"> As of 1 September 2019, the waste tracking provisions are contained within Part 9 of the </w:t>
      </w:r>
      <w:r>
        <w:rPr>
          <w:rStyle w:val="ITALIC"/>
        </w:rPr>
        <w:t>Environmental Protection Regulation 2019.</w:t>
      </w:r>
    </w:p>
    <w:p w14:paraId="5F2CDB52" w14:textId="77777777" w:rsidR="00276A45" w:rsidRDefault="00276A45" w:rsidP="00EB6564">
      <w:pPr>
        <w:pStyle w:val="07FOOTNOTES"/>
      </w:pPr>
    </w:p>
  </w:footnote>
  <w:footnote w:id="5">
    <w:p w14:paraId="56E6BE8A" w14:textId="77777777" w:rsidR="00276A45" w:rsidRDefault="00276A45" w:rsidP="00EB6564">
      <w:pPr>
        <w:pStyle w:val="07FOOTNOTES"/>
      </w:pPr>
      <w:r>
        <w:rPr>
          <w:vertAlign w:val="superscript"/>
        </w:rPr>
        <w:footnoteRef/>
      </w:r>
      <w:r>
        <w:tab/>
        <w:t xml:space="preserve"> Following machinery of government changes in early 2019, the NPI is now administered in NSW by the Department of Planning, Industry and Environment.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77"/>
    <w:rsid w:val="00032D97"/>
    <w:rsid w:val="0003527E"/>
    <w:rsid w:val="000644CA"/>
    <w:rsid w:val="0008325A"/>
    <w:rsid w:val="000A2A7B"/>
    <w:rsid w:val="000D08FC"/>
    <w:rsid w:val="000F02D5"/>
    <w:rsid w:val="00134EA2"/>
    <w:rsid w:val="00154EB4"/>
    <w:rsid w:val="001643C1"/>
    <w:rsid w:val="00175B77"/>
    <w:rsid w:val="0019028B"/>
    <w:rsid w:val="00193A51"/>
    <w:rsid w:val="00195C87"/>
    <w:rsid w:val="001B0E75"/>
    <w:rsid w:val="001D548A"/>
    <w:rsid w:val="001D736B"/>
    <w:rsid w:val="00216092"/>
    <w:rsid w:val="00216A61"/>
    <w:rsid w:val="0024090A"/>
    <w:rsid w:val="0025457B"/>
    <w:rsid w:val="00272927"/>
    <w:rsid w:val="00276A45"/>
    <w:rsid w:val="002A5286"/>
    <w:rsid w:val="002D6E41"/>
    <w:rsid w:val="002E27EF"/>
    <w:rsid w:val="0031674E"/>
    <w:rsid w:val="00330A80"/>
    <w:rsid w:val="0033541B"/>
    <w:rsid w:val="00341067"/>
    <w:rsid w:val="00360090"/>
    <w:rsid w:val="00397A8C"/>
    <w:rsid w:val="003D09D4"/>
    <w:rsid w:val="003D62FC"/>
    <w:rsid w:val="003F26A6"/>
    <w:rsid w:val="00430022"/>
    <w:rsid w:val="00464303"/>
    <w:rsid w:val="00470BBE"/>
    <w:rsid w:val="004756A5"/>
    <w:rsid w:val="004B6AB5"/>
    <w:rsid w:val="004D6C63"/>
    <w:rsid w:val="00521338"/>
    <w:rsid w:val="00562829"/>
    <w:rsid w:val="005638BF"/>
    <w:rsid w:val="00571FD8"/>
    <w:rsid w:val="005C0548"/>
    <w:rsid w:val="005C41D9"/>
    <w:rsid w:val="005D17E1"/>
    <w:rsid w:val="005D65EE"/>
    <w:rsid w:val="005E0C26"/>
    <w:rsid w:val="00611A15"/>
    <w:rsid w:val="00617E8A"/>
    <w:rsid w:val="00687596"/>
    <w:rsid w:val="006B6A92"/>
    <w:rsid w:val="006D0510"/>
    <w:rsid w:val="006D4FDC"/>
    <w:rsid w:val="0075755F"/>
    <w:rsid w:val="007A05CF"/>
    <w:rsid w:val="007A1194"/>
    <w:rsid w:val="007D081B"/>
    <w:rsid w:val="007D1EFB"/>
    <w:rsid w:val="007D495D"/>
    <w:rsid w:val="007E0AD2"/>
    <w:rsid w:val="007E1C23"/>
    <w:rsid w:val="00801FBB"/>
    <w:rsid w:val="00806909"/>
    <w:rsid w:val="0083507F"/>
    <w:rsid w:val="0084540D"/>
    <w:rsid w:val="00863275"/>
    <w:rsid w:val="008B4D97"/>
    <w:rsid w:val="008B6DE9"/>
    <w:rsid w:val="008D71CF"/>
    <w:rsid w:val="008F19D2"/>
    <w:rsid w:val="00916667"/>
    <w:rsid w:val="009327B5"/>
    <w:rsid w:val="00934D87"/>
    <w:rsid w:val="009408AB"/>
    <w:rsid w:val="00961434"/>
    <w:rsid w:val="00993E87"/>
    <w:rsid w:val="009B361E"/>
    <w:rsid w:val="009B363C"/>
    <w:rsid w:val="009C3632"/>
    <w:rsid w:val="00A11F78"/>
    <w:rsid w:val="00A61C16"/>
    <w:rsid w:val="00A70580"/>
    <w:rsid w:val="00A75AE9"/>
    <w:rsid w:val="00A80855"/>
    <w:rsid w:val="00AD2444"/>
    <w:rsid w:val="00B0339D"/>
    <w:rsid w:val="00B13E0C"/>
    <w:rsid w:val="00B3345B"/>
    <w:rsid w:val="00B752C4"/>
    <w:rsid w:val="00BB425B"/>
    <w:rsid w:val="00BD0B76"/>
    <w:rsid w:val="00BF0974"/>
    <w:rsid w:val="00C15DEC"/>
    <w:rsid w:val="00C225B7"/>
    <w:rsid w:val="00CA5B14"/>
    <w:rsid w:val="00CB0DA6"/>
    <w:rsid w:val="00CB1D6F"/>
    <w:rsid w:val="00CC4679"/>
    <w:rsid w:val="00CD7C13"/>
    <w:rsid w:val="00CE4C88"/>
    <w:rsid w:val="00D14E8A"/>
    <w:rsid w:val="00D37B4E"/>
    <w:rsid w:val="00D60125"/>
    <w:rsid w:val="00D95FEF"/>
    <w:rsid w:val="00DD0D02"/>
    <w:rsid w:val="00DD3101"/>
    <w:rsid w:val="00DE6D2A"/>
    <w:rsid w:val="00DE700E"/>
    <w:rsid w:val="00DF585E"/>
    <w:rsid w:val="00E26EFD"/>
    <w:rsid w:val="00E27552"/>
    <w:rsid w:val="00E42F7F"/>
    <w:rsid w:val="00E86497"/>
    <w:rsid w:val="00E87F4E"/>
    <w:rsid w:val="00EB6564"/>
    <w:rsid w:val="00EC0418"/>
    <w:rsid w:val="00EE0040"/>
    <w:rsid w:val="00F07EE0"/>
    <w:rsid w:val="00F21F76"/>
    <w:rsid w:val="00F326D2"/>
    <w:rsid w:val="00F64C6D"/>
    <w:rsid w:val="00F93D8C"/>
    <w:rsid w:val="00FB391A"/>
    <w:rsid w:val="00FB5E0A"/>
    <w:rsid w:val="00FC2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8600"/>
  <w15:chartTrackingRefBased/>
  <w15:docId w15:val="{718AC8C5-C9DB-0845-809E-4D7755D0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PAGEHEADING1"/>
    <w:next w:val="Normal"/>
    <w:link w:val="Heading1Char"/>
    <w:uiPriority w:val="99"/>
    <w:qFormat/>
    <w:rsid w:val="00430022"/>
    <w:pPr>
      <w:outlineLvl w:val="0"/>
    </w:pPr>
  </w:style>
  <w:style w:type="paragraph" w:styleId="Heading2">
    <w:name w:val="heading 2"/>
    <w:basedOn w:val="01HEADING1"/>
    <w:next w:val="Normal"/>
    <w:link w:val="Heading2Char"/>
    <w:uiPriority w:val="9"/>
    <w:unhideWhenUsed/>
    <w:qFormat/>
    <w:rsid w:val="00CB0DA6"/>
    <w:pPr>
      <w:keepNext/>
      <w:outlineLvl w:val="1"/>
    </w:pPr>
    <w:rPr>
      <w:sz w:val="36"/>
      <w:szCs w:val="36"/>
    </w:rPr>
  </w:style>
  <w:style w:type="paragraph" w:styleId="Heading3">
    <w:name w:val="heading 3"/>
    <w:basedOn w:val="Normal"/>
    <w:next w:val="Normal"/>
    <w:link w:val="Heading3Char"/>
    <w:uiPriority w:val="9"/>
    <w:semiHidden/>
    <w:unhideWhenUsed/>
    <w:qFormat/>
    <w:rsid w:val="0024090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0022"/>
    <w:rPr>
      <w:rFonts w:ascii="Calibri" w:hAnsi="Calibri" w:cs="Calibri"/>
      <w:color w:val="000000" w:themeColor="text1"/>
      <w:spacing w:val="16"/>
      <w:sz w:val="40"/>
      <w:szCs w:val="40"/>
      <w:lang w:val="en-GB"/>
    </w:rPr>
  </w:style>
  <w:style w:type="character" w:customStyle="1" w:styleId="Heading2Char">
    <w:name w:val="Heading 2 Char"/>
    <w:basedOn w:val="DefaultParagraphFont"/>
    <w:link w:val="Heading2"/>
    <w:uiPriority w:val="9"/>
    <w:rsid w:val="00CB0DA6"/>
    <w:rPr>
      <w:rFonts w:ascii="Calibri Light" w:hAnsi="Calibri Light" w:cs="Calibri Light"/>
      <w:color w:val="000000"/>
      <w:sz w:val="36"/>
      <w:szCs w:val="36"/>
    </w:rPr>
  </w:style>
  <w:style w:type="character" w:customStyle="1" w:styleId="Heading3Char">
    <w:name w:val="Heading 3 Char"/>
    <w:basedOn w:val="DefaultParagraphFont"/>
    <w:link w:val="Heading3"/>
    <w:uiPriority w:val="9"/>
    <w:semiHidden/>
    <w:rsid w:val="0024090A"/>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175B77"/>
    <w:pPr>
      <w:tabs>
        <w:tab w:val="center" w:pos="4513"/>
        <w:tab w:val="right" w:pos="9026"/>
      </w:tabs>
    </w:pPr>
  </w:style>
  <w:style w:type="character" w:customStyle="1" w:styleId="HeaderChar">
    <w:name w:val="Header Char"/>
    <w:basedOn w:val="DefaultParagraphFont"/>
    <w:link w:val="Header"/>
    <w:uiPriority w:val="99"/>
    <w:rsid w:val="00175B77"/>
  </w:style>
  <w:style w:type="paragraph" w:styleId="Footer">
    <w:name w:val="footer"/>
    <w:basedOn w:val="Normal"/>
    <w:link w:val="FooterChar"/>
    <w:uiPriority w:val="99"/>
    <w:unhideWhenUsed/>
    <w:rsid w:val="00175B77"/>
    <w:pPr>
      <w:tabs>
        <w:tab w:val="center" w:pos="4513"/>
        <w:tab w:val="right" w:pos="9026"/>
      </w:tabs>
    </w:pPr>
  </w:style>
  <w:style w:type="character" w:customStyle="1" w:styleId="FooterChar">
    <w:name w:val="Footer Char"/>
    <w:basedOn w:val="DefaultParagraphFont"/>
    <w:link w:val="Footer"/>
    <w:uiPriority w:val="99"/>
    <w:rsid w:val="00175B77"/>
  </w:style>
  <w:style w:type="paragraph" w:customStyle="1" w:styleId="BasicParagraph">
    <w:name w:val="[Basic Paragraph]"/>
    <w:basedOn w:val="Normal"/>
    <w:uiPriority w:val="99"/>
    <w:rsid w:val="00175B77"/>
    <w:pPr>
      <w:autoSpaceDE w:val="0"/>
      <w:autoSpaceDN w:val="0"/>
      <w:adjustRightInd w:val="0"/>
      <w:spacing w:line="288" w:lineRule="auto"/>
      <w:textAlignment w:val="center"/>
    </w:pPr>
    <w:rPr>
      <w:rFonts w:ascii="Minion Pro" w:hAnsi="Minion Pro" w:cs="Minion Pro"/>
      <w:color w:val="000000"/>
      <w:lang w:val="en-GB"/>
    </w:rPr>
  </w:style>
  <w:style w:type="character" w:styleId="PageNumber">
    <w:name w:val="page number"/>
    <w:basedOn w:val="DefaultParagraphFont"/>
    <w:uiPriority w:val="99"/>
    <w:semiHidden/>
    <w:unhideWhenUsed/>
    <w:rsid w:val="00175B77"/>
  </w:style>
  <w:style w:type="paragraph" w:customStyle="1" w:styleId="10Versodetails">
    <w:name w:val="10. Verso details"/>
    <w:basedOn w:val="Normal"/>
    <w:uiPriority w:val="99"/>
    <w:rsid w:val="00272927"/>
    <w:pPr>
      <w:suppressAutoHyphens/>
      <w:autoSpaceDE w:val="0"/>
      <w:autoSpaceDN w:val="0"/>
      <w:adjustRightInd w:val="0"/>
      <w:spacing w:after="113" w:line="288" w:lineRule="auto"/>
      <w:textAlignment w:val="center"/>
    </w:pPr>
    <w:rPr>
      <w:rFonts w:ascii="Calibri" w:hAnsi="Calibri" w:cs="Calibri"/>
      <w:color w:val="000000"/>
      <w:sz w:val="12"/>
      <w:szCs w:val="12"/>
    </w:rPr>
  </w:style>
  <w:style w:type="character" w:customStyle="1" w:styleId="ITALIC">
    <w:name w:val="ITALIC"/>
    <w:uiPriority w:val="99"/>
    <w:rsid w:val="00272927"/>
    <w:rPr>
      <w:i/>
      <w:iCs/>
    </w:rPr>
  </w:style>
  <w:style w:type="paragraph" w:customStyle="1" w:styleId="HEADING1BIGINCONTENTS">
    <w:name w:val="HEADING 1 BIG IN CONTENTS"/>
    <w:basedOn w:val="TITLEPAGEHEADING1"/>
    <w:uiPriority w:val="99"/>
    <w:rsid w:val="0024090A"/>
    <w:pPr>
      <w:shd w:val="clear" w:color="auto" w:fill="E7E6E6" w:themeFill="background2"/>
    </w:pPr>
    <w:rPr>
      <w:color w:val="000000"/>
    </w:rPr>
  </w:style>
  <w:style w:type="paragraph" w:customStyle="1" w:styleId="TITLEPAGEHEADING1">
    <w:name w:val="TITLE PAGE HEADING 1"/>
    <w:basedOn w:val="NoParagraphStyle"/>
    <w:uiPriority w:val="99"/>
    <w:rsid w:val="00687596"/>
    <w:pPr>
      <w:suppressAutoHyphens/>
      <w:spacing w:after="142" w:line="400" w:lineRule="atLeast"/>
    </w:pPr>
    <w:rPr>
      <w:rFonts w:ascii="Calibri" w:hAnsi="Calibri" w:cs="Calibri"/>
      <w:color w:val="000000" w:themeColor="text1"/>
      <w:spacing w:val="16"/>
      <w:sz w:val="40"/>
      <w:szCs w:val="40"/>
    </w:rPr>
  </w:style>
  <w:style w:type="paragraph" w:customStyle="1" w:styleId="NoParagraphStyle">
    <w:name w:val="[No Paragraph Style]"/>
    <w:rsid w:val="00272927"/>
    <w:pPr>
      <w:autoSpaceDE w:val="0"/>
      <w:autoSpaceDN w:val="0"/>
      <w:adjustRightInd w:val="0"/>
      <w:spacing w:line="288" w:lineRule="auto"/>
      <w:textAlignment w:val="center"/>
    </w:pPr>
    <w:rPr>
      <w:rFonts w:ascii="Minion Pro" w:hAnsi="Minion Pro" w:cs="Minion Pro"/>
      <w:color w:val="000000"/>
      <w:lang w:val="en-GB"/>
    </w:rPr>
  </w:style>
  <w:style w:type="paragraph" w:customStyle="1" w:styleId="05BODYTEXT">
    <w:name w:val="05. BODY TEXT"/>
    <w:basedOn w:val="Normal"/>
    <w:uiPriority w:val="99"/>
    <w:rsid w:val="004756A5"/>
    <w:pPr>
      <w:suppressAutoHyphens/>
      <w:autoSpaceDE w:val="0"/>
      <w:autoSpaceDN w:val="0"/>
      <w:adjustRightInd w:val="0"/>
      <w:spacing w:after="113" w:line="288" w:lineRule="auto"/>
      <w:textAlignment w:val="center"/>
    </w:pPr>
    <w:rPr>
      <w:rFonts w:ascii="Calibri" w:hAnsi="Calibri" w:cs="Calibri"/>
      <w:color w:val="000000"/>
      <w:sz w:val="16"/>
      <w:szCs w:val="16"/>
    </w:rPr>
  </w:style>
  <w:style w:type="character" w:customStyle="1" w:styleId="BOLD">
    <w:name w:val="BOLD"/>
    <w:uiPriority w:val="99"/>
    <w:rsid w:val="00272927"/>
    <w:rPr>
      <w:b/>
      <w:bCs/>
    </w:rPr>
  </w:style>
  <w:style w:type="paragraph" w:customStyle="1" w:styleId="06bTABLEHEADERROW">
    <w:name w:val="06b. TABLE HEADER ROW"/>
    <w:basedOn w:val="Normal"/>
    <w:uiPriority w:val="99"/>
    <w:rsid w:val="00AD2444"/>
    <w:pPr>
      <w:keepNext/>
      <w:suppressAutoHyphens/>
      <w:autoSpaceDE w:val="0"/>
      <w:autoSpaceDN w:val="0"/>
      <w:adjustRightInd w:val="0"/>
      <w:spacing w:before="57" w:after="57" w:line="180" w:lineRule="atLeast"/>
      <w:textAlignment w:val="center"/>
    </w:pPr>
    <w:rPr>
      <w:rFonts w:ascii="Calibri" w:hAnsi="Calibri" w:cs="Calibri"/>
      <w:b/>
      <w:bCs/>
      <w:color w:val="FFFFFF"/>
      <w:sz w:val="16"/>
      <w:szCs w:val="16"/>
    </w:rPr>
  </w:style>
  <w:style w:type="paragraph" w:customStyle="1" w:styleId="06cTABLETEXT">
    <w:name w:val="06c TABLE TEXT"/>
    <w:basedOn w:val="05BODYTEXT"/>
    <w:uiPriority w:val="99"/>
    <w:rsid w:val="00272927"/>
    <w:pPr>
      <w:spacing w:line="180" w:lineRule="atLeast"/>
    </w:pPr>
  </w:style>
  <w:style w:type="paragraph" w:customStyle="1" w:styleId="02HEADING2">
    <w:name w:val="02. HEADING 2"/>
    <w:basedOn w:val="NoParagraphStyle"/>
    <w:uiPriority w:val="99"/>
    <w:rsid w:val="00687596"/>
    <w:pPr>
      <w:keepNext/>
      <w:pBdr>
        <w:bottom w:val="single" w:sz="4" w:space="5" w:color="000000"/>
      </w:pBdr>
      <w:tabs>
        <w:tab w:val="left" w:pos="426"/>
      </w:tabs>
      <w:suppressAutoHyphens/>
      <w:spacing w:before="240" w:after="170"/>
    </w:pPr>
    <w:rPr>
      <w:rFonts w:ascii="Calibri" w:hAnsi="Calibri" w:cs="Calibri"/>
      <w:caps/>
      <w:sz w:val="20"/>
      <w:szCs w:val="20"/>
      <w:lang w:val="en-AU"/>
    </w:rPr>
  </w:style>
  <w:style w:type="paragraph" w:customStyle="1" w:styleId="05bDOTPOINTS">
    <w:name w:val="05b. DOT POINTS"/>
    <w:basedOn w:val="NoParagraphStyle"/>
    <w:uiPriority w:val="99"/>
    <w:rsid w:val="00272927"/>
    <w:pPr>
      <w:tabs>
        <w:tab w:val="left" w:pos="170"/>
        <w:tab w:val="left" w:pos="360"/>
      </w:tabs>
      <w:suppressAutoHyphens/>
      <w:spacing w:after="113"/>
      <w:ind w:left="170" w:hanging="170"/>
    </w:pPr>
    <w:rPr>
      <w:rFonts w:ascii="Calibri" w:hAnsi="Calibri" w:cs="Calibri"/>
      <w:sz w:val="16"/>
      <w:szCs w:val="16"/>
      <w:lang w:val="en-AU"/>
    </w:rPr>
  </w:style>
  <w:style w:type="paragraph" w:customStyle="1" w:styleId="05bDOTPOINTS2ndlevel">
    <w:name w:val="05b. DOT POINTS 2nd level"/>
    <w:basedOn w:val="05bDOTPOINTS"/>
    <w:uiPriority w:val="99"/>
    <w:rsid w:val="00272927"/>
    <w:pPr>
      <w:ind w:left="340"/>
    </w:pPr>
  </w:style>
  <w:style w:type="paragraph" w:customStyle="1" w:styleId="TITLEPAGENOTINCONTENTS">
    <w:name w:val="TITLE PAGE NOT IN CONTENTS"/>
    <w:basedOn w:val="TITLEPAGEHEADING1"/>
    <w:uiPriority w:val="99"/>
    <w:rsid w:val="00272927"/>
    <w:pPr>
      <w:spacing w:after="0"/>
    </w:pPr>
    <w:rPr>
      <w:color w:val="000000"/>
      <w:spacing w:val="10"/>
      <w:sz w:val="32"/>
      <w:szCs w:val="32"/>
      <w:lang w:val="en-AU"/>
    </w:rPr>
  </w:style>
  <w:style w:type="paragraph" w:customStyle="1" w:styleId="01HEADING1">
    <w:name w:val="01. HEADING 1"/>
    <w:basedOn w:val="Normal"/>
    <w:uiPriority w:val="99"/>
    <w:rsid w:val="00CB0DA6"/>
    <w:pPr>
      <w:suppressAutoHyphens/>
      <w:autoSpaceDE w:val="0"/>
      <w:autoSpaceDN w:val="0"/>
      <w:adjustRightInd w:val="0"/>
      <w:spacing w:line="600" w:lineRule="atLeast"/>
      <w:textAlignment w:val="center"/>
    </w:pPr>
    <w:rPr>
      <w:rFonts w:ascii="Calibri Light" w:hAnsi="Calibri Light" w:cs="Calibri Light"/>
      <w:color w:val="000000"/>
      <w:sz w:val="48"/>
      <w:szCs w:val="48"/>
    </w:rPr>
  </w:style>
  <w:style w:type="paragraph" w:customStyle="1" w:styleId="03HEADING3">
    <w:name w:val="03. HEADING 3"/>
    <w:basedOn w:val="Normal"/>
    <w:uiPriority w:val="99"/>
    <w:rsid w:val="000D08FC"/>
    <w:pPr>
      <w:keepNext/>
      <w:tabs>
        <w:tab w:val="left" w:pos="426"/>
      </w:tabs>
      <w:suppressAutoHyphens/>
      <w:autoSpaceDE w:val="0"/>
      <w:autoSpaceDN w:val="0"/>
      <w:adjustRightInd w:val="0"/>
      <w:spacing w:before="113" w:after="57" w:line="288" w:lineRule="auto"/>
      <w:textAlignment w:val="center"/>
    </w:pPr>
    <w:rPr>
      <w:rFonts w:ascii="Calibri" w:hAnsi="Calibri" w:cs="Calibri"/>
      <w:b/>
      <w:bCs/>
      <w:color w:val="000000"/>
      <w:sz w:val="20"/>
      <w:szCs w:val="20"/>
    </w:rPr>
  </w:style>
  <w:style w:type="paragraph" w:customStyle="1" w:styleId="06TABLEHEADING">
    <w:name w:val="06. TABLE HEADING"/>
    <w:basedOn w:val="Normal"/>
    <w:uiPriority w:val="99"/>
    <w:rsid w:val="004756A5"/>
    <w:pPr>
      <w:keepNext/>
      <w:tabs>
        <w:tab w:val="left" w:pos="426"/>
      </w:tabs>
      <w:suppressAutoHyphens/>
      <w:autoSpaceDE w:val="0"/>
      <w:autoSpaceDN w:val="0"/>
      <w:adjustRightInd w:val="0"/>
      <w:spacing w:before="113" w:after="57" w:line="288" w:lineRule="auto"/>
      <w:textAlignment w:val="center"/>
    </w:pPr>
    <w:rPr>
      <w:rFonts w:ascii="Calibri" w:hAnsi="Calibri" w:cs="Calibri"/>
      <w:b/>
      <w:bCs/>
      <w:color w:val="000000"/>
      <w:sz w:val="18"/>
      <w:szCs w:val="18"/>
    </w:rPr>
  </w:style>
  <w:style w:type="paragraph" w:styleId="Caption">
    <w:name w:val="caption"/>
    <w:basedOn w:val="Normal"/>
    <w:next w:val="Normal"/>
    <w:uiPriority w:val="99"/>
    <w:unhideWhenUsed/>
    <w:qFormat/>
    <w:rsid w:val="000D08FC"/>
    <w:pPr>
      <w:spacing w:after="200"/>
    </w:pPr>
    <w:rPr>
      <w:i/>
      <w:iCs/>
      <w:color w:val="44546A" w:themeColor="text2"/>
      <w:sz w:val="18"/>
      <w:szCs w:val="18"/>
    </w:rPr>
  </w:style>
  <w:style w:type="paragraph" w:customStyle="1" w:styleId="08Notes">
    <w:name w:val="08. Notes"/>
    <w:basedOn w:val="05BODYTEXT"/>
    <w:uiPriority w:val="99"/>
    <w:rsid w:val="000D08FC"/>
    <w:pPr>
      <w:spacing w:before="113"/>
    </w:pPr>
  </w:style>
  <w:style w:type="character" w:customStyle="1" w:styleId="BodyTextChar">
    <w:name w:val="Body Text Char"/>
    <w:basedOn w:val="DefaultParagraphFont"/>
    <w:link w:val="BodyText"/>
    <w:uiPriority w:val="99"/>
    <w:rsid w:val="00CD7C13"/>
    <w:rPr>
      <w:rFonts w:ascii="Calibri" w:hAnsi="Calibri" w:cs="Calibri"/>
      <w:b/>
      <w:bCs/>
      <w:color w:val="FF0000"/>
      <w:sz w:val="28"/>
      <w:szCs w:val="28"/>
      <w:lang w:val="en-US"/>
    </w:rPr>
  </w:style>
  <w:style w:type="paragraph" w:styleId="BodyText">
    <w:name w:val="Body Text"/>
    <w:basedOn w:val="Normal"/>
    <w:link w:val="BodyTextChar"/>
    <w:uiPriority w:val="99"/>
    <w:rsid w:val="00CD7C13"/>
    <w:pPr>
      <w:autoSpaceDE w:val="0"/>
      <w:autoSpaceDN w:val="0"/>
      <w:adjustRightInd w:val="0"/>
      <w:spacing w:before="120" w:after="120" w:line="288" w:lineRule="auto"/>
      <w:textAlignment w:val="center"/>
    </w:pPr>
    <w:rPr>
      <w:rFonts w:ascii="Calibri" w:hAnsi="Calibri" w:cs="Calibri"/>
      <w:b/>
      <w:bCs/>
      <w:color w:val="FF0000"/>
      <w:sz w:val="28"/>
      <w:szCs w:val="28"/>
      <w:lang w:val="en-US"/>
    </w:rPr>
  </w:style>
  <w:style w:type="character" w:styleId="Hyperlink">
    <w:name w:val="Hyperlink"/>
    <w:basedOn w:val="DefaultParagraphFont"/>
    <w:uiPriority w:val="99"/>
    <w:rsid w:val="00CD7C13"/>
    <w:rPr>
      <w:color w:val="000000"/>
      <w:w w:val="100"/>
      <w:u w:val="thick" w:color="000000"/>
    </w:rPr>
  </w:style>
  <w:style w:type="paragraph" w:customStyle="1" w:styleId="07FOOTNOTES">
    <w:name w:val="07. FOOTNOTES"/>
    <w:basedOn w:val="05BODYTEXT"/>
    <w:uiPriority w:val="99"/>
    <w:rsid w:val="00CD7C13"/>
    <w:pPr>
      <w:ind w:left="170" w:hanging="170"/>
    </w:pPr>
    <w:rPr>
      <w:sz w:val="14"/>
      <w:szCs w:val="14"/>
      <w:lang w:val="en-US"/>
    </w:rPr>
  </w:style>
  <w:style w:type="paragraph" w:styleId="TOCHeading">
    <w:name w:val="TOC Heading"/>
    <w:basedOn w:val="Heading1"/>
    <w:next w:val="Normal"/>
    <w:uiPriority w:val="39"/>
    <w:unhideWhenUsed/>
    <w:qFormat/>
    <w:rsid w:val="0024090A"/>
    <w:pPr>
      <w:keepLines/>
      <w:suppressAutoHyphens w:val="0"/>
      <w:autoSpaceDE/>
      <w:autoSpaceDN/>
      <w:adjustRightInd/>
      <w:spacing w:before="480" w:after="0" w:line="276" w:lineRule="auto"/>
      <w:textAlignment w:val="auto"/>
      <w:outlineLvl w:val="9"/>
    </w:pPr>
    <w:rPr>
      <w:rFonts w:asciiTheme="majorHAnsi" w:eastAsiaTheme="majorEastAsia" w:hAnsiTheme="majorHAnsi" w:cstheme="majorBidi"/>
      <w:b/>
      <w:bCs/>
      <w:color w:val="2F5496" w:themeColor="accent1" w:themeShade="BF"/>
      <w:sz w:val="28"/>
      <w:szCs w:val="28"/>
      <w:lang w:val="en-US"/>
    </w:rPr>
  </w:style>
  <w:style w:type="paragraph" w:styleId="TOC1">
    <w:name w:val="toc 1"/>
    <w:basedOn w:val="Normal"/>
    <w:next w:val="Normal"/>
    <w:autoRedefine/>
    <w:uiPriority w:val="39"/>
    <w:unhideWhenUsed/>
    <w:rsid w:val="00CC4679"/>
    <w:pPr>
      <w:tabs>
        <w:tab w:val="right" w:leader="dot" w:pos="9010"/>
      </w:tabs>
      <w:spacing w:before="120"/>
    </w:pPr>
    <w:rPr>
      <w:rFonts w:cstheme="minorHAnsi"/>
      <w:b/>
      <w:bCs/>
      <w:iCs/>
      <w:noProof/>
      <w:sz w:val="20"/>
      <w:szCs w:val="20"/>
    </w:rPr>
  </w:style>
  <w:style w:type="paragraph" w:styleId="TOC2">
    <w:name w:val="toc 2"/>
    <w:basedOn w:val="Normal"/>
    <w:next w:val="Normal"/>
    <w:autoRedefine/>
    <w:uiPriority w:val="39"/>
    <w:unhideWhenUsed/>
    <w:rsid w:val="00CC4679"/>
    <w:pPr>
      <w:tabs>
        <w:tab w:val="right" w:leader="dot" w:pos="9010"/>
      </w:tabs>
      <w:spacing w:before="40"/>
      <w:ind w:left="238"/>
    </w:pPr>
    <w:rPr>
      <w:rFonts w:cstheme="minorHAnsi"/>
      <w:bCs/>
      <w:noProof/>
      <w:sz w:val="18"/>
      <w:szCs w:val="18"/>
    </w:rPr>
  </w:style>
  <w:style w:type="paragraph" w:styleId="TOC3">
    <w:name w:val="toc 3"/>
    <w:basedOn w:val="Normal"/>
    <w:next w:val="Normal"/>
    <w:autoRedefine/>
    <w:uiPriority w:val="39"/>
    <w:semiHidden/>
    <w:unhideWhenUsed/>
    <w:rsid w:val="0024090A"/>
    <w:pPr>
      <w:ind w:left="480"/>
    </w:pPr>
    <w:rPr>
      <w:rFonts w:cstheme="minorHAnsi"/>
      <w:sz w:val="20"/>
      <w:szCs w:val="20"/>
    </w:rPr>
  </w:style>
  <w:style w:type="paragraph" w:styleId="TOC4">
    <w:name w:val="toc 4"/>
    <w:basedOn w:val="Normal"/>
    <w:next w:val="Normal"/>
    <w:autoRedefine/>
    <w:uiPriority w:val="39"/>
    <w:semiHidden/>
    <w:unhideWhenUsed/>
    <w:rsid w:val="0024090A"/>
    <w:pPr>
      <w:ind w:left="720"/>
    </w:pPr>
    <w:rPr>
      <w:rFonts w:cstheme="minorHAnsi"/>
      <w:sz w:val="20"/>
      <w:szCs w:val="20"/>
    </w:rPr>
  </w:style>
  <w:style w:type="paragraph" w:styleId="TOC5">
    <w:name w:val="toc 5"/>
    <w:basedOn w:val="Normal"/>
    <w:next w:val="Normal"/>
    <w:autoRedefine/>
    <w:uiPriority w:val="39"/>
    <w:semiHidden/>
    <w:unhideWhenUsed/>
    <w:rsid w:val="0024090A"/>
    <w:pPr>
      <w:ind w:left="960"/>
    </w:pPr>
    <w:rPr>
      <w:rFonts w:cstheme="minorHAnsi"/>
      <w:sz w:val="20"/>
      <w:szCs w:val="20"/>
    </w:rPr>
  </w:style>
  <w:style w:type="paragraph" w:styleId="TOC6">
    <w:name w:val="toc 6"/>
    <w:basedOn w:val="Normal"/>
    <w:next w:val="Normal"/>
    <w:autoRedefine/>
    <w:uiPriority w:val="39"/>
    <w:semiHidden/>
    <w:unhideWhenUsed/>
    <w:rsid w:val="0024090A"/>
    <w:pPr>
      <w:ind w:left="1200"/>
    </w:pPr>
    <w:rPr>
      <w:rFonts w:cstheme="minorHAnsi"/>
      <w:sz w:val="20"/>
      <w:szCs w:val="20"/>
    </w:rPr>
  </w:style>
  <w:style w:type="paragraph" w:styleId="TOC7">
    <w:name w:val="toc 7"/>
    <w:basedOn w:val="Normal"/>
    <w:next w:val="Normal"/>
    <w:autoRedefine/>
    <w:uiPriority w:val="39"/>
    <w:semiHidden/>
    <w:unhideWhenUsed/>
    <w:rsid w:val="0024090A"/>
    <w:pPr>
      <w:ind w:left="1440"/>
    </w:pPr>
    <w:rPr>
      <w:rFonts w:cstheme="minorHAnsi"/>
      <w:sz w:val="20"/>
      <w:szCs w:val="20"/>
    </w:rPr>
  </w:style>
  <w:style w:type="paragraph" w:styleId="TOC8">
    <w:name w:val="toc 8"/>
    <w:basedOn w:val="Normal"/>
    <w:next w:val="Normal"/>
    <w:autoRedefine/>
    <w:uiPriority w:val="39"/>
    <w:semiHidden/>
    <w:unhideWhenUsed/>
    <w:rsid w:val="0024090A"/>
    <w:pPr>
      <w:ind w:left="1680"/>
    </w:pPr>
    <w:rPr>
      <w:rFonts w:cstheme="minorHAnsi"/>
      <w:sz w:val="20"/>
      <w:szCs w:val="20"/>
    </w:rPr>
  </w:style>
  <w:style w:type="paragraph" w:styleId="TOC9">
    <w:name w:val="toc 9"/>
    <w:basedOn w:val="Normal"/>
    <w:next w:val="Normal"/>
    <w:autoRedefine/>
    <w:uiPriority w:val="39"/>
    <w:semiHidden/>
    <w:unhideWhenUsed/>
    <w:rsid w:val="0024090A"/>
    <w:pPr>
      <w:ind w:left="1920"/>
    </w:pPr>
    <w:rPr>
      <w:rFonts w:cstheme="minorHAnsi"/>
      <w:sz w:val="20"/>
      <w:szCs w:val="20"/>
    </w:rPr>
  </w:style>
  <w:style w:type="paragraph" w:styleId="Title">
    <w:name w:val="Title"/>
    <w:basedOn w:val="Normal"/>
    <w:next w:val="Normal"/>
    <w:link w:val="TitleChar"/>
    <w:uiPriority w:val="10"/>
    <w:qFormat/>
    <w:rsid w:val="002409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90A"/>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E1C23"/>
    <w:rPr>
      <w:color w:val="605E5C"/>
      <w:shd w:val="clear" w:color="auto" w:fill="E1DFDD"/>
    </w:rPr>
  </w:style>
  <w:style w:type="paragraph" w:customStyle="1" w:styleId="04HEADING4">
    <w:name w:val="04. HEADING 4"/>
    <w:basedOn w:val="Normal"/>
    <w:next w:val="Normal"/>
    <w:uiPriority w:val="99"/>
    <w:rsid w:val="00464303"/>
    <w:pPr>
      <w:keepNext/>
      <w:tabs>
        <w:tab w:val="left" w:pos="426"/>
      </w:tabs>
      <w:suppressAutoHyphens/>
      <w:autoSpaceDE w:val="0"/>
      <w:autoSpaceDN w:val="0"/>
      <w:adjustRightInd w:val="0"/>
      <w:spacing w:before="113" w:after="57" w:line="288" w:lineRule="auto"/>
      <w:textAlignment w:val="center"/>
    </w:pPr>
    <w:rPr>
      <w:rFonts w:ascii="Calibri" w:hAnsi="Calibri" w:cs="Calibri"/>
      <w:b/>
      <w:bCs/>
      <w:color w:val="000000"/>
      <w:sz w:val="18"/>
      <w:szCs w:val="18"/>
    </w:rPr>
  </w:style>
  <w:style w:type="paragraph" w:customStyle="1" w:styleId="05cINDENTEDTEXT">
    <w:name w:val="05c. INDENTED TEXT"/>
    <w:basedOn w:val="05BODYTEXT"/>
    <w:uiPriority w:val="99"/>
    <w:rsid w:val="00464303"/>
    <w:pPr>
      <w:ind w:left="340" w:right="340"/>
    </w:pPr>
    <w:rPr>
      <w:i/>
      <w:iCs/>
    </w:rPr>
  </w:style>
  <w:style w:type="paragraph" w:customStyle="1" w:styleId="06dTABLEBULLETS">
    <w:name w:val="06d TABLE BULLETS"/>
    <w:basedOn w:val="05bDOTPOINTS"/>
    <w:uiPriority w:val="99"/>
    <w:rsid w:val="00464303"/>
    <w:pPr>
      <w:spacing w:line="180" w:lineRule="atLeast"/>
    </w:pPr>
  </w:style>
  <w:style w:type="character" w:styleId="CommentReference">
    <w:name w:val="annotation reference"/>
    <w:basedOn w:val="DefaultParagraphFont"/>
    <w:uiPriority w:val="99"/>
    <w:rsid w:val="00464303"/>
    <w:rPr>
      <w:w w:val="100"/>
      <w:sz w:val="18"/>
      <w:szCs w:val="18"/>
    </w:rPr>
  </w:style>
  <w:style w:type="paragraph" w:customStyle="1" w:styleId="CHEMICALCHEMTABLES">
    <w:name w:val="CHEMICAL (CHEM TABLES)"/>
    <w:basedOn w:val="Normal"/>
    <w:uiPriority w:val="99"/>
    <w:rsid w:val="00F326D2"/>
    <w:pPr>
      <w:suppressAutoHyphens/>
      <w:autoSpaceDE w:val="0"/>
      <w:autoSpaceDN w:val="0"/>
      <w:adjustRightInd w:val="0"/>
      <w:spacing w:before="57" w:after="57" w:line="288" w:lineRule="auto"/>
      <w:jc w:val="center"/>
      <w:textAlignment w:val="center"/>
    </w:pPr>
    <w:rPr>
      <w:rFonts w:ascii="Calibri" w:hAnsi="Calibri" w:cs="Calibri"/>
      <w:b/>
      <w:bCs/>
      <w:color w:val="888888"/>
      <w:spacing w:val="-20"/>
      <w:sz w:val="68"/>
      <w:szCs w:val="68"/>
      <w:lang w:val="en-US"/>
    </w:rPr>
  </w:style>
  <w:style w:type="paragraph" w:customStyle="1" w:styleId="CHEMICALfullnameCHEMTABLES">
    <w:name w:val="CHEMICAL full name (CHEM TABLES)"/>
    <w:basedOn w:val="Normal"/>
    <w:uiPriority w:val="99"/>
    <w:rsid w:val="00F326D2"/>
    <w:pPr>
      <w:suppressAutoHyphens/>
      <w:autoSpaceDE w:val="0"/>
      <w:autoSpaceDN w:val="0"/>
      <w:adjustRightInd w:val="0"/>
      <w:spacing w:before="57" w:after="57" w:line="288" w:lineRule="auto"/>
      <w:textAlignment w:val="center"/>
    </w:pPr>
    <w:rPr>
      <w:rFonts w:ascii="Calibri" w:hAnsi="Calibri" w:cs="Calibri"/>
      <w:b/>
      <w:bCs/>
      <w:color w:val="888888"/>
      <w:sz w:val="32"/>
      <w:szCs w:val="32"/>
      <w:lang w:val="en-US"/>
    </w:rPr>
  </w:style>
  <w:style w:type="paragraph" w:customStyle="1" w:styleId="NEPMstandardCHEMTABLES">
    <w:name w:val="NEPM standard (CHEM TABLES)"/>
    <w:basedOn w:val="Normal"/>
    <w:uiPriority w:val="99"/>
    <w:rsid w:val="00F326D2"/>
    <w:pPr>
      <w:tabs>
        <w:tab w:val="right" w:pos="7263"/>
      </w:tabs>
      <w:suppressAutoHyphens/>
      <w:autoSpaceDE w:val="0"/>
      <w:autoSpaceDN w:val="0"/>
      <w:adjustRightInd w:val="0"/>
      <w:spacing w:before="57" w:after="57" w:line="288" w:lineRule="auto"/>
      <w:textAlignment w:val="center"/>
    </w:pPr>
    <w:rPr>
      <w:rFonts w:ascii="Calibri" w:hAnsi="Calibri" w:cs="Calibri"/>
      <w:color w:val="000000"/>
      <w:sz w:val="16"/>
      <w:szCs w:val="16"/>
      <w:lang w:val="en-US"/>
    </w:rPr>
  </w:style>
  <w:style w:type="paragraph" w:customStyle="1" w:styleId="04bHEADING5">
    <w:name w:val="04b. HEADING 5"/>
    <w:basedOn w:val="04HEADING4"/>
    <w:uiPriority w:val="99"/>
    <w:rsid w:val="00F326D2"/>
    <w:pPr>
      <w:ind w:left="170" w:hanging="170"/>
    </w:pPr>
    <w:rPr>
      <w:i/>
      <w:iCs/>
    </w:rPr>
  </w:style>
  <w:style w:type="paragraph" w:styleId="BalloonText">
    <w:name w:val="Balloon Text"/>
    <w:basedOn w:val="Normal"/>
    <w:link w:val="BalloonTextChar"/>
    <w:uiPriority w:val="99"/>
    <w:semiHidden/>
    <w:unhideWhenUsed/>
    <w:rsid w:val="00A11F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1F7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B363C"/>
    <w:rPr>
      <w:color w:val="954F72" w:themeColor="followedHyperlink"/>
      <w:u w:val="single"/>
    </w:rPr>
  </w:style>
  <w:style w:type="paragraph" w:styleId="ListParagraph">
    <w:name w:val="List Paragraph"/>
    <w:basedOn w:val="Normal"/>
    <w:uiPriority w:val="34"/>
    <w:qFormat/>
    <w:rsid w:val="009B361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B3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34467">
      <w:bodyDiv w:val="1"/>
      <w:marLeft w:val="0"/>
      <w:marRight w:val="0"/>
      <w:marTop w:val="0"/>
      <w:marBottom w:val="0"/>
      <w:divBdr>
        <w:top w:val="none" w:sz="0" w:space="0" w:color="auto"/>
        <w:left w:val="none" w:sz="0" w:space="0" w:color="auto"/>
        <w:bottom w:val="none" w:sz="0" w:space="0" w:color="auto"/>
        <w:right w:val="none" w:sz="0" w:space="0" w:color="auto"/>
      </w:divBdr>
    </w:div>
    <w:div w:id="276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nvironment.nsw.gov.au/topics/air/research/current-research/air-quality-forecasting" TargetMode="External"/><Relationship Id="rId21" Type="http://schemas.openxmlformats.org/officeDocument/2006/relationships/hyperlink" Target="https://www.epa.nsw.gov.au/your-environment/air/regional-air-quality/Blue-Mountains-and-Lithgow-air-watch" TargetMode="External"/><Relationship Id="rId42" Type="http://schemas.openxmlformats.org/officeDocument/2006/relationships/hyperlink" Target="https://www.epa.vic.gov.au/about-epa/publications/1749" TargetMode="External"/><Relationship Id="rId47" Type="http://schemas.openxmlformats.org/officeDocument/2006/relationships/hyperlink" Target="https://www.epa.sa.gov.au/data_and_publications/air_quality_monitoring/reports_and_summaries" TargetMode="External"/><Relationship Id="rId63" Type="http://schemas.openxmlformats.org/officeDocument/2006/relationships/image" Target="media/image6.png"/><Relationship Id="rId68" Type="http://schemas.openxmlformats.org/officeDocument/2006/relationships/hyperlink" Target="http://www.data.gov.au/" TargetMode="External"/><Relationship Id="rId16" Type="http://schemas.openxmlformats.org/officeDocument/2006/relationships/hyperlink" Target="http://www.nepc.gov.au/system/files/resources/ee20bb51-e1cd-82b4-559c-699771b152e7/files/nepc-annual-report-09-10.pdf" TargetMode="External"/><Relationship Id="rId11" Type="http://schemas.openxmlformats.org/officeDocument/2006/relationships/image" Target="media/image2.png"/><Relationship Id="rId24" Type="http://schemas.openxmlformats.org/officeDocument/2006/relationships/hyperlink" Target="http://www.environment.nsw.gov.au/topics/air/research/current-research/broken-hill-environmental-lead-study" TargetMode="External"/><Relationship Id="rId32" Type="http://schemas.openxmlformats.org/officeDocument/2006/relationships/hyperlink" Target="https://www.epa.nsw.gov.au/-/media/epa/corporate-site/resources/air/diesel-locomotive-emissions-report.pdf?la=en&amp;hash=88154EACADC62F3017667750E257BB0F57D4D876" TargetMode="External"/><Relationship Id="rId37" Type="http://schemas.openxmlformats.org/officeDocument/2006/relationships/hyperlink" Target="https://www.environment.nsw.gov.au/topics/air/research/current-research/air-quality-forecasting" TargetMode="External"/><Relationship Id="rId40" Type="http://schemas.openxmlformats.org/officeDocument/2006/relationships/hyperlink" Target="https://www.environment.nsw.gov.au/topics/air/monitoring-air-quality/review/nsw-air-quality-monitoring-plan" TargetMode="External"/><Relationship Id="rId45" Type="http://schemas.openxmlformats.org/officeDocument/2006/relationships/hyperlink" Target="http://www.der.wa.gov.au/your-environment/air" TargetMode="External"/><Relationship Id="rId53" Type="http://schemas.openxmlformats.org/officeDocument/2006/relationships/hyperlink" Target="http://www.epa.tas.gov.au/" TargetMode="External"/><Relationship Id="rId58" Type="http://schemas.openxmlformats.org/officeDocument/2006/relationships/hyperlink" Target="http://www.crccare.com/knowledge-sharing/national-remediation-framework" TargetMode="External"/><Relationship Id="rId66" Type="http://schemas.openxmlformats.org/officeDocument/2006/relationships/hyperlink" Target="http://www.npi.gov.au/" TargetMode="External"/><Relationship Id="rId74" Type="http://schemas.openxmlformats.org/officeDocument/2006/relationships/hyperlink" Target="http://www.tccs.act.gov.au/" TargetMode="External"/><Relationship Id="rId79" Type="http://schemas.openxmlformats.org/officeDocument/2006/relationships/customXml" Target="../customXml/item4.xml"/><Relationship Id="rId5" Type="http://schemas.openxmlformats.org/officeDocument/2006/relationships/footnotes" Target="footnotes.xml"/><Relationship Id="rId61" Type="http://schemas.openxmlformats.org/officeDocument/2006/relationships/hyperlink" Target="https://www.der.wa.gov.au/our-work/programs/172-smoky-vehicle-reporting-program" TargetMode="External"/><Relationship Id="rId19" Type="http://schemas.openxmlformats.org/officeDocument/2006/relationships/hyperlink" Target="https://www.epa.nsw.gov.au/your-environment/air/air-emissions-inventory/air-emissions-inventory-2008" TargetMode="External"/><Relationship Id="rId14" Type="http://schemas.openxmlformats.org/officeDocument/2006/relationships/hyperlink" Target="http://www.npi.gov.au/" TargetMode="External"/><Relationship Id="rId22" Type="http://schemas.openxmlformats.org/officeDocument/2006/relationships/hyperlink" Target="https://www.environment.nsw.gov.au/topics/air/current-air-quality/special-projects-monitoring" TargetMode="External"/><Relationship Id="rId27" Type="http://schemas.openxmlformats.org/officeDocument/2006/relationships/hyperlink" Target="https://www.epa.nsw.gov.au/licensing-and-regulation/licensing/environment-protection-licences/load-based-licensing" TargetMode="External"/><Relationship Id="rId30" Type="http://schemas.openxmlformats.org/officeDocument/2006/relationships/hyperlink" Target="https://www.environment.nsw.gov.au/government/" TargetMode="External"/><Relationship Id="rId35" Type="http://schemas.openxmlformats.org/officeDocument/2006/relationships/hyperlink" Target="https://www.epa.nsw.gov.au/your-environment/air/reducing-wood-smoke-emissions/upper-hunter-wood-smoke-community-research-project" TargetMode="External"/><Relationship Id="rId43" Type="http://schemas.openxmlformats.org/officeDocument/2006/relationships/hyperlink" Target="http://www.qld.gov.au/environment/pollution/monitoring/air-reports" TargetMode="External"/><Relationship Id="rId48" Type="http://schemas.openxmlformats.org/officeDocument/2006/relationships/hyperlink" Target="https://www.epa.sa.gov.au/files/12061_airnepm.pdf" TargetMode="External"/><Relationship Id="rId56" Type="http://schemas.openxmlformats.org/officeDocument/2006/relationships/hyperlink" Target="http://ntepa.webhop.net/NTEPA/Default.ltr.aspx" TargetMode="External"/><Relationship Id="rId64" Type="http://schemas.openxmlformats.org/officeDocument/2006/relationships/image" Target="media/image7.png"/><Relationship Id="rId69" Type="http://schemas.openxmlformats.org/officeDocument/2006/relationships/hyperlink" Target="https://data.gov.au/dataset/npi" TargetMode="External"/><Relationship Id="rId77" Type="http://schemas.openxmlformats.org/officeDocument/2006/relationships/customXml" Target="../customXml/item2.xml"/><Relationship Id="rId8" Type="http://schemas.openxmlformats.org/officeDocument/2006/relationships/hyperlink" Target="https://www.der.wa.gov.au/our-work/programs/460-perth-air-emissions-study-2011-2012" TargetMode="External"/><Relationship Id="rId51" Type="http://schemas.openxmlformats.org/officeDocument/2006/relationships/hyperlink" Target="https://data.sa.gov.au/" TargetMode="External"/><Relationship Id="rId72" Type="http://schemas.openxmlformats.org/officeDocument/2006/relationships/hyperlink" Target="http://www.qld.gov.au/environment/pollution/management/waste/data-reports/recycling-waste"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dwer.wa.gov.au/our-work/programs/460-perth-air-emissions-study-2011-2012" TargetMode="External"/><Relationship Id="rId25" Type="http://schemas.openxmlformats.org/officeDocument/2006/relationships/hyperlink" Target="http://www.environment.nsw.gov.au/topics/air/research/current-research/sydney-air-quality-study" TargetMode="External"/><Relationship Id="rId33" Type="http://schemas.openxmlformats.org/officeDocument/2006/relationships/hyperlink" Target="https://www.epa.nsw.gov.au/your-environment/air/reducing-motor-vehicle-emissions/reporting-smoky-vehicles" TargetMode="External"/><Relationship Id="rId38" Type="http://schemas.openxmlformats.org/officeDocument/2006/relationships/hyperlink" Target="http://www.environment.nsw.gov.au/AQMS/aqi.htm" TargetMode="External"/><Relationship Id="rId46" Type="http://schemas.openxmlformats.org/officeDocument/2006/relationships/hyperlink" Target="https://www.der.wa.gov.au/your-environment/air/203-air-quality-publications" TargetMode="External"/><Relationship Id="rId59" Type="http://schemas.openxmlformats.org/officeDocument/2006/relationships/hyperlink" Target="http://energy.gov.au/" TargetMode="External"/><Relationship Id="rId67" Type="http://schemas.openxmlformats.org/officeDocument/2006/relationships/hyperlink" Target="http://data.gov.au/" TargetMode="External"/><Relationship Id="rId20" Type="http://schemas.openxmlformats.org/officeDocument/2006/relationships/hyperlink" Target="http://www.environment.nsw.gov.au/topics/air/monitoring-air-quality" TargetMode="External"/><Relationship Id="rId41" Type="http://schemas.openxmlformats.org/officeDocument/2006/relationships/hyperlink" Target="https://www.epa.vic.gov.au/EPAAirWatch" TargetMode="External"/><Relationship Id="rId54" Type="http://schemas.openxmlformats.org/officeDocument/2006/relationships/hyperlink" Target="http://epa.tas.gov.au/epa/air/monitoring-air-pollution/nepm-monitoring-information" TargetMode="External"/><Relationship Id="rId62" Type="http://schemas.openxmlformats.org/officeDocument/2006/relationships/hyperlink" Target="http://www.environment.gov.au/protection/hazardous-waste/reform" TargetMode="External"/><Relationship Id="rId70" Type="http://schemas.openxmlformats.org/officeDocument/2006/relationships/hyperlink" Target="http://www.epa.nsw.gov.au/wastetools/surveys.ht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http://bluemountains.sensors.net.au/" TargetMode="External"/><Relationship Id="rId28" Type="http://schemas.openxmlformats.org/officeDocument/2006/relationships/hyperlink" Target="https://www.epa.nsw.gov.au/your-environment/air/industrial-emissions" TargetMode="External"/><Relationship Id="rId36" Type="http://schemas.openxmlformats.org/officeDocument/2006/relationships/hyperlink" Target="https://www.epa.nsw.gov.au/your-environment/air/reducing-wood-smoke-emissions/council-resource-kit" TargetMode="External"/><Relationship Id="rId49" Type="http://schemas.openxmlformats.org/officeDocument/2006/relationships/hyperlink" Target="https://www.epa.sa.gov.au/data_and_publications/air_quality_monitoring" TargetMode="External"/><Relationship Id="rId57" Type="http://schemas.openxmlformats.org/officeDocument/2006/relationships/hyperlink" Target="https://ntepa.nt.gov.au/__data/assets/pdf_file/0010/284986/monitoringplan.pdf" TargetMode="External"/><Relationship Id="rId10" Type="http://schemas.openxmlformats.org/officeDocument/2006/relationships/footer" Target="footer2.xml"/><Relationship Id="rId31" Type="http://schemas.openxmlformats.org/officeDocument/2006/relationships/hyperlink" Target="https://www.epa.nsw.gov.au/-/media/epa/corporate-site/resources/air/diesel-locomotives-emissions-fuel-testing-3054.pdf?la=en&amp;hash=A8C80AAA913711B9D206D7FF0F3577CC55D65BF2" TargetMode="External"/><Relationship Id="rId44" Type="http://schemas.openxmlformats.org/officeDocument/2006/relationships/hyperlink" Target="http://www.qld.gov.au/environment/pollution/monitoring/air-reports" TargetMode="External"/><Relationship Id="rId52" Type="http://schemas.openxmlformats.org/officeDocument/2006/relationships/hyperlink" Target="http://www.epa.tas.gov.au/" TargetMode="External"/><Relationship Id="rId60" Type="http://schemas.openxmlformats.org/officeDocument/2006/relationships/hyperlink" Target="http://abs.gov.au/" TargetMode="External"/><Relationship Id="rId65" Type="http://schemas.openxmlformats.org/officeDocument/2006/relationships/hyperlink" Target="http://data.gov.au/" TargetMode="External"/><Relationship Id="rId73" Type="http://schemas.openxmlformats.org/officeDocument/2006/relationships/hyperlink" Target="http://www.dwer.wa.gov.au/" TargetMode="External"/><Relationship Id="rId7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www.dwer.wa.gov.au/" TargetMode="External"/><Relationship Id="rId39" Type="http://schemas.openxmlformats.org/officeDocument/2006/relationships/hyperlink" Target="http://www.environment.nsw.gov.au/AQMS/search.htm" TargetMode="External"/><Relationship Id="rId34" Type="http://schemas.openxmlformats.org/officeDocument/2006/relationships/hyperlink" Target="https://www.epa.nsw.gov.au/your-environment/air/reducing-wood-smoke-emissions/upper-hunter-wood-smoke-community-research-project" TargetMode="External"/><Relationship Id="rId50" Type="http://schemas.openxmlformats.org/officeDocument/2006/relationships/hyperlink" Target="https://www.epa.sa.gov.au/data_and_publications/air_quality_monitoring/reports_and_summaries" TargetMode="External"/><Relationship Id="rId55" Type="http://schemas.openxmlformats.org/officeDocument/2006/relationships/hyperlink" Target="https://www.accesscanberra.act.gov.au/app/answers/detail/a_id/1320/~/air-pollution"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epa.vic.gov.au/for-community/environmental-information/waste" TargetMode="External"/><Relationship Id="rId2" Type="http://schemas.openxmlformats.org/officeDocument/2006/relationships/styles" Target="styles.xml"/><Relationship Id="rId29" Type="http://schemas.openxmlformats.org/officeDocument/2006/relationships/hyperlink" Target="https://www.epa.nsw.gov.au/your-environment/air/non-road-diesel-marine-emissions/diesel-marine-emissions-strategy/about-diesel-marine-strateg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pa.nsw.gov.au/air/airinvent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874ACDC3-EB61-A242-9CBD-30F2F38B2659}">
  <ds:schemaRefs>
    <ds:schemaRef ds:uri="http://schemas.openxmlformats.org/officeDocument/2006/bibliography"/>
  </ds:schemaRefs>
</ds:datastoreItem>
</file>

<file path=customXml/itemProps2.xml><?xml version="1.0" encoding="utf-8"?>
<ds:datastoreItem xmlns:ds="http://schemas.openxmlformats.org/officeDocument/2006/customXml" ds:itemID="{BEA77F68-60FB-4CB6-A21A-F4027D0545EE}"/>
</file>

<file path=customXml/itemProps3.xml><?xml version="1.0" encoding="utf-8"?>
<ds:datastoreItem xmlns:ds="http://schemas.openxmlformats.org/officeDocument/2006/customXml" ds:itemID="{10FEA425-6CE2-40D3-BE70-B357846864C1}"/>
</file>

<file path=customXml/itemProps4.xml><?xml version="1.0" encoding="utf-8"?>
<ds:datastoreItem xmlns:ds="http://schemas.openxmlformats.org/officeDocument/2006/customXml" ds:itemID="{E4A61F7D-916A-4FF9-80F8-0F6278257289}"/>
</file>

<file path=docProps/app.xml><?xml version="1.0" encoding="utf-8"?>
<Properties xmlns="http://schemas.openxmlformats.org/officeDocument/2006/extended-properties" xmlns:vt="http://schemas.openxmlformats.org/officeDocument/2006/docPropsVTypes">
  <Template>Normal.dotm</Template>
  <TotalTime>3</TotalTime>
  <Pages>150</Pages>
  <Words>59379</Words>
  <Characters>338462</Characters>
  <Application>Microsoft Office Word</Application>
  <DocSecurity>0</DocSecurity>
  <Lines>2820</Lines>
  <Paragraphs>794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
  <dc:description/>
  <cp:lastModifiedBy>Gillian Worrall</cp:lastModifiedBy>
  <cp:revision>6</cp:revision>
  <dcterms:created xsi:type="dcterms:W3CDTF">2021-01-18T23:57:00Z</dcterms:created>
  <dcterms:modified xsi:type="dcterms:W3CDTF">2021-01-19T00:02:00Z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