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49B" w:rsidRPr="00942837" w:rsidRDefault="00E0449B">
      <w:pPr>
        <w:rPr>
          <w:b/>
          <w:i/>
          <w:sz w:val="28"/>
        </w:rPr>
      </w:pPr>
      <w:r w:rsidRPr="00942837">
        <w:rPr>
          <w:b/>
          <w:i/>
          <w:sz w:val="28"/>
        </w:rPr>
        <w:t>National Environment Protection (Assessment of Site Contamination) Measure 1999</w:t>
      </w:r>
      <w:r w:rsidRPr="00942837">
        <w:rPr>
          <w:i/>
          <w:sz w:val="28"/>
        </w:rPr>
        <w:t xml:space="preserve"> </w:t>
      </w:r>
      <w:r w:rsidR="00863548" w:rsidRPr="00942837">
        <w:rPr>
          <w:b/>
          <w:i/>
          <w:sz w:val="28"/>
        </w:rPr>
        <w:t xml:space="preserve"> </w:t>
      </w:r>
    </w:p>
    <w:p w:rsidR="00863548" w:rsidRDefault="002F6A4E">
      <w:pPr>
        <w:rPr>
          <w:b/>
          <w:sz w:val="28"/>
        </w:rPr>
      </w:pPr>
      <w:r>
        <w:rPr>
          <w:b/>
          <w:sz w:val="28"/>
        </w:rPr>
        <w:t>FREQUENTLY ASKED QUESTIONS</w:t>
      </w:r>
    </w:p>
    <w:p w:rsidR="00CA2A63" w:rsidRPr="00CA2A63" w:rsidRDefault="00CA2A63">
      <w:pPr>
        <w:rPr>
          <w:b/>
          <w:sz w:val="28"/>
        </w:rPr>
      </w:pPr>
    </w:p>
    <w:tbl>
      <w:tblPr>
        <w:tblStyle w:val="TableGrid"/>
        <w:tblW w:w="0" w:type="auto"/>
        <w:tblLook w:val="04A0" w:firstRow="1" w:lastRow="0" w:firstColumn="1" w:lastColumn="0" w:noHBand="0" w:noVBand="1"/>
      </w:tblPr>
      <w:tblGrid>
        <w:gridCol w:w="1809"/>
        <w:gridCol w:w="5529"/>
        <w:gridCol w:w="6836"/>
      </w:tblGrid>
      <w:tr w:rsidR="00863548" w:rsidTr="00942837">
        <w:trPr>
          <w:tblHeader/>
        </w:trPr>
        <w:tc>
          <w:tcPr>
            <w:tcW w:w="1809" w:type="dxa"/>
            <w:shd w:val="clear" w:color="auto" w:fill="C6D9F1" w:themeFill="text2" w:themeFillTint="33"/>
          </w:tcPr>
          <w:p w:rsidR="00863548" w:rsidRPr="00863548" w:rsidRDefault="00863548" w:rsidP="00863548">
            <w:pPr>
              <w:spacing w:before="120" w:after="120"/>
              <w:rPr>
                <w:b/>
              </w:rPr>
            </w:pPr>
            <w:r w:rsidRPr="00863548">
              <w:rPr>
                <w:b/>
              </w:rPr>
              <w:t>TOPIC</w:t>
            </w:r>
          </w:p>
        </w:tc>
        <w:tc>
          <w:tcPr>
            <w:tcW w:w="5529" w:type="dxa"/>
            <w:shd w:val="clear" w:color="auto" w:fill="C6D9F1" w:themeFill="text2" w:themeFillTint="33"/>
          </w:tcPr>
          <w:p w:rsidR="00863548" w:rsidRPr="00863548" w:rsidRDefault="00863548" w:rsidP="00863548">
            <w:pPr>
              <w:spacing w:before="120" w:after="120"/>
              <w:rPr>
                <w:b/>
              </w:rPr>
            </w:pPr>
            <w:r w:rsidRPr="00863548">
              <w:rPr>
                <w:b/>
              </w:rPr>
              <w:t>QUESTION</w:t>
            </w:r>
          </w:p>
        </w:tc>
        <w:tc>
          <w:tcPr>
            <w:tcW w:w="6836" w:type="dxa"/>
            <w:shd w:val="clear" w:color="auto" w:fill="C6D9F1" w:themeFill="text2" w:themeFillTint="33"/>
          </w:tcPr>
          <w:p w:rsidR="00863548" w:rsidRPr="00863548" w:rsidRDefault="00863548" w:rsidP="00863548">
            <w:pPr>
              <w:spacing w:before="120" w:after="120"/>
              <w:rPr>
                <w:b/>
              </w:rPr>
            </w:pPr>
            <w:r w:rsidRPr="00863548">
              <w:rPr>
                <w:b/>
              </w:rPr>
              <w:t>RESPONSE</w:t>
            </w:r>
          </w:p>
        </w:tc>
      </w:tr>
      <w:tr w:rsidR="00863548" w:rsidTr="00F65EDA">
        <w:tc>
          <w:tcPr>
            <w:tcW w:w="1809" w:type="dxa"/>
          </w:tcPr>
          <w:p w:rsidR="00863548" w:rsidRPr="00444B5B" w:rsidRDefault="00863548" w:rsidP="00CA2A63">
            <w:pPr>
              <w:keepLines/>
              <w:spacing w:before="120" w:after="120"/>
              <w:rPr>
                <w:b/>
              </w:rPr>
            </w:pPr>
            <w:r w:rsidRPr="00444B5B">
              <w:rPr>
                <w:b/>
              </w:rPr>
              <w:t>Referencing</w:t>
            </w:r>
            <w:r w:rsidR="00333E11">
              <w:rPr>
                <w:b/>
              </w:rPr>
              <w:t xml:space="preserve"> of the ASC NEPM</w:t>
            </w:r>
          </w:p>
        </w:tc>
        <w:tc>
          <w:tcPr>
            <w:tcW w:w="5529" w:type="dxa"/>
          </w:tcPr>
          <w:p w:rsidR="00863548" w:rsidRDefault="00F65EDA" w:rsidP="00CA2A63">
            <w:pPr>
              <w:keepLines/>
              <w:spacing w:before="120" w:after="120"/>
            </w:pPr>
            <w:r>
              <w:t>How should I reference the new guidelines?</w:t>
            </w:r>
          </w:p>
        </w:tc>
        <w:tc>
          <w:tcPr>
            <w:tcW w:w="6836" w:type="dxa"/>
          </w:tcPr>
          <w:p w:rsidR="005A267D" w:rsidRPr="005A267D" w:rsidRDefault="005A267D" w:rsidP="00CA2A63">
            <w:pPr>
              <w:keepLines/>
              <w:spacing w:before="120" w:after="120"/>
            </w:pPr>
            <w:r w:rsidRPr="005A267D">
              <w:t xml:space="preserve">National Environment Protection Measures </w:t>
            </w:r>
            <w:r>
              <w:t xml:space="preserve">(NEPMs) are legislative instruments </w:t>
            </w:r>
            <w:r w:rsidR="00333E11">
              <w:t xml:space="preserve">and are </w:t>
            </w:r>
            <w:r>
              <w:t xml:space="preserve">available from the ComLaw website* </w:t>
            </w:r>
          </w:p>
          <w:p w:rsidR="00444B5B" w:rsidRDefault="00444B5B" w:rsidP="00CA2A63">
            <w:pPr>
              <w:keepLines/>
              <w:spacing w:before="120" w:after="120"/>
            </w:pPr>
            <w:r>
              <w:rPr>
                <w:b/>
                <w:i/>
              </w:rPr>
              <w:t>F</w:t>
            </w:r>
            <w:r w:rsidR="00F65EDA" w:rsidRPr="00444B5B">
              <w:rPr>
                <w:b/>
                <w:i/>
              </w:rPr>
              <w:t>ull</w:t>
            </w:r>
            <w:r>
              <w:rPr>
                <w:b/>
                <w:i/>
              </w:rPr>
              <w:t xml:space="preserve"> citation</w:t>
            </w:r>
            <w:r w:rsidR="00F65EDA" w:rsidRPr="00444B5B">
              <w:rPr>
                <w:b/>
                <w:i/>
              </w:rPr>
              <w:t>:</w:t>
            </w:r>
            <w:r w:rsidR="00F65EDA">
              <w:t xml:space="preserve"> </w:t>
            </w:r>
            <w:r w:rsidR="00F65EDA" w:rsidRPr="00CA2A63">
              <w:rPr>
                <w:i/>
              </w:rPr>
              <w:t>National Environment Protection (Assessment of Site Contamination) Measure 1999</w:t>
            </w:r>
            <w:r w:rsidR="00F65EDA" w:rsidRPr="00444B5B">
              <w:t xml:space="preserve"> </w:t>
            </w:r>
          </w:p>
          <w:p w:rsidR="00863548" w:rsidRPr="00444B5B" w:rsidRDefault="00444B5B" w:rsidP="00CA2A63">
            <w:pPr>
              <w:keepLines/>
              <w:spacing w:before="120"/>
              <w:rPr>
                <w:sz w:val="18"/>
              </w:rPr>
            </w:pPr>
            <w:r w:rsidRPr="00444B5B">
              <w:rPr>
                <w:sz w:val="18"/>
              </w:rPr>
              <w:t xml:space="preserve">(refer section 1 of the Measure </w:t>
            </w:r>
            <w:hyperlink r:id="rId9" w:history="1">
              <w:r w:rsidRPr="00444B5B">
                <w:rPr>
                  <w:rStyle w:val="Hyperlink"/>
                  <w:sz w:val="18"/>
                </w:rPr>
                <w:t>http://www.comlaw.gov.au/Details/F2013C00288</w:t>
              </w:r>
            </w:hyperlink>
            <w:r w:rsidRPr="00444B5B">
              <w:rPr>
                <w:sz w:val="18"/>
              </w:rPr>
              <w:t>)</w:t>
            </w:r>
          </w:p>
          <w:p w:rsidR="00F65EDA" w:rsidRDefault="00444B5B" w:rsidP="00CA2A63">
            <w:pPr>
              <w:keepLines/>
              <w:spacing w:before="120" w:after="120"/>
            </w:pPr>
            <w:r>
              <w:rPr>
                <w:b/>
                <w:i/>
              </w:rPr>
              <w:t>A</w:t>
            </w:r>
            <w:r w:rsidR="00F65EDA" w:rsidRPr="00444B5B">
              <w:rPr>
                <w:b/>
                <w:i/>
              </w:rPr>
              <w:t>bbreviate to:</w:t>
            </w:r>
            <w:r w:rsidR="00F65EDA">
              <w:t xml:space="preserve"> </w:t>
            </w:r>
            <w:r w:rsidR="00302243">
              <w:t>‘</w:t>
            </w:r>
            <w:r w:rsidR="00E0449B">
              <w:t xml:space="preserve">ASC </w:t>
            </w:r>
            <w:r w:rsidR="005A267D">
              <w:t>NEPM</w:t>
            </w:r>
            <w:r w:rsidR="00302243">
              <w:t>’</w:t>
            </w:r>
            <w:r w:rsidR="005A267D">
              <w:t xml:space="preserve"> </w:t>
            </w:r>
            <w:r w:rsidR="00F65EDA">
              <w:t xml:space="preserve">to differentiate it from </w:t>
            </w:r>
            <w:r w:rsidR="00E0449B">
              <w:t>other</w:t>
            </w:r>
            <w:r w:rsidR="00F65EDA">
              <w:t xml:space="preserve"> NEPM</w:t>
            </w:r>
            <w:r w:rsidR="005A267D">
              <w:t>s</w:t>
            </w:r>
            <w:r w:rsidR="00E0449B">
              <w:t xml:space="preserve">. If there is no likelihood of it being confused with any other NEPM, </w:t>
            </w:r>
            <w:r w:rsidR="005A267D">
              <w:t>then</w:t>
            </w:r>
            <w:r w:rsidR="00302243">
              <w:t xml:space="preserve"> it may be identified as</w:t>
            </w:r>
            <w:r w:rsidR="005A267D">
              <w:t xml:space="preserve"> </w:t>
            </w:r>
            <w:r w:rsidR="00E0449B">
              <w:t xml:space="preserve">‘NEPM’ </w:t>
            </w:r>
            <w:r w:rsidR="00302243">
              <w:t>in reports etc</w:t>
            </w:r>
            <w:r w:rsidR="00F65EDA">
              <w:t>.</w:t>
            </w:r>
          </w:p>
        </w:tc>
      </w:tr>
      <w:tr w:rsidR="00863548" w:rsidTr="00F65EDA">
        <w:tc>
          <w:tcPr>
            <w:tcW w:w="1809" w:type="dxa"/>
          </w:tcPr>
          <w:p w:rsidR="00863548" w:rsidRDefault="00DB7E5C" w:rsidP="00CA2A63">
            <w:pPr>
              <w:keepLines/>
              <w:spacing w:before="120" w:after="120"/>
            </w:pPr>
            <w:r w:rsidRPr="00444B5B">
              <w:rPr>
                <w:b/>
              </w:rPr>
              <w:t>Referencing</w:t>
            </w:r>
            <w:r>
              <w:rPr>
                <w:b/>
              </w:rPr>
              <w:t xml:space="preserve"> of the ASC NEPM</w:t>
            </w:r>
          </w:p>
        </w:tc>
        <w:tc>
          <w:tcPr>
            <w:tcW w:w="5529" w:type="dxa"/>
          </w:tcPr>
          <w:p w:rsidR="00863548" w:rsidRDefault="00F65EDA" w:rsidP="00CA2A63">
            <w:pPr>
              <w:keepLines/>
              <w:spacing w:before="120" w:after="120"/>
            </w:pPr>
            <w:r>
              <w:t xml:space="preserve">How should I distinguish between </w:t>
            </w:r>
            <w:r w:rsidR="00B9095E">
              <w:t xml:space="preserve">the </w:t>
            </w:r>
            <w:r>
              <w:t>original and amended versions of the NEPM in a report where the works have been completed b</w:t>
            </w:r>
            <w:r w:rsidR="000F65E5">
              <w:t>oth pre- and post-</w:t>
            </w:r>
            <w:r>
              <w:t>amendment</w:t>
            </w:r>
            <w:r w:rsidR="000F65E5">
              <w:t>?</w:t>
            </w:r>
            <w:r>
              <w:t xml:space="preserve"> </w:t>
            </w:r>
          </w:p>
        </w:tc>
        <w:tc>
          <w:tcPr>
            <w:tcW w:w="6836" w:type="dxa"/>
          </w:tcPr>
          <w:p w:rsidR="00333E11" w:rsidRDefault="00F65EDA" w:rsidP="00CA2A63">
            <w:pPr>
              <w:keepLines/>
              <w:spacing w:before="120" w:after="120"/>
            </w:pPr>
            <w:r>
              <w:t xml:space="preserve">As the </w:t>
            </w:r>
            <w:r w:rsidR="00444B5B">
              <w:t>‘</w:t>
            </w:r>
            <w:r>
              <w:t>NEPM</w:t>
            </w:r>
            <w:r w:rsidR="00444B5B">
              <w:t>’</w:t>
            </w:r>
            <w:r>
              <w:t xml:space="preserve"> now incorporates the amendments, </w:t>
            </w:r>
            <w:r w:rsidR="00333E11">
              <w:t xml:space="preserve">you </w:t>
            </w:r>
            <w:r w:rsidR="00850AC6">
              <w:t xml:space="preserve">only </w:t>
            </w:r>
            <w:r w:rsidR="00333E11">
              <w:t xml:space="preserve">need to differentiate when </w:t>
            </w:r>
            <w:r w:rsidR="00850AC6">
              <w:t xml:space="preserve">you are </w:t>
            </w:r>
            <w:r w:rsidR="00333E11">
              <w:t xml:space="preserve">referring to the NEPM pre-amendment. </w:t>
            </w:r>
          </w:p>
          <w:p w:rsidR="00863548" w:rsidRDefault="00850AC6" w:rsidP="00CA2A63">
            <w:pPr>
              <w:keepLines/>
              <w:spacing w:before="120" w:after="120"/>
            </w:pPr>
            <w:r>
              <w:t xml:space="preserve">Suggested </w:t>
            </w:r>
            <w:r w:rsidR="00E40763">
              <w:t>in text referencing</w:t>
            </w:r>
            <w:r>
              <w:t xml:space="preserve"> - </w:t>
            </w:r>
            <w:r w:rsidR="00444B5B">
              <w:t xml:space="preserve"> </w:t>
            </w:r>
            <w:r>
              <w:t xml:space="preserve">‘NEPM </w:t>
            </w:r>
            <w:r w:rsidR="00E40763">
              <w:t xml:space="preserve">1999 </w:t>
            </w:r>
            <w:r>
              <w:t>(pre-2013 amendment)’</w:t>
            </w:r>
            <w:r w:rsidR="00E40763">
              <w:t xml:space="preserve"> or NEPM (pre-amendment)</w:t>
            </w:r>
          </w:p>
        </w:tc>
      </w:tr>
      <w:tr w:rsidR="00302243" w:rsidRPr="00302243" w:rsidTr="00F65EDA">
        <w:tc>
          <w:tcPr>
            <w:tcW w:w="1809" w:type="dxa"/>
          </w:tcPr>
          <w:p w:rsidR="00BC28FC" w:rsidRPr="00302243" w:rsidRDefault="00BC28FC" w:rsidP="00CA2A63">
            <w:pPr>
              <w:keepLines/>
              <w:spacing w:before="120" w:after="120"/>
              <w:rPr>
                <w:b/>
              </w:rPr>
            </w:pPr>
            <w:r w:rsidRPr="00302243">
              <w:rPr>
                <w:b/>
              </w:rPr>
              <w:t>Asbestos health screening level</w:t>
            </w:r>
          </w:p>
        </w:tc>
        <w:tc>
          <w:tcPr>
            <w:tcW w:w="5529" w:type="dxa"/>
          </w:tcPr>
          <w:p w:rsidR="00BC28FC" w:rsidRPr="00302243" w:rsidRDefault="00BC28FC" w:rsidP="00CA2A63">
            <w:pPr>
              <w:keepLines/>
              <w:spacing w:before="120" w:after="120"/>
            </w:pPr>
            <w:r w:rsidRPr="00302243">
              <w:t xml:space="preserve">The definition of ‘asbestos fines’ includes free fibres (s.4.4) however the footnote to Table 7 says that the screening level [for FA and AF] is not applicable to free fibres. </w:t>
            </w:r>
          </w:p>
        </w:tc>
        <w:tc>
          <w:tcPr>
            <w:tcW w:w="6836" w:type="dxa"/>
          </w:tcPr>
          <w:p w:rsidR="00BC28FC" w:rsidRPr="00302243" w:rsidRDefault="00BC28FC" w:rsidP="00CA2A63">
            <w:pPr>
              <w:keepLines/>
              <w:spacing w:before="120" w:after="120"/>
            </w:pPr>
            <w:r w:rsidRPr="00302243">
              <w:t>The screening level of 0.001% for FA and AF applies to the quantification of these materials by gravimetric procedures. The footnote clarifies that this only applies where gravimetric procedures are able to quantify these materials. Quantification of fibre bundles and small fragments of bonded ACM is contemplated</w:t>
            </w:r>
            <w:r w:rsidR="00342875" w:rsidRPr="00302243">
              <w:t xml:space="preserve"> where conditions allow.  T</w:t>
            </w:r>
            <w:r w:rsidRPr="00302243">
              <w:t xml:space="preserve">he quantification </w:t>
            </w:r>
            <w:r w:rsidR="00342875" w:rsidRPr="00302243">
              <w:t xml:space="preserve">of </w:t>
            </w:r>
            <w:r w:rsidR="00302243" w:rsidRPr="00302243">
              <w:t xml:space="preserve">individual </w:t>
            </w:r>
            <w:r w:rsidR="00342875" w:rsidRPr="00302243">
              <w:t xml:space="preserve">free fibres is not considered practicable and </w:t>
            </w:r>
            <w:r w:rsidRPr="00302243">
              <w:t xml:space="preserve">is not required. </w:t>
            </w:r>
          </w:p>
        </w:tc>
      </w:tr>
      <w:tr w:rsidR="00863548" w:rsidTr="00F65EDA">
        <w:tc>
          <w:tcPr>
            <w:tcW w:w="1809" w:type="dxa"/>
          </w:tcPr>
          <w:p w:rsidR="00863548" w:rsidRPr="00E779DE" w:rsidRDefault="00E779DE" w:rsidP="00CA2A63">
            <w:pPr>
              <w:keepLines/>
              <w:spacing w:before="120" w:after="120"/>
              <w:rPr>
                <w:b/>
              </w:rPr>
            </w:pPr>
            <w:r w:rsidRPr="00E779DE">
              <w:rPr>
                <w:b/>
              </w:rPr>
              <w:t>EILs and ESLs</w:t>
            </w:r>
          </w:p>
        </w:tc>
        <w:tc>
          <w:tcPr>
            <w:tcW w:w="5529" w:type="dxa"/>
          </w:tcPr>
          <w:p w:rsidR="00863548" w:rsidRPr="007D66B8" w:rsidRDefault="007D66B8" w:rsidP="00CA2A63">
            <w:pPr>
              <w:keepLines/>
              <w:autoSpaceDE w:val="0"/>
              <w:autoSpaceDN w:val="0"/>
              <w:adjustRightInd w:val="0"/>
              <w:spacing w:before="120" w:after="120"/>
              <w:rPr>
                <w:rFonts w:cs="Helvetica"/>
                <w:sz w:val="21"/>
                <w:szCs w:val="21"/>
              </w:rPr>
            </w:pPr>
            <w:r w:rsidRPr="007D66B8">
              <w:rPr>
                <w:rFonts w:cs="Helvetica"/>
                <w:szCs w:val="21"/>
              </w:rPr>
              <w:t xml:space="preserve">Are the EILs and ESLs still “single point” criteria, or is there </w:t>
            </w:r>
            <w:r w:rsidRPr="007D66B8">
              <w:rPr>
                <w:rFonts w:cs="Helvetica"/>
                <w:szCs w:val="21"/>
              </w:rPr>
              <w:lastRenderedPageBreak/>
              <w:t>scope for statistical evaluation?</w:t>
            </w:r>
          </w:p>
        </w:tc>
        <w:tc>
          <w:tcPr>
            <w:tcW w:w="6836" w:type="dxa"/>
          </w:tcPr>
          <w:p w:rsidR="00863548" w:rsidRPr="007D66B8" w:rsidRDefault="007D66B8" w:rsidP="00CA2A63">
            <w:pPr>
              <w:keepLines/>
              <w:autoSpaceDE w:val="0"/>
              <w:autoSpaceDN w:val="0"/>
              <w:adjustRightInd w:val="0"/>
              <w:spacing w:before="120" w:after="120"/>
              <w:rPr>
                <w:rFonts w:cs="Helvetica"/>
                <w:sz w:val="21"/>
                <w:szCs w:val="21"/>
              </w:rPr>
            </w:pPr>
            <w:r w:rsidRPr="007D66B8">
              <w:rPr>
                <w:rFonts w:cs="Helvetica"/>
                <w:szCs w:val="21"/>
              </w:rPr>
              <w:lastRenderedPageBreak/>
              <w:t>Although not explicitly stated</w:t>
            </w:r>
            <w:r w:rsidR="005C64A6">
              <w:rPr>
                <w:rFonts w:cs="Helvetica"/>
                <w:szCs w:val="21"/>
              </w:rPr>
              <w:t xml:space="preserve"> in </w:t>
            </w:r>
            <w:r w:rsidR="005C64A6" w:rsidRPr="007D66B8">
              <w:rPr>
                <w:rFonts w:cs="Helvetica"/>
                <w:szCs w:val="21"/>
              </w:rPr>
              <w:t xml:space="preserve">Schedule B1 </w:t>
            </w:r>
            <w:r w:rsidR="005C64A6">
              <w:rPr>
                <w:rFonts w:cs="Helvetica"/>
                <w:szCs w:val="21"/>
              </w:rPr>
              <w:t xml:space="preserve">Section 3.2, the information provided </w:t>
            </w:r>
            <w:r w:rsidR="00052D7B">
              <w:rPr>
                <w:rFonts w:cs="Helvetica"/>
                <w:szCs w:val="21"/>
              </w:rPr>
              <w:t>is intended to apply</w:t>
            </w:r>
            <w:r w:rsidRPr="007D66B8">
              <w:rPr>
                <w:rFonts w:cs="Helvetica"/>
                <w:szCs w:val="21"/>
              </w:rPr>
              <w:t xml:space="preserve"> to both human health and ecological </w:t>
            </w:r>
            <w:r w:rsidRPr="007D66B8">
              <w:rPr>
                <w:rFonts w:cs="Helvetica"/>
                <w:szCs w:val="21"/>
              </w:rPr>
              <w:lastRenderedPageBreak/>
              <w:t xml:space="preserve">criteria. It is </w:t>
            </w:r>
            <w:r w:rsidR="005C64A6">
              <w:rPr>
                <w:rFonts w:cs="Helvetica"/>
                <w:szCs w:val="21"/>
              </w:rPr>
              <w:t>important</w:t>
            </w:r>
            <w:r w:rsidRPr="007D66B8">
              <w:rPr>
                <w:rFonts w:cs="Helvetica"/>
                <w:szCs w:val="21"/>
              </w:rPr>
              <w:t xml:space="preserve"> to note that statistics </w:t>
            </w:r>
            <w:r w:rsidR="005C64A6">
              <w:rPr>
                <w:rFonts w:cs="Helvetica"/>
                <w:szCs w:val="21"/>
              </w:rPr>
              <w:t>should be</w:t>
            </w:r>
            <w:r w:rsidR="00DA595C">
              <w:rPr>
                <w:rFonts w:cs="Helvetica"/>
                <w:szCs w:val="21"/>
              </w:rPr>
              <w:t xml:space="preserve"> calculated for a relevant exposure area</w:t>
            </w:r>
            <w:r w:rsidRPr="007D66B8">
              <w:rPr>
                <w:rFonts w:cs="Helvetica"/>
                <w:szCs w:val="21"/>
              </w:rPr>
              <w:t xml:space="preserve"> </w:t>
            </w:r>
            <w:r w:rsidR="00FA7B24">
              <w:rPr>
                <w:rFonts w:cs="Helvetica"/>
                <w:szCs w:val="21"/>
              </w:rPr>
              <w:t xml:space="preserve">and soil unit etc. </w:t>
            </w:r>
            <w:r w:rsidRPr="007D66B8">
              <w:rPr>
                <w:rFonts w:cs="Helvetica"/>
                <w:szCs w:val="21"/>
              </w:rPr>
              <w:t xml:space="preserve">based on the conceptual site model. </w:t>
            </w:r>
          </w:p>
        </w:tc>
      </w:tr>
      <w:tr w:rsidR="00333E11" w:rsidTr="00F65EDA">
        <w:tc>
          <w:tcPr>
            <w:tcW w:w="1809" w:type="dxa"/>
          </w:tcPr>
          <w:p w:rsidR="00333E11" w:rsidRPr="00776F35" w:rsidRDefault="00333E11" w:rsidP="00CA2A63">
            <w:pPr>
              <w:keepLines/>
              <w:spacing w:before="120" w:after="120"/>
              <w:rPr>
                <w:b/>
              </w:rPr>
            </w:pPr>
            <w:r w:rsidRPr="00776F35">
              <w:rPr>
                <w:b/>
              </w:rPr>
              <w:lastRenderedPageBreak/>
              <w:t>EILs</w:t>
            </w:r>
          </w:p>
        </w:tc>
        <w:tc>
          <w:tcPr>
            <w:tcW w:w="5529" w:type="dxa"/>
          </w:tcPr>
          <w:p w:rsidR="00333E11" w:rsidRPr="00776F35" w:rsidRDefault="00387678" w:rsidP="00CA2A63">
            <w:pPr>
              <w:keepLines/>
              <w:autoSpaceDE w:val="0"/>
              <w:autoSpaceDN w:val="0"/>
              <w:adjustRightInd w:val="0"/>
              <w:spacing w:before="120" w:after="120"/>
              <w:rPr>
                <w:rFonts w:cs="Helvetica"/>
                <w:szCs w:val="21"/>
              </w:rPr>
            </w:pPr>
            <w:r>
              <w:rPr>
                <w:rFonts w:cs="Helvetica"/>
                <w:szCs w:val="21"/>
              </w:rPr>
              <w:t>Should an</w:t>
            </w:r>
            <w:r w:rsidR="00333E11" w:rsidRPr="00776F35">
              <w:rPr>
                <w:rFonts w:cs="Helvetica"/>
                <w:szCs w:val="21"/>
              </w:rPr>
              <w:t xml:space="preserve"> ambient background concentration (ABC) </w:t>
            </w:r>
            <w:r>
              <w:rPr>
                <w:rFonts w:cs="Helvetica"/>
                <w:szCs w:val="21"/>
              </w:rPr>
              <w:t xml:space="preserve">be included </w:t>
            </w:r>
            <w:r w:rsidR="00333E11" w:rsidRPr="00776F35">
              <w:rPr>
                <w:rFonts w:cs="Helvetica"/>
                <w:szCs w:val="21"/>
              </w:rPr>
              <w:t xml:space="preserve">for </w:t>
            </w:r>
            <w:r w:rsidR="00333E11" w:rsidRPr="00272309">
              <w:rPr>
                <w:rFonts w:cs="Helvetica"/>
                <w:szCs w:val="21"/>
              </w:rPr>
              <w:t>fill materials</w:t>
            </w:r>
            <w:r w:rsidR="00272309" w:rsidRPr="00272309">
              <w:rPr>
                <w:rFonts w:cs="Helvetica"/>
                <w:szCs w:val="21"/>
              </w:rPr>
              <w:t>?</w:t>
            </w:r>
          </w:p>
        </w:tc>
        <w:tc>
          <w:tcPr>
            <w:tcW w:w="6836" w:type="dxa"/>
          </w:tcPr>
          <w:p w:rsidR="00333E11" w:rsidRPr="00776F35" w:rsidRDefault="00776F35" w:rsidP="00CA2A63">
            <w:pPr>
              <w:keepLines/>
              <w:autoSpaceDE w:val="0"/>
              <w:autoSpaceDN w:val="0"/>
              <w:adjustRightInd w:val="0"/>
              <w:spacing w:before="120" w:after="120"/>
              <w:rPr>
                <w:rFonts w:cs="Helvetica"/>
                <w:szCs w:val="21"/>
              </w:rPr>
            </w:pPr>
            <w:r w:rsidRPr="00776F35">
              <w:rPr>
                <w:rFonts w:cs="Helvetica"/>
                <w:szCs w:val="21"/>
              </w:rPr>
              <w:t xml:space="preserve">A distinction should be made between uncontaminated natural materials from a known </w:t>
            </w:r>
            <w:r w:rsidR="00E779DE">
              <w:rPr>
                <w:rFonts w:cs="Helvetica"/>
                <w:szCs w:val="21"/>
              </w:rPr>
              <w:t xml:space="preserve">local </w:t>
            </w:r>
            <w:r w:rsidRPr="00776F35">
              <w:rPr>
                <w:rFonts w:cs="Helvetica"/>
                <w:szCs w:val="21"/>
              </w:rPr>
              <w:t xml:space="preserve">source such as clay and sand used for levelling or landscaping purposes (‘clean fill’) </w:t>
            </w:r>
            <w:r w:rsidR="00333E11" w:rsidRPr="00776F35">
              <w:rPr>
                <w:rFonts w:cs="Helvetica"/>
                <w:szCs w:val="21"/>
              </w:rPr>
              <w:t xml:space="preserve">and </w:t>
            </w:r>
            <w:r w:rsidRPr="00776F35">
              <w:rPr>
                <w:rFonts w:cs="Helvetica"/>
                <w:szCs w:val="21"/>
              </w:rPr>
              <w:t>heterogenou</w:t>
            </w:r>
            <w:r w:rsidR="00FD2240">
              <w:rPr>
                <w:rFonts w:cs="Helvetica"/>
                <w:szCs w:val="21"/>
              </w:rPr>
              <w:t>s fill of unknown origin. While</w:t>
            </w:r>
            <w:r w:rsidRPr="00776F35">
              <w:rPr>
                <w:rFonts w:cs="Helvetica"/>
                <w:szCs w:val="21"/>
              </w:rPr>
              <w:t xml:space="preserve"> it may be argued that an ABC </w:t>
            </w:r>
            <w:r w:rsidR="009B09F4">
              <w:rPr>
                <w:rFonts w:cs="Helvetica"/>
                <w:szCs w:val="21"/>
              </w:rPr>
              <w:t>could</w:t>
            </w:r>
            <w:r w:rsidRPr="00776F35">
              <w:rPr>
                <w:rFonts w:cs="Helvetica"/>
                <w:szCs w:val="21"/>
              </w:rPr>
              <w:t xml:space="preserve"> be calculated (via sampling and analysis) for clean fill</w:t>
            </w:r>
            <w:r w:rsidR="00FD2240">
              <w:rPr>
                <w:rFonts w:cs="Helvetica"/>
                <w:szCs w:val="21"/>
              </w:rPr>
              <w:t xml:space="preserve"> of known origin and date of emplacement</w:t>
            </w:r>
            <w:r w:rsidRPr="00776F35">
              <w:rPr>
                <w:rFonts w:cs="Helvetica"/>
                <w:szCs w:val="21"/>
              </w:rPr>
              <w:t>, it is not appropriate to calculate/derive an ABC for other types of fill.</w:t>
            </w:r>
          </w:p>
        </w:tc>
      </w:tr>
      <w:tr w:rsidR="00E52124" w:rsidTr="00F65EDA">
        <w:tc>
          <w:tcPr>
            <w:tcW w:w="1809" w:type="dxa"/>
          </w:tcPr>
          <w:p w:rsidR="00E52124" w:rsidRPr="00387678" w:rsidRDefault="00E52124" w:rsidP="00CA2A63">
            <w:pPr>
              <w:keepLines/>
              <w:spacing w:before="120" w:after="120"/>
              <w:rPr>
                <w:b/>
              </w:rPr>
            </w:pPr>
            <w:r w:rsidRPr="00387678">
              <w:rPr>
                <w:b/>
              </w:rPr>
              <w:t xml:space="preserve">EIL </w:t>
            </w:r>
            <w:r w:rsidR="00387678">
              <w:rPr>
                <w:b/>
              </w:rPr>
              <w:t>spreadsheet</w:t>
            </w:r>
          </w:p>
        </w:tc>
        <w:tc>
          <w:tcPr>
            <w:tcW w:w="5529" w:type="dxa"/>
          </w:tcPr>
          <w:p w:rsidR="00E52124" w:rsidRPr="00387678" w:rsidRDefault="00387678" w:rsidP="00CA2A63">
            <w:pPr>
              <w:keepLines/>
              <w:autoSpaceDE w:val="0"/>
              <w:autoSpaceDN w:val="0"/>
              <w:adjustRightInd w:val="0"/>
              <w:spacing w:before="120" w:after="120"/>
              <w:rPr>
                <w:rFonts w:cs="Helvetica"/>
                <w:szCs w:val="21"/>
              </w:rPr>
            </w:pPr>
            <w:r>
              <w:rPr>
                <w:rFonts w:cs="Helvetica"/>
                <w:szCs w:val="21"/>
              </w:rPr>
              <w:t>Why does the EIL</w:t>
            </w:r>
            <w:r w:rsidR="00E52124" w:rsidRPr="00387678">
              <w:rPr>
                <w:rFonts w:cs="Helvetica"/>
                <w:szCs w:val="21"/>
              </w:rPr>
              <w:t xml:space="preserve"> spreadsheet in the Toolbox present the added contaminant limits (ACLs) for fresh and aged lead as ‘generic EILs’ without the option </w:t>
            </w:r>
            <w:r w:rsidR="00302243" w:rsidRPr="00387678">
              <w:rPr>
                <w:rFonts w:cs="Helvetica"/>
                <w:szCs w:val="21"/>
              </w:rPr>
              <w:t xml:space="preserve">to </w:t>
            </w:r>
            <w:r w:rsidR="00E52124" w:rsidRPr="00387678">
              <w:rPr>
                <w:rFonts w:cs="Helvetica"/>
                <w:szCs w:val="21"/>
              </w:rPr>
              <w:t>estimate the ambient background concentration (ABC)?</w:t>
            </w:r>
          </w:p>
        </w:tc>
        <w:tc>
          <w:tcPr>
            <w:tcW w:w="6836" w:type="dxa"/>
          </w:tcPr>
          <w:p w:rsidR="00E52124" w:rsidRPr="00387678" w:rsidRDefault="00E52124" w:rsidP="00CA2A63">
            <w:pPr>
              <w:keepLines/>
              <w:autoSpaceDE w:val="0"/>
              <w:autoSpaceDN w:val="0"/>
              <w:adjustRightInd w:val="0"/>
              <w:spacing w:before="120" w:after="120"/>
              <w:rPr>
                <w:rFonts w:cs="Helvetica"/>
                <w:szCs w:val="21"/>
              </w:rPr>
            </w:pPr>
            <w:r w:rsidRPr="00387678">
              <w:rPr>
                <w:rFonts w:cs="Helvetica"/>
                <w:szCs w:val="21"/>
              </w:rPr>
              <w:t xml:space="preserve">This </w:t>
            </w:r>
            <w:r w:rsidR="00285842" w:rsidRPr="00387678">
              <w:rPr>
                <w:rFonts w:cs="Helvetica"/>
                <w:szCs w:val="21"/>
              </w:rPr>
              <w:t>is a flaw in the spreadsheet</w:t>
            </w:r>
            <w:r w:rsidRPr="00387678">
              <w:rPr>
                <w:rFonts w:cs="Helvetica"/>
                <w:szCs w:val="21"/>
              </w:rPr>
              <w:t xml:space="preserve">. The lead EIL can be calculated as per the procedure in Schedule B1 Section 2.5.10 </w:t>
            </w:r>
            <w:r w:rsidR="00707E35" w:rsidRPr="00387678">
              <w:rPr>
                <w:rFonts w:cs="Helvetica"/>
                <w:szCs w:val="21"/>
              </w:rPr>
              <w:t xml:space="preserve">(EIL = ABC + ACL) </w:t>
            </w:r>
            <w:r w:rsidRPr="00387678">
              <w:rPr>
                <w:rFonts w:cs="Helvetica"/>
                <w:szCs w:val="21"/>
              </w:rPr>
              <w:t>or refer to Schedule B5c which contains several example calculations</w:t>
            </w:r>
            <w:r w:rsidR="00285842" w:rsidRPr="00387678">
              <w:rPr>
                <w:rFonts w:cs="Helvetica"/>
                <w:szCs w:val="21"/>
              </w:rPr>
              <w:t xml:space="preserve"> for lead</w:t>
            </w:r>
            <w:r w:rsidRPr="00387678">
              <w:rPr>
                <w:rFonts w:cs="Helvetica"/>
                <w:szCs w:val="21"/>
              </w:rPr>
              <w:t>.</w:t>
            </w:r>
          </w:p>
          <w:p w:rsidR="00285842" w:rsidRPr="00387678" w:rsidRDefault="00285842" w:rsidP="00CA2A63">
            <w:pPr>
              <w:keepLines/>
              <w:autoSpaceDE w:val="0"/>
              <w:autoSpaceDN w:val="0"/>
              <w:adjustRightInd w:val="0"/>
              <w:spacing w:before="120" w:after="120"/>
              <w:rPr>
                <w:rFonts w:cs="Helvetica"/>
                <w:szCs w:val="21"/>
              </w:rPr>
            </w:pPr>
            <w:r w:rsidRPr="00387678">
              <w:rPr>
                <w:rFonts w:cs="Helvetica"/>
                <w:szCs w:val="21"/>
              </w:rPr>
              <w:t xml:space="preserve">Note that there is an error in Schedule B5c section 8.7.3.3 – the worked Example 1 (SQG based on LOEC and EC30), the ABC for lead is shown as 150 mg/kg for an old suburb with low traffic volume in South Australia. This should read 30 mg/kg and is displayed correctly as such in Table 67 on page 76.  </w:t>
            </w:r>
          </w:p>
        </w:tc>
      </w:tr>
      <w:tr w:rsidR="00387678" w:rsidTr="00F65EDA">
        <w:tc>
          <w:tcPr>
            <w:tcW w:w="1809" w:type="dxa"/>
          </w:tcPr>
          <w:p w:rsidR="00387678" w:rsidRPr="005B69D4" w:rsidRDefault="00387678" w:rsidP="00CA2A63">
            <w:pPr>
              <w:keepLines/>
              <w:spacing w:before="120" w:after="120"/>
              <w:rPr>
                <w:b/>
              </w:rPr>
            </w:pPr>
            <w:r>
              <w:rPr>
                <w:b/>
              </w:rPr>
              <w:t xml:space="preserve">EIL </w:t>
            </w:r>
            <w:r w:rsidR="00E779DE">
              <w:rPr>
                <w:b/>
              </w:rPr>
              <w:t>for copper</w:t>
            </w:r>
          </w:p>
        </w:tc>
        <w:tc>
          <w:tcPr>
            <w:tcW w:w="5529" w:type="dxa"/>
          </w:tcPr>
          <w:p w:rsidR="00387678" w:rsidRPr="005B69D4" w:rsidRDefault="00E779DE" w:rsidP="00CA2A63">
            <w:pPr>
              <w:keepLines/>
              <w:autoSpaceDE w:val="0"/>
              <w:autoSpaceDN w:val="0"/>
              <w:adjustRightInd w:val="0"/>
              <w:spacing w:before="120" w:after="120"/>
              <w:rPr>
                <w:rFonts w:cs="Helvetica"/>
                <w:szCs w:val="21"/>
              </w:rPr>
            </w:pPr>
            <w:r>
              <w:rPr>
                <w:rFonts w:cs="Helvetica"/>
                <w:szCs w:val="21"/>
              </w:rPr>
              <w:t xml:space="preserve">Is organic carbon data required to determine the added contaminant limit (ACL) for copper? </w:t>
            </w:r>
          </w:p>
        </w:tc>
        <w:tc>
          <w:tcPr>
            <w:tcW w:w="6836" w:type="dxa"/>
          </w:tcPr>
          <w:p w:rsidR="00387678" w:rsidRPr="005B69D4" w:rsidRDefault="00E779DE" w:rsidP="00CA2A63">
            <w:pPr>
              <w:keepLines/>
              <w:autoSpaceDE w:val="0"/>
              <w:autoSpaceDN w:val="0"/>
              <w:adjustRightInd w:val="0"/>
              <w:spacing w:before="120" w:after="120"/>
              <w:rPr>
                <w:rFonts w:cs="Helvetica"/>
                <w:szCs w:val="21"/>
              </w:rPr>
            </w:pPr>
            <w:r>
              <w:rPr>
                <w:rFonts w:cs="Helvetica"/>
                <w:szCs w:val="21"/>
              </w:rPr>
              <w:t>No, only pH and cation exchange capacity (CEC) are required. Refer to Appendix F in Schedule B5c for a more detailed explanation.</w:t>
            </w:r>
          </w:p>
        </w:tc>
      </w:tr>
      <w:tr w:rsidR="00E779DE" w:rsidTr="00596A4C">
        <w:tc>
          <w:tcPr>
            <w:tcW w:w="1809" w:type="dxa"/>
          </w:tcPr>
          <w:p w:rsidR="00E779DE" w:rsidRPr="00B9095E" w:rsidRDefault="00E779DE" w:rsidP="00CA2A63">
            <w:pPr>
              <w:keepLines/>
              <w:spacing w:before="120" w:after="120"/>
              <w:rPr>
                <w:b/>
              </w:rPr>
            </w:pPr>
            <w:r>
              <w:rPr>
                <w:b/>
              </w:rPr>
              <w:t>ESLs</w:t>
            </w:r>
          </w:p>
        </w:tc>
        <w:tc>
          <w:tcPr>
            <w:tcW w:w="5529" w:type="dxa"/>
          </w:tcPr>
          <w:p w:rsidR="00E779DE" w:rsidRDefault="00E779DE" w:rsidP="00CA2A63">
            <w:pPr>
              <w:keepLines/>
              <w:spacing w:before="120" w:after="120"/>
            </w:pPr>
            <w:r>
              <w:t>Are the ESLs for xylene in Table 1B(6) correct?</w:t>
            </w:r>
          </w:p>
        </w:tc>
        <w:tc>
          <w:tcPr>
            <w:tcW w:w="6836" w:type="dxa"/>
          </w:tcPr>
          <w:p w:rsidR="00E779DE" w:rsidRDefault="00E779DE" w:rsidP="00CA2A63">
            <w:pPr>
              <w:keepLines/>
              <w:spacing w:before="120" w:after="120"/>
              <w:rPr>
                <w:rStyle w:val="Hyperlink"/>
              </w:rPr>
            </w:pPr>
            <w:r>
              <w:t xml:space="preserve">The ESLs for xylene are correctly listed in Table 1B(6) - refer to the review by Michael Warne in the NEPM Toolbox </w:t>
            </w:r>
            <w:hyperlink r:id="rId10" w:history="1">
              <w:r w:rsidRPr="004A77DE">
                <w:rPr>
                  <w:rStyle w:val="Hyperlink"/>
                </w:rPr>
                <w:t>http://www.scew.gov.au/node/941</w:t>
              </w:r>
            </w:hyperlink>
          </w:p>
          <w:p w:rsidR="00E779DE" w:rsidRDefault="00E779DE" w:rsidP="00CA2A63">
            <w:pPr>
              <w:keepLines/>
              <w:spacing w:before="120" w:after="120"/>
            </w:pPr>
            <w:r>
              <w:t xml:space="preserve">Note that for xylene, the ESLs for coarse soil are higher than that for fine soil in contrast to the ESLs for benzene, toluene and ethylbenzene where the reverse is found.  This is probably an artefact of the data as the xylene </w:t>
            </w:r>
            <w:r>
              <w:lastRenderedPageBreak/>
              <w:t>ESLs were derived from a small data set with associated natural variability. If a larger, more statistically sound</w:t>
            </w:r>
            <w:r w:rsidR="00887009">
              <w:t xml:space="preserve"> data set were available, this e</w:t>
            </w:r>
            <w:r>
              <w:t>ffect may disappear.</w:t>
            </w:r>
          </w:p>
        </w:tc>
      </w:tr>
      <w:tr w:rsidR="00357CC0" w:rsidTr="00F65EDA">
        <w:tc>
          <w:tcPr>
            <w:tcW w:w="1809" w:type="dxa"/>
          </w:tcPr>
          <w:p w:rsidR="00357CC0" w:rsidRPr="005B69D4" w:rsidRDefault="00357CC0" w:rsidP="00CA2A63">
            <w:pPr>
              <w:keepLines/>
              <w:spacing w:before="120" w:after="120"/>
              <w:rPr>
                <w:b/>
              </w:rPr>
            </w:pPr>
            <w:r>
              <w:rPr>
                <w:b/>
              </w:rPr>
              <w:lastRenderedPageBreak/>
              <w:t>GILs</w:t>
            </w:r>
          </w:p>
        </w:tc>
        <w:tc>
          <w:tcPr>
            <w:tcW w:w="5529" w:type="dxa"/>
          </w:tcPr>
          <w:p w:rsidR="00357CC0" w:rsidRPr="005B69D4" w:rsidRDefault="00357CC0" w:rsidP="00CA2A63">
            <w:pPr>
              <w:keepLines/>
              <w:autoSpaceDE w:val="0"/>
              <w:autoSpaceDN w:val="0"/>
              <w:adjustRightInd w:val="0"/>
              <w:spacing w:before="120" w:after="120"/>
              <w:rPr>
                <w:rFonts w:cs="Helvetica"/>
                <w:szCs w:val="21"/>
              </w:rPr>
            </w:pPr>
            <w:r>
              <w:rPr>
                <w:rFonts w:cs="Helvetica"/>
                <w:szCs w:val="21"/>
              </w:rPr>
              <w:t xml:space="preserve">No explanation is provided for </w:t>
            </w:r>
            <w:r w:rsidR="00D43EFE">
              <w:rPr>
                <w:rFonts w:cs="Helvetica"/>
                <w:szCs w:val="21"/>
              </w:rPr>
              <w:t xml:space="preserve">why some GILs are based on 99% </w:t>
            </w:r>
            <w:r>
              <w:rPr>
                <w:rFonts w:cs="Helvetica"/>
                <w:szCs w:val="21"/>
              </w:rPr>
              <w:t>levels of protection and others on 95% levels of protection.</w:t>
            </w:r>
          </w:p>
        </w:tc>
        <w:tc>
          <w:tcPr>
            <w:tcW w:w="6836" w:type="dxa"/>
          </w:tcPr>
          <w:p w:rsidR="00357CC0" w:rsidRPr="005B69D4" w:rsidRDefault="00357CC0" w:rsidP="00D43EFE">
            <w:pPr>
              <w:keepLines/>
              <w:autoSpaceDE w:val="0"/>
              <w:autoSpaceDN w:val="0"/>
              <w:adjustRightInd w:val="0"/>
              <w:spacing w:before="120" w:after="120"/>
              <w:rPr>
                <w:rFonts w:cs="Helvetica"/>
                <w:szCs w:val="21"/>
              </w:rPr>
            </w:pPr>
            <w:r>
              <w:rPr>
                <w:rFonts w:cs="Helvetica"/>
                <w:szCs w:val="21"/>
              </w:rPr>
              <w:t>The GILs listed in Table 1C in Schedule B1</w:t>
            </w:r>
            <w:r w:rsidR="008B53AE">
              <w:rPr>
                <w:rFonts w:cs="Helvetica"/>
                <w:szCs w:val="21"/>
              </w:rPr>
              <w:t xml:space="preserve"> are those applicable to ‘</w:t>
            </w:r>
            <w:r w:rsidR="008B53AE" w:rsidRPr="008B53AE">
              <w:rPr>
                <w:rFonts w:cs="Helvetica"/>
                <w:i/>
                <w:szCs w:val="21"/>
              </w:rPr>
              <w:t>slightly – moderately disturbed ecosystems</w:t>
            </w:r>
            <w:r w:rsidR="008B53AE">
              <w:rPr>
                <w:rFonts w:cs="Helvetica"/>
                <w:i/>
                <w:szCs w:val="21"/>
              </w:rPr>
              <w:t xml:space="preserve">. </w:t>
            </w:r>
            <w:r w:rsidR="008B53AE" w:rsidRPr="008B53AE">
              <w:rPr>
                <w:rFonts w:cs="Helvetica"/>
                <w:szCs w:val="21"/>
              </w:rPr>
              <w:t>Generally these are</w:t>
            </w:r>
            <w:r w:rsidR="008B53AE">
              <w:rPr>
                <w:rFonts w:cs="Helvetica"/>
                <w:szCs w:val="21"/>
              </w:rPr>
              <w:t xml:space="preserve"> based on a 95% level of protection however</w:t>
            </w:r>
            <w:r w:rsidR="00D43EFE">
              <w:rPr>
                <w:rFonts w:cs="Helvetica"/>
                <w:szCs w:val="21"/>
              </w:rPr>
              <w:t xml:space="preserve">, </w:t>
            </w:r>
            <w:r w:rsidR="008B53AE">
              <w:rPr>
                <w:rFonts w:cs="Helvetica"/>
                <w:szCs w:val="21"/>
              </w:rPr>
              <w:t xml:space="preserve">this is increased to 99% for some chemicals e.g. where chemicals </w:t>
            </w:r>
            <w:r w:rsidR="00D43EFE">
              <w:rPr>
                <w:rFonts w:cs="Helvetica"/>
                <w:szCs w:val="21"/>
              </w:rPr>
              <w:t xml:space="preserve">have the potential to </w:t>
            </w:r>
            <w:r w:rsidR="008B53AE">
              <w:rPr>
                <w:rFonts w:cs="Helvetica"/>
                <w:szCs w:val="21"/>
              </w:rPr>
              <w:t xml:space="preserve">bioaccumulate or where the 95% value may not provide sufficient protection </w:t>
            </w:r>
            <w:r w:rsidR="00D43EFE">
              <w:rPr>
                <w:rFonts w:cs="Helvetica"/>
                <w:szCs w:val="21"/>
              </w:rPr>
              <w:t>for</w:t>
            </w:r>
            <w:bookmarkStart w:id="0" w:name="_GoBack"/>
            <w:bookmarkEnd w:id="0"/>
            <w:r w:rsidR="008B53AE">
              <w:rPr>
                <w:rFonts w:cs="Helvetica"/>
                <w:szCs w:val="21"/>
              </w:rPr>
              <w:t xml:space="preserve"> key species. For further information </w:t>
            </w:r>
            <w:r w:rsidR="00A11052">
              <w:rPr>
                <w:rFonts w:cs="Helvetica"/>
                <w:szCs w:val="21"/>
              </w:rPr>
              <w:t xml:space="preserve">refer to the </w:t>
            </w:r>
            <w:r w:rsidR="00A11052" w:rsidRPr="00A11052">
              <w:rPr>
                <w:rFonts w:cs="Helvetica"/>
                <w:i/>
                <w:szCs w:val="21"/>
              </w:rPr>
              <w:t>Australian and New Zealand Guidelines for Fresh and Marine Water Quality 2000</w:t>
            </w:r>
            <w:r w:rsidR="00A11052">
              <w:rPr>
                <w:rFonts w:cs="Helvetica"/>
                <w:szCs w:val="21"/>
              </w:rPr>
              <w:t xml:space="preserve"> (ANZECC &amp; ARMCANZ 2000)</w:t>
            </w:r>
          </w:p>
        </w:tc>
      </w:tr>
      <w:tr w:rsidR="00F657CF" w:rsidTr="00F65EDA">
        <w:tc>
          <w:tcPr>
            <w:tcW w:w="1809" w:type="dxa"/>
          </w:tcPr>
          <w:p w:rsidR="00F657CF" w:rsidRPr="005B69D4" w:rsidRDefault="00C96EE0" w:rsidP="00CA2A63">
            <w:pPr>
              <w:keepLines/>
              <w:spacing w:before="120" w:after="120"/>
              <w:rPr>
                <w:b/>
              </w:rPr>
            </w:pPr>
            <w:r w:rsidRPr="005B69D4">
              <w:rPr>
                <w:b/>
              </w:rPr>
              <w:t>HILs</w:t>
            </w:r>
          </w:p>
        </w:tc>
        <w:tc>
          <w:tcPr>
            <w:tcW w:w="5529" w:type="dxa"/>
          </w:tcPr>
          <w:p w:rsidR="00F657CF" w:rsidRPr="005B69D4" w:rsidRDefault="00E155B9" w:rsidP="00CA2A63">
            <w:pPr>
              <w:keepLines/>
              <w:autoSpaceDE w:val="0"/>
              <w:autoSpaceDN w:val="0"/>
              <w:adjustRightInd w:val="0"/>
              <w:spacing w:before="120" w:after="120"/>
              <w:rPr>
                <w:rFonts w:cs="Helvetica"/>
                <w:szCs w:val="21"/>
              </w:rPr>
            </w:pPr>
            <w:r w:rsidRPr="005B69D4">
              <w:rPr>
                <w:rFonts w:cs="Helvetica"/>
                <w:szCs w:val="21"/>
              </w:rPr>
              <w:t>The derived</w:t>
            </w:r>
            <w:r w:rsidR="00C96EE0" w:rsidRPr="005B69D4">
              <w:rPr>
                <w:rFonts w:cs="Helvetica"/>
                <w:szCs w:val="21"/>
              </w:rPr>
              <w:t xml:space="preserve"> HIL</w:t>
            </w:r>
            <w:r w:rsidRPr="005B69D4">
              <w:rPr>
                <w:rFonts w:cs="Helvetica"/>
                <w:szCs w:val="21"/>
              </w:rPr>
              <w:t>s</w:t>
            </w:r>
            <w:r w:rsidR="00C96EE0" w:rsidRPr="005B69D4">
              <w:rPr>
                <w:rFonts w:cs="Helvetica"/>
                <w:szCs w:val="21"/>
              </w:rPr>
              <w:t xml:space="preserve"> </w:t>
            </w:r>
            <w:r w:rsidRPr="005B69D4">
              <w:rPr>
                <w:rFonts w:cs="Helvetica"/>
                <w:szCs w:val="21"/>
              </w:rPr>
              <w:t xml:space="preserve">calculated in the HIL </w:t>
            </w:r>
            <w:r w:rsidR="00C96EE0" w:rsidRPr="005B69D4">
              <w:rPr>
                <w:rFonts w:cs="Helvetica"/>
                <w:szCs w:val="21"/>
              </w:rPr>
              <w:t xml:space="preserve">spreadsheet </w:t>
            </w:r>
            <w:r w:rsidRPr="005B69D4">
              <w:rPr>
                <w:rFonts w:cs="Helvetica"/>
                <w:szCs w:val="21"/>
              </w:rPr>
              <w:t xml:space="preserve">(available from </w:t>
            </w:r>
            <w:r w:rsidR="00C96EE0" w:rsidRPr="005B69D4">
              <w:rPr>
                <w:rFonts w:cs="Helvetica"/>
                <w:szCs w:val="21"/>
              </w:rPr>
              <w:t xml:space="preserve">the </w:t>
            </w:r>
            <w:r w:rsidR="00E40763" w:rsidRPr="005B69D4">
              <w:rPr>
                <w:rFonts w:cs="Helvetica"/>
                <w:szCs w:val="21"/>
              </w:rPr>
              <w:t>Toolbox</w:t>
            </w:r>
            <w:r w:rsidRPr="005B69D4">
              <w:rPr>
                <w:rFonts w:cs="Helvetica"/>
                <w:szCs w:val="21"/>
              </w:rPr>
              <w:t>) sometimes differ from those listed in Schedule B1 Table 1A(1) and Schedule B7 Table 2. What is the reason for this?</w:t>
            </w:r>
          </w:p>
        </w:tc>
        <w:tc>
          <w:tcPr>
            <w:tcW w:w="6836" w:type="dxa"/>
          </w:tcPr>
          <w:p w:rsidR="00F657CF" w:rsidRPr="00F657CF" w:rsidRDefault="005B69D4" w:rsidP="00CA2A63">
            <w:pPr>
              <w:keepLines/>
              <w:autoSpaceDE w:val="0"/>
              <w:autoSpaceDN w:val="0"/>
              <w:adjustRightInd w:val="0"/>
              <w:spacing w:before="120" w:after="120"/>
              <w:rPr>
                <w:rFonts w:cs="Helvetica"/>
                <w:szCs w:val="21"/>
              </w:rPr>
            </w:pPr>
            <w:r w:rsidRPr="005B69D4">
              <w:rPr>
                <w:rFonts w:cs="Helvetica"/>
                <w:szCs w:val="21"/>
              </w:rPr>
              <w:t>A policy decision was made that where the scientific information only supports a minor revision of the HIL by less than approximately 20%, or the new scientific data is not adequately robust, the original HIL was retained with no change (refer Schedule B7 section 1.4 for further information). The basis for deriving each HIL is described in the Appendices to Schedule B7 e.g. Appendix A1 section 1.5 on arsenic provides the rationale for retaining the original HIL for arsenic.</w:t>
            </w:r>
          </w:p>
        </w:tc>
      </w:tr>
      <w:tr w:rsidR="007E4B97" w:rsidTr="00F65EDA">
        <w:tc>
          <w:tcPr>
            <w:tcW w:w="1809" w:type="dxa"/>
          </w:tcPr>
          <w:p w:rsidR="007E4B97" w:rsidRPr="00035E8E" w:rsidRDefault="007E4B97" w:rsidP="00CA2A63">
            <w:pPr>
              <w:keepLines/>
              <w:spacing w:before="120" w:after="120"/>
              <w:rPr>
                <w:b/>
              </w:rPr>
            </w:pPr>
            <w:r>
              <w:rPr>
                <w:b/>
              </w:rPr>
              <w:t>HIL for lead</w:t>
            </w:r>
          </w:p>
        </w:tc>
        <w:tc>
          <w:tcPr>
            <w:tcW w:w="5529" w:type="dxa"/>
          </w:tcPr>
          <w:p w:rsidR="007E4B97" w:rsidRDefault="007E4B97" w:rsidP="00CA2A63">
            <w:pPr>
              <w:keepLines/>
              <w:autoSpaceDE w:val="0"/>
              <w:autoSpaceDN w:val="0"/>
              <w:adjustRightInd w:val="0"/>
              <w:spacing w:before="120" w:after="120"/>
              <w:rPr>
                <w:rFonts w:cs="Helvetica"/>
                <w:szCs w:val="21"/>
              </w:rPr>
            </w:pPr>
            <w:r>
              <w:rPr>
                <w:rFonts w:cs="Helvetica"/>
                <w:szCs w:val="21"/>
              </w:rPr>
              <w:t>What is the correct HIL for lead? The rows for lead are hidden on the HIL spreadsheet</w:t>
            </w:r>
            <w:r w:rsidR="00CB0617">
              <w:rPr>
                <w:rFonts w:cs="Helvetica"/>
                <w:szCs w:val="21"/>
              </w:rPr>
              <w:t>.</w:t>
            </w:r>
          </w:p>
        </w:tc>
        <w:tc>
          <w:tcPr>
            <w:tcW w:w="6836" w:type="dxa"/>
          </w:tcPr>
          <w:p w:rsidR="004B02A7" w:rsidRDefault="004B02A7" w:rsidP="00CA2A63">
            <w:pPr>
              <w:keepLines/>
              <w:autoSpaceDE w:val="0"/>
              <w:autoSpaceDN w:val="0"/>
              <w:adjustRightInd w:val="0"/>
              <w:spacing w:before="120" w:after="120"/>
              <w:rPr>
                <w:rFonts w:cs="Helvetica"/>
                <w:szCs w:val="21"/>
              </w:rPr>
            </w:pPr>
            <w:r>
              <w:rPr>
                <w:rFonts w:cs="Helvetica"/>
                <w:szCs w:val="21"/>
              </w:rPr>
              <w:t>The HILs for lead were derived from blood lead modelling (refer Schedule B7 Appendix D) which is the preferred methodology for calculating a site-specific HIL where this can be justified.</w:t>
            </w:r>
          </w:p>
          <w:p w:rsidR="004B02A7" w:rsidRDefault="004B02A7" w:rsidP="00CA2A63">
            <w:pPr>
              <w:keepLines/>
              <w:autoSpaceDE w:val="0"/>
              <w:autoSpaceDN w:val="0"/>
              <w:adjustRightInd w:val="0"/>
              <w:spacing w:before="120" w:after="120"/>
              <w:rPr>
                <w:rFonts w:cs="Helvetica"/>
                <w:szCs w:val="21"/>
              </w:rPr>
            </w:pPr>
            <w:r>
              <w:rPr>
                <w:rFonts w:cs="Helvetica"/>
                <w:szCs w:val="21"/>
              </w:rPr>
              <w:t xml:space="preserve">The rationale for deriving the HIL for lead is included in Schedule B7 Appendix A1. The HILs for lead were reaffirmed and the original values retained. </w:t>
            </w:r>
          </w:p>
          <w:p w:rsidR="00CB0617" w:rsidRDefault="00CB0617" w:rsidP="00CA2A63">
            <w:pPr>
              <w:keepLines/>
              <w:autoSpaceDE w:val="0"/>
              <w:autoSpaceDN w:val="0"/>
              <w:adjustRightInd w:val="0"/>
              <w:spacing w:before="120" w:after="120"/>
              <w:rPr>
                <w:rFonts w:cs="Helvetica"/>
                <w:szCs w:val="21"/>
              </w:rPr>
            </w:pPr>
            <w:r>
              <w:rPr>
                <w:rFonts w:cs="Helvetica"/>
                <w:szCs w:val="21"/>
              </w:rPr>
              <w:t xml:space="preserve">The </w:t>
            </w:r>
            <w:r w:rsidR="004B02A7">
              <w:rPr>
                <w:rFonts w:cs="Helvetica"/>
                <w:szCs w:val="21"/>
              </w:rPr>
              <w:t xml:space="preserve">HILs </w:t>
            </w:r>
            <w:r>
              <w:rPr>
                <w:rFonts w:cs="Helvetica"/>
                <w:szCs w:val="21"/>
              </w:rPr>
              <w:t xml:space="preserve">spreadsheet shows the calculated values using the assumptions described in Appendix A1 for lead and </w:t>
            </w:r>
            <w:r w:rsidR="004B02A7">
              <w:rPr>
                <w:rFonts w:cs="Helvetica"/>
                <w:szCs w:val="21"/>
              </w:rPr>
              <w:t>are</w:t>
            </w:r>
            <w:r>
              <w:rPr>
                <w:rFonts w:cs="Helvetica"/>
                <w:szCs w:val="21"/>
              </w:rPr>
              <w:t xml:space="preserve"> included for transparency reasons. </w:t>
            </w:r>
          </w:p>
        </w:tc>
      </w:tr>
      <w:tr w:rsidR="00035E8E" w:rsidTr="00F65EDA">
        <w:tc>
          <w:tcPr>
            <w:tcW w:w="1809" w:type="dxa"/>
          </w:tcPr>
          <w:p w:rsidR="00035E8E" w:rsidRPr="00035E8E" w:rsidRDefault="00035E8E" w:rsidP="00CA2A63">
            <w:pPr>
              <w:keepLines/>
              <w:spacing w:before="120" w:after="120"/>
              <w:rPr>
                <w:b/>
              </w:rPr>
            </w:pPr>
            <w:r w:rsidRPr="00035E8E">
              <w:rPr>
                <w:b/>
              </w:rPr>
              <w:lastRenderedPageBreak/>
              <w:t>Holding Times</w:t>
            </w:r>
            <w:r w:rsidR="003B42C0">
              <w:rPr>
                <w:b/>
              </w:rPr>
              <w:t xml:space="preserve"> for VOCs</w:t>
            </w:r>
          </w:p>
        </w:tc>
        <w:tc>
          <w:tcPr>
            <w:tcW w:w="5529" w:type="dxa"/>
          </w:tcPr>
          <w:p w:rsidR="00035E8E" w:rsidRDefault="003B42C0" w:rsidP="00CA2A63">
            <w:pPr>
              <w:keepLines/>
              <w:autoSpaceDE w:val="0"/>
              <w:autoSpaceDN w:val="0"/>
              <w:adjustRightInd w:val="0"/>
              <w:spacing w:before="120" w:after="120"/>
              <w:rPr>
                <w:rFonts w:cs="Helvetica"/>
                <w:szCs w:val="21"/>
              </w:rPr>
            </w:pPr>
            <w:r>
              <w:rPr>
                <w:rFonts w:cs="Helvetica"/>
                <w:szCs w:val="21"/>
              </w:rPr>
              <w:t>The holding time of 14 days for VOCs in soil except VC, styrene and 2-</w:t>
            </w:r>
            <w:r w:rsidR="00DA095F">
              <w:rPr>
                <w:rFonts w:cs="Helvetica"/>
                <w:szCs w:val="21"/>
              </w:rPr>
              <w:t>chloroethyl vinyl ether</w:t>
            </w:r>
            <w:r>
              <w:rPr>
                <w:rFonts w:cs="Helvetica"/>
                <w:szCs w:val="21"/>
              </w:rPr>
              <w:t xml:space="preserve"> (7 days) stated in Schedule B3 Table 1 ‘Recommended sample containers, holding times and condition of soil for analysis’ are </w:t>
            </w:r>
            <w:r w:rsidR="00DA095F">
              <w:rPr>
                <w:rFonts w:cs="Helvetica"/>
                <w:szCs w:val="21"/>
              </w:rPr>
              <w:t>not consistent with the reference to</w:t>
            </w:r>
            <w:r>
              <w:rPr>
                <w:rFonts w:cs="Helvetica"/>
                <w:szCs w:val="21"/>
              </w:rPr>
              <w:t xml:space="preserve"> </w:t>
            </w:r>
            <w:r w:rsidR="001C07D6">
              <w:rPr>
                <w:rFonts w:cs="Helvetica"/>
                <w:szCs w:val="21"/>
              </w:rPr>
              <w:t xml:space="preserve">AS 4482.1-2005 and </w:t>
            </w:r>
            <w:r w:rsidR="00DA095F">
              <w:rPr>
                <w:rFonts w:cs="Helvetica"/>
                <w:szCs w:val="21"/>
              </w:rPr>
              <w:t xml:space="preserve">AS4482.2-1999 in Schedule B2, Section 5.4.4 Sample handling, storage and transport. </w:t>
            </w:r>
          </w:p>
          <w:p w:rsidR="00DA095F" w:rsidRPr="00F657CF" w:rsidRDefault="00DA095F" w:rsidP="00CA2A63">
            <w:pPr>
              <w:keepLines/>
              <w:autoSpaceDE w:val="0"/>
              <w:autoSpaceDN w:val="0"/>
              <w:adjustRightInd w:val="0"/>
              <w:spacing w:before="120" w:after="120"/>
              <w:rPr>
                <w:rFonts w:cs="Helvetica"/>
                <w:szCs w:val="21"/>
              </w:rPr>
            </w:pPr>
            <w:r>
              <w:rPr>
                <w:rFonts w:cs="Helvetica"/>
                <w:szCs w:val="21"/>
              </w:rPr>
              <w:t>Which is correct?</w:t>
            </w:r>
          </w:p>
        </w:tc>
        <w:tc>
          <w:tcPr>
            <w:tcW w:w="6836" w:type="dxa"/>
          </w:tcPr>
          <w:p w:rsidR="00035E8E" w:rsidRPr="00F657CF" w:rsidRDefault="00DA095F" w:rsidP="00CA2A63">
            <w:pPr>
              <w:keepLines/>
              <w:autoSpaceDE w:val="0"/>
              <w:autoSpaceDN w:val="0"/>
              <w:adjustRightInd w:val="0"/>
              <w:spacing w:before="120" w:after="120"/>
              <w:rPr>
                <w:rFonts w:cs="Helvetica"/>
                <w:szCs w:val="21"/>
              </w:rPr>
            </w:pPr>
            <w:r>
              <w:rPr>
                <w:rFonts w:cs="Helvetica"/>
                <w:szCs w:val="21"/>
              </w:rPr>
              <w:t xml:space="preserve">The reference in </w:t>
            </w:r>
            <w:r w:rsidRPr="00FB5B3E">
              <w:rPr>
                <w:rFonts w:cs="Helvetica"/>
                <w:szCs w:val="21"/>
              </w:rPr>
              <w:t>Schedule B2</w:t>
            </w:r>
            <w:r>
              <w:rPr>
                <w:rFonts w:cs="Helvetica"/>
                <w:szCs w:val="21"/>
              </w:rPr>
              <w:t xml:space="preserve"> </w:t>
            </w:r>
            <w:r w:rsidR="00FB5B3E">
              <w:rPr>
                <w:rFonts w:cs="Helvetica"/>
                <w:szCs w:val="21"/>
              </w:rPr>
              <w:t xml:space="preserve">Section 5.4.4 </w:t>
            </w:r>
            <w:r>
              <w:rPr>
                <w:rFonts w:cs="Helvetica"/>
                <w:szCs w:val="21"/>
              </w:rPr>
              <w:t xml:space="preserve">to </w:t>
            </w:r>
            <w:r w:rsidR="0022378F">
              <w:rPr>
                <w:rFonts w:cs="Helvetica"/>
                <w:szCs w:val="21"/>
              </w:rPr>
              <w:t xml:space="preserve">AS 4482.1-2005 and </w:t>
            </w:r>
            <w:r w:rsidR="00FA7B24">
              <w:rPr>
                <w:rFonts w:cs="Helvetica"/>
                <w:szCs w:val="21"/>
              </w:rPr>
              <w:t xml:space="preserve">AS4482.2-1999 is included for general information. The statement </w:t>
            </w:r>
            <w:r w:rsidR="00850AC6">
              <w:rPr>
                <w:rFonts w:cs="Helvetica"/>
                <w:szCs w:val="21"/>
              </w:rPr>
              <w:t>has been amended to clarify</w:t>
            </w:r>
            <w:r>
              <w:rPr>
                <w:rFonts w:cs="Helvetica"/>
                <w:szCs w:val="21"/>
              </w:rPr>
              <w:t xml:space="preserve"> that recommended maximum holding times are </w:t>
            </w:r>
            <w:r w:rsidR="0022378F">
              <w:rPr>
                <w:rFonts w:cs="Helvetica"/>
                <w:szCs w:val="21"/>
              </w:rPr>
              <w:t>provided</w:t>
            </w:r>
            <w:r>
              <w:rPr>
                <w:rFonts w:cs="Helvetica"/>
                <w:szCs w:val="21"/>
              </w:rPr>
              <w:t xml:space="preserve"> in Schedule B3 Table 1</w:t>
            </w:r>
            <w:r w:rsidR="00850AC6">
              <w:rPr>
                <w:rFonts w:cs="Helvetica"/>
                <w:szCs w:val="21"/>
              </w:rPr>
              <w:t xml:space="preserve"> (refer Errata)</w:t>
            </w:r>
            <w:r>
              <w:rPr>
                <w:rFonts w:cs="Helvetica"/>
                <w:szCs w:val="21"/>
              </w:rPr>
              <w:t xml:space="preserve">.  </w:t>
            </w:r>
          </w:p>
        </w:tc>
      </w:tr>
      <w:tr w:rsidR="00035E8E" w:rsidTr="00F65EDA">
        <w:tc>
          <w:tcPr>
            <w:tcW w:w="1809" w:type="dxa"/>
          </w:tcPr>
          <w:p w:rsidR="00035E8E" w:rsidRPr="00145357" w:rsidRDefault="00D709E4" w:rsidP="00CA2A63">
            <w:pPr>
              <w:keepLines/>
              <w:spacing w:before="120" w:after="120"/>
              <w:rPr>
                <w:b/>
              </w:rPr>
            </w:pPr>
            <w:r>
              <w:rPr>
                <w:b/>
              </w:rPr>
              <w:t>Gas tight s</w:t>
            </w:r>
            <w:r w:rsidR="00C95C7B" w:rsidRPr="00145357">
              <w:rPr>
                <w:b/>
              </w:rPr>
              <w:t>ample containers for soils</w:t>
            </w:r>
          </w:p>
        </w:tc>
        <w:tc>
          <w:tcPr>
            <w:tcW w:w="5529" w:type="dxa"/>
          </w:tcPr>
          <w:p w:rsidR="00035E8E" w:rsidRPr="00F657CF" w:rsidRDefault="00D709E4" w:rsidP="00CA2A63">
            <w:pPr>
              <w:keepLines/>
              <w:autoSpaceDE w:val="0"/>
              <w:autoSpaceDN w:val="0"/>
              <w:adjustRightInd w:val="0"/>
              <w:spacing w:before="120" w:after="120"/>
              <w:rPr>
                <w:rFonts w:cs="Helvetica"/>
                <w:szCs w:val="21"/>
              </w:rPr>
            </w:pPr>
            <w:r>
              <w:rPr>
                <w:rFonts w:cs="Helvetica"/>
                <w:szCs w:val="21"/>
              </w:rPr>
              <w:t>Can food-</w:t>
            </w:r>
            <w:r w:rsidR="00C66AA4">
              <w:rPr>
                <w:rFonts w:cs="Helvetica"/>
                <w:szCs w:val="21"/>
              </w:rPr>
              <w:t xml:space="preserve">grade glass jars be used for analysing VOCs in soil? </w:t>
            </w:r>
          </w:p>
        </w:tc>
        <w:tc>
          <w:tcPr>
            <w:tcW w:w="6836" w:type="dxa"/>
          </w:tcPr>
          <w:p w:rsidR="00035E8E" w:rsidRPr="00F657CF" w:rsidRDefault="0086204C" w:rsidP="00CA2A63">
            <w:pPr>
              <w:keepLines/>
              <w:autoSpaceDE w:val="0"/>
              <w:autoSpaceDN w:val="0"/>
              <w:adjustRightInd w:val="0"/>
              <w:spacing w:before="120" w:after="120"/>
              <w:rPr>
                <w:rFonts w:cs="Helvetica"/>
                <w:szCs w:val="21"/>
              </w:rPr>
            </w:pPr>
            <w:r>
              <w:rPr>
                <w:rFonts w:cs="Helvetica"/>
                <w:szCs w:val="21"/>
              </w:rPr>
              <w:t>Standard</w:t>
            </w:r>
            <w:r w:rsidR="00C66AA4">
              <w:rPr>
                <w:rFonts w:cs="Helvetica"/>
                <w:szCs w:val="21"/>
              </w:rPr>
              <w:t xml:space="preserve"> 125 mL or 250 mL glass jars </w:t>
            </w:r>
            <w:r w:rsidR="007100C2">
              <w:rPr>
                <w:rFonts w:cs="Helvetica"/>
                <w:szCs w:val="21"/>
              </w:rPr>
              <w:t xml:space="preserve">with PTFE-lined lid </w:t>
            </w:r>
            <w:r>
              <w:rPr>
                <w:rFonts w:cs="Helvetica"/>
                <w:szCs w:val="21"/>
              </w:rPr>
              <w:t xml:space="preserve">can be used for high concentration samples </w:t>
            </w:r>
            <w:r w:rsidRPr="00FB5B3E">
              <w:rPr>
                <w:rFonts w:cs="Helvetica"/>
                <w:szCs w:val="21"/>
              </w:rPr>
              <w:t>(</w:t>
            </w:r>
            <w:r w:rsidR="00C66AA4" w:rsidRPr="00FB5B3E">
              <w:rPr>
                <w:rFonts w:cs="Helvetica"/>
                <w:szCs w:val="21"/>
              </w:rPr>
              <w:t>Schedule B3 section 4.3.1</w:t>
            </w:r>
            <w:r w:rsidRPr="00FB5B3E">
              <w:rPr>
                <w:rFonts w:cs="Helvetica"/>
                <w:szCs w:val="21"/>
              </w:rPr>
              <w:t xml:space="preserve"> as qualified by Chapter 4 of US EPA</w:t>
            </w:r>
            <w:r w:rsidR="00C66AA4" w:rsidRPr="00FB5B3E">
              <w:rPr>
                <w:rFonts w:cs="Helvetica"/>
                <w:szCs w:val="21"/>
              </w:rPr>
              <w:t xml:space="preserve"> SW-846)</w:t>
            </w:r>
            <w:r w:rsidRPr="00FB5B3E">
              <w:rPr>
                <w:rFonts w:cs="Helvetica"/>
                <w:szCs w:val="21"/>
              </w:rPr>
              <w:t xml:space="preserve"> otherwise</w:t>
            </w:r>
            <w:r>
              <w:rPr>
                <w:rFonts w:cs="Helvetica"/>
                <w:szCs w:val="21"/>
              </w:rPr>
              <w:t xml:space="preserve"> 40 mL glass vials with PTFE-lined pierceable silicon septum caps are </w:t>
            </w:r>
            <w:r w:rsidR="00D709E4">
              <w:rPr>
                <w:rFonts w:cs="Helvetica"/>
                <w:szCs w:val="21"/>
              </w:rPr>
              <w:t>recommended</w:t>
            </w:r>
            <w:r>
              <w:rPr>
                <w:rFonts w:cs="Helvetica"/>
                <w:szCs w:val="21"/>
              </w:rPr>
              <w:t>.</w:t>
            </w:r>
          </w:p>
        </w:tc>
      </w:tr>
      <w:tr w:rsidR="0022378F" w:rsidTr="00F65EDA">
        <w:tc>
          <w:tcPr>
            <w:tcW w:w="1809" w:type="dxa"/>
          </w:tcPr>
          <w:p w:rsidR="0022378F" w:rsidRPr="00D66F8D" w:rsidRDefault="008E64E2" w:rsidP="00CA2A63">
            <w:pPr>
              <w:keepLines/>
              <w:spacing w:before="120" w:after="120"/>
              <w:rPr>
                <w:b/>
              </w:rPr>
            </w:pPr>
            <w:r w:rsidRPr="00D66F8D">
              <w:rPr>
                <w:b/>
              </w:rPr>
              <w:t xml:space="preserve">Analysis of petroleum hydrocarbons in soil </w:t>
            </w:r>
          </w:p>
        </w:tc>
        <w:tc>
          <w:tcPr>
            <w:tcW w:w="5529" w:type="dxa"/>
          </w:tcPr>
          <w:p w:rsidR="00FB5B3E" w:rsidRPr="00D66F8D" w:rsidRDefault="00FC14C4" w:rsidP="00CA2A63">
            <w:pPr>
              <w:keepLines/>
              <w:autoSpaceDE w:val="0"/>
              <w:autoSpaceDN w:val="0"/>
              <w:adjustRightInd w:val="0"/>
              <w:spacing w:before="120" w:after="120"/>
              <w:rPr>
                <w:rFonts w:cs="Helvetica"/>
                <w:szCs w:val="21"/>
              </w:rPr>
            </w:pPr>
            <w:r w:rsidRPr="00D66F8D">
              <w:rPr>
                <w:rFonts w:cs="Helvetica"/>
                <w:szCs w:val="21"/>
              </w:rPr>
              <w:t xml:space="preserve">Can the Canadian Council of Ministers for the Environment (CCME) </w:t>
            </w:r>
            <w:r w:rsidRPr="00D66F8D">
              <w:rPr>
                <w:rFonts w:cs="Helvetica"/>
                <w:i/>
                <w:szCs w:val="21"/>
              </w:rPr>
              <w:t xml:space="preserve">Reference Method for the Canada-Wide Standard for Petroleum Hydrocarbons in Soil – Tier 1 Method </w:t>
            </w:r>
            <w:r w:rsidR="00FB5B3E" w:rsidRPr="00D66F8D">
              <w:rPr>
                <w:rFonts w:cs="Helvetica"/>
                <w:szCs w:val="21"/>
              </w:rPr>
              <w:t xml:space="preserve">be specifically included in Schedule B3? </w:t>
            </w:r>
          </w:p>
          <w:p w:rsidR="00942837" w:rsidRPr="00D66F8D" w:rsidRDefault="00FB5B3E" w:rsidP="00CA2A63">
            <w:pPr>
              <w:keepLines/>
              <w:autoSpaceDE w:val="0"/>
              <w:autoSpaceDN w:val="0"/>
              <w:adjustRightInd w:val="0"/>
              <w:spacing w:before="120" w:after="120"/>
              <w:rPr>
                <w:rFonts w:cs="Helvetica"/>
                <w:szCs w:val="21"/>
              </w:rPr>
            </w:pPr>
            <w:r w:rsidRPr="00D66F8D">
              <w:rPr>
                <w:rFonts w:cs="Helvetica"/>
                <w:szCs w:val="21"/>
              </w:rPr>
              <w:t xml:space="preserve">Rationale for inclusion: the Health Screening Levels (HSLs) (Schedule B1) are based on the CCME method which uses Soxlet extraction with </w:t>
            </w:r>
            <w:r w:rsidRPr="00631BD7">
              <w:rPr>
                <w:rFonts w:cs="Helvetica"/>
                <w:szCs w:val="21"/>
              </w:rPr>
              <w:t>hexane/acetone</w:t>
            </w:r>
            <w:r w:rsidRPr="00D66F8D">
              <w:rPr>
                <w:rFonts w:cs="Helvetica"/>
                <w:szCs w:val="21"/>
              </w:rPr>
              <w:t xml:space="preserve"> however this method is not explicitly included in the list of solvent extraction-based methods in Schedule B3</w:t>
            </w:r>
            <w:r w:rsidR="00F2459E" w:rsidRPr="00D66F8D">
              <w:rPr>
                <w:rFonts w:cs="Helvetica"/>
                <w:szCs w:val="21"/>
              </w:rPr>
              <w:t xml:space="preserve"> Section 10.2.8.2</w:t>
            </w:r>
            <w:r w:rsidRPr="00D66F8D">
              <w:rPr>
                <w:rFonts w:cs="Helvetica"/>
                <w:szCs w:val="21"/>
              </w:rPr>
              <w:t>.</w:t>
            </w:r>
            <w:r w:rsidR="00157FCD" w:rsidRPr="00D66F8D">
              <w:rPr>
                <w:rFonts w:cs="Helvetica"/>
                <w:szCs w:val="21"/>
              </w:rPr>
              <w:t xml:space="preserve"> </w:t>
            </w:r>
          </w:p>
          <w:p w:rsidR="0022378F" w:rsidRPr="00D66F8D" w:rsidRDefault="00157FCD" w:rsidP="00CA2A63">
            <w:pPr>
              <w:keepLines/>
              <w:autoSpaceDE w:val="0"/>
              <w:autoSpaceDN w:val="0"/>
              <w:adjustRightInd w:val="0"/>
              <w:spacing w:before="120" w:after="120"/>
              <w:rPr>
                <w:rFonts w:cs="Helvetica"/>
                <w:szCs w:val="21"/>
              </w:rPr>
            </w:pPr>
            <w:r w:rsidRPr="00D66F8D">
              <w:rPr>
                <w:rFonts w:cs="Helvetica"/>
                <w:szCs w:val="21"/>
              </w:rPr>
              <w:t>Data from a current CRC CARE project on TRH measurement indicates that results f</w:t>
            </w:r>
            <w:r w:rsidR="006A3E18">
              <w:rPr>
                <w:rFonts w:cs="Helvetica"/>
                <w:szCs w:val="21"/>
              </w:rPr>
              <w:t xml:space="preserve">or TRH measurement are strongly </w:t>
            </w:r>
            <w:r w:rsidRPr="00D66F8D">
              <w:rPr>
                <w:rFonts w:cs="Helvetica"/>
                <w:szCs w:val="21"/>
              </w:rPr>
              <w:t xml:space="preserve">method dependent. </w:t>
            </w:r>
          </w:p>
        </w:tc>
        <w:tc>
          <w:tcPr>
            <w:tcW w:w="6836" w:type="dxa"/>
          </w:tcPr>
          <w:p w:rsidR="00942837" w:rsidRPr="00D66F8D" w:rsidRDefault="00836F97" w:rsidP="00CA2A63">
            <w:pPr>
              <w:keepLines/>
              <w:autoSpaceDE w:val="0"/>
              <w:autoSpaceDN w:val="0"/>
              <w:adjustRightInd w:val="0"/>
              <w:spacing w:before="120" w:after="120"/>
              <w:rPr>
                <w:rFonts w:cs="Helvetica"/>
                <w:szCs w:val="21"/>
              </w:rPr>
            </w:pPr>
            <w:r>
              <w:rPr>
                <w:rFonts w:cs="Helvetica"/>
                <w:szCs w:val="21"/>
              </w:rPr>
              <w:t>Alternative methods are permitted to be used where these can be demonstrated to be equivalent in outcome (refer Schedule B3 Section 2.4).</w:t>
            </w:r>
            <w:r w:rsidRPr="00D66F8D">
              <w:rPr>
                <w:rFonts w:cs="Helvetica"/>
                <w:szCs w:val="21"/>
              </w:rPr>
              <w:t xml:space="preserve"> The comment regarding results being strongly method dependent has been noted.</w:t>
            </w:r>
          </w:p>
          <w:p w:rsidR="00942837" w:rsidRPr="006A3E18" w:rsidRDefault="00D66F8D" w:rsidP="00CA2A63">
            <w:pPr>
              <w:keepLines/>
              <w:autoSpaceDE w:val="0"/>
              <w:autoSpaceDN w:val="0"/>
              <w:adjustRightInd w:val="0"/>
              <w:spacing w:before="120" w:after="120"/>
              <w:rPr>
                <w:rFonts w:cs="Helvetica"/>
                <w:szCs w:val="21"/>
              </w:rPr>
            </w:pPr>
            <w:r w:rsidRPr="006A3E18">
              <w:rPr>
                <w:rFonts w:cs="Helvetica"/>
                <w:szCs w:val="21"/>
              </w:rPr>
              <w:t xml:space="preserve">Further consideration will be given to </w:t>
            </w:r>
            <w:r w:rsidR="00BA797C" w:rsidRPr="006A3E18">
              <w:rPr>
                <w:rFonts w:cs="Helvetica"/>
                <w:szCs w:val="21"/>
              </w:rPr>
              <w:t>this issue</w:t>
            </w:r>
            <w:r w:rsidR="006A3E18" w:rsidRPr="006A3E18">
              <w:rPr>
                <w:rFonts w:cs="Helvetica"/>
                <w:szCs w:val="21"/>
              </w:rPr>
              <w:t xml:space="preserve"> when the results of the CRC C</w:t>
            </w:r>
            <w:r w:rsidR="006A3E18">
              <w:rPr>
                <w:rFonts w:cs="Helvetica"/>
                <w:szCs w:val="21"/>
              </w:rPr>
              <w:t>ARE</w:t>
            </w:r>
            <w:r w:rsidR="006A3E18" w:rsidRPr="006A3E18">
              <w:rPr>
                <w:rFonts w:cs="Helvetica"/>
                <w:szCs w:val="21"/>
              </w:rPr>
              <w:t xml:space="preserve"> project are </w:t>
            </w:r>
            <w:r w:rsidR="006A3E18">
              <w:rPr>
                <w:rFonts w:cs="Helvetica"/>
                <w:szCs w:val="21"/>
              </w:rPr>
              <w:t xml:space="preserve">made </w:t>
            </w:r>
            <w:r w:rsidR="006A3E18" w:rsidRPr="006A3E18">
              <w:rPr>
                <w:rFonts w:cs="Helvetica"/>
                <w:szCs w:val="21"/>
              </w:rPr>
              <w:t>available</w:t>
            </w:r>
            <w:r w:rsidRPr="006A3E18">
              <w:rPr>
                <w:rFonts w:cs="Helvetica"/>
                <w:szCs w:val="21"/>
              </w:rPr>
              <w:t>.</w:t>
            </w:r>
          </w:p>
          <w:p w:rsidR="00D958C8" w:rsidRPr="00BA797C" w:rsidRDefault="00D66F8D" w:rsidP="00CA2A63">
            <w:pPr>
              <w:keepLines/>
              <w:autoSpaceDE w:val="0"/>
              <w:autoSpaceDN w:val="0"/>
              <w:adjustRightInd w:val="0"/>
              <w:spacing w:before="120" w:after="120"/>
              <w:rPr>
                <w:rFonts w:cs="Helvetica"/>
                <w:i/>
                <w:szCs w:val="21"/>
                <w:highlight w:val="yellow"/>
              </w:rPr>
            </w:pPr>
            <w:r w:rsidRPr="00631BD7">
              <w:rPr>
                <w:rFonts w:cs="Helvetica"/>
                <w:i/>
                <w:szCs w:val="21"/>
                <w:highlight w:val="yellow"/>
              </w:rPr>
              <w:t xml:space="preserve"> </w:t>
            </w:r>
          </w:p>
        </w:tc>
      </w:tr>
      <w:tr w:rsidR="00145357" w:rsidTr="00F65EDA">
        <w:tc>
          <w:tcPr>
            <w:tcW w:w="1809" w:type="dxa"/>
          </w:tcPr>
          <w:p w:rsidR="00145357" w:rsidRPr="00064D8D" w:rsidRDefault="00145357" w:rsidP="00CA2A63">
            <w:pPr>
              <w:keepLines/>
              <w:spacing w:before="120" w:after="120"/>
              <w:rPr>
                <w:b/>
              </w:rPr>
            </w:pPr>
            <w:r w:rsidRPr="00064D8D">
              <w:rPr>
                <w:b/>
              </w:rPr>
              <w:t xml:space="preserve">Transport of contaminated samples – </w:t>
            </w:r>
            <w:r w:rsidRPr="00064D8D">
              <w:rPr>
                <w:b/>
              </w:rPr>
              <w:lastRenderedPageBreak/>
              <w:t>declaration on air way bills</w:t>
            </w:r>
          </w:p>
        </w:tc>
        <w:tc>
          <w:tcPr>
            <w:tcW w:w="5529" w:type="dxa"/>
          </w:tcPr>
          <w:p w:rsidR="00690B8A" w:rsidRDefault="00145357" w:rsidP="00CA2A63">
            <w:pPr>
              <w:keepLines/>
              <w:autoSpaceDE w:val="0"/>
              <w:autoSpaceDN w:val="0"/>
              <w:adjustRightInd w:val="0"/>
              <w:spacing w:before="120" w:after="120"/>
              <w:rPr>
                <w:rFonts w:cs="Helvetica"/>
                <w:szCs w:val="21"/>
              </w:rPr>
            </w:pPr>
            <w:r>
              <w:rPr>
                <w:rFonts w:cs="Helvetica"/>
                <w:szCs w:val="21"/>
              </w:rPr>
              <w:lastRenderedPageBreak/>
              <w:t xml:space="preserve">Should samples from contaminated sites be declared when </w:t>
            </w:r>
            <w:r w:rsidR="002441D1">
              <w:rPr>
                <w:rFonts w:cs="Helvetica"/>
                <w:szCs w:val="21"/>
              </w:rPr>
              <w:t>freighting</w:t>
            </w:r>
            <w:r>
              <w:rPr>
                <w:rFonts w:cs="Helvetica"/>
                <w:szCs w:val="21"/>
              </w:rPr>
              <w:t xml:space="preserve"> by air?</w:t>
            </w:r>
            <w:r w:rsidR="00690B8A">
              <w:rPr>
                <w:rFonts w:cs="Helvetica"/>
                <w:szCs w:val="21"/>
              </w:rPr>
              <w:t xml:space="preserve"> </w:t>
            </w:r>
          </w:p>
          <w:p w:rsidR="00145357" w:rsidRDefault="00145357" w:rsidP="00CA2A63">
            <w:pPr>
              <w:keepLines/>
              <w:autoSpaceDE w:val="0"/>
              <w:autoSpaceDN w:val="0"/>
              <w:adjustRightInd w:val="0"/>
              <w:spacing w:before="120" w:after="120"/>
              <w:rPr>
                <w:rFonts w:cs="Helvetica"/>
                <w:szCs w:val="21"/>
              </w:rPr>
            </w:pPr>
          </w:p>
          <w:p w:rsidR="008E64E2" w:rsidRDefault="008E64E2" w:rsidP="00CA2A63">
            <w:pPr>
              <w:keepLines/>
              <w:autoSpaceDE w:val="0"/>
              <w:autoSpaceDN w:val="0"/>
              <w:adjustRightInd w:val="0"/>
              <w:spacing w:before="120" w:after="120"/>
              <w:rPr>
                <w:rFonts w:cs="Helvetica"/>
                <w:szCs w:val="21"/>
              </w:rPr>
            </w:pPr>
          </w:p>
        </w:tc>
        <w:tc>
          <w:tcPr>
            <w:tcW w:w="6836" w:type="dxa"/>
          </w:tcPr>
          <w:p w:rsidR="00145357" w:rsidRDefault="00690B8A" w:rsidP="00CA2A63">
            <w:pPr>
              <w:keepLines/>
              <w:autoSpaceDE w:val="0"/>
              <w:autoSpaceDN w:val="0"/>
              <w:adjustRightInd w:val="0"/>
              <w:spacing w:before="120" w:after="120"/>
              <w:rPr>
                <w:rFonts w:cs="Helvetica"/>
                <w:szCs w:val="21"/>
              </w:rPr>
            </w:pPr>
            <w:r>
              <w:rPr>
                <w:rFonts w:cs="Helvetica"/>
                <w:szCs w:val="21"/>
              </w:rPr>
              <w:lastRenderedPageBreak/>
              <w:t xml:space="preserve">The ASC NEPM does not provide advice on safe transport practices. </w:t>
            </w:r>
            <w:r w:rsidR="00064D8D">
              <w:rPr>
                <w:rFonts w:cs="Helvetica"/>
                <w:szCs w:val="21"/>
              </w:rPr>
              <w:t xml:space="preserve">All samples must be properly packed, marked and if necessary declared </w:t>
            </w:r>
            <w:r w:rsidR="00064D8D">
              <w:rPr>
                <w:rFonts w:cs="Helvetica"/>
                <w:szCs w:val="21"/>
              </w:rPr>
              <w:lastRenderedPageBreak/>
              <w:t xml:space="preserve">when sending by air. </w:t>
            </w:r>
          </w:p>
          <w:p w:rsidR="00064D8D" w:rsidRDefault="00064D8D" w:rsidP="00CA2A63">
            <w:pPr>
              <w:keepLines/>
              <w:autoSpaceDE w:val="0"/>
              <w:autoSpaceDN w:val="0"/>
              <w:adjustRightInd w:val="0"/>
              <w:spacing w:before="120" w:after="120"/>
              <w:rPr>
                <w:lang w:val="en"/>
              </w:rPr>
            </w:pPr>
            <w:r>
              <w:rPr>
                <w:lang w:val="en"/>
              </w:rPr>
              <w:t>The Ci</w:t>
            </w:r>
            <w:r w:rsidR="00272309">
              <w:rPr>
                <w:lang w:val="en"/>
              </w:rPr>
              <w:t>vil Aviation Safety Regulations</w:t>
            </w:r>
            <w:r>
              <w:rPr>
                <w:lang w:val="en"/>
              </w:rPr>
              <w:t xml:space="preserve"> Part 92 prescribes the minimum safety requirements for the consignment and </w:t>
            </w:r>
            <w:r w:rsidR="00272309">
              <w:rPr>
                <w:lang w:val="en"/>
              </w:rPr>
              <w:t>carriage of Dangerous Goods</w:t>
            </w:r>
            <w:r>
              <w:rPr>
                <w:lang w:val="en"/>
              </w:rPr>
              <w:t xml:space="preserve"> by air. It includes training, documentation, record keeping and incident reporting as well as provisions for packaging, marking, labeling, loading of and stowage in aircraft.</w:t>
            </w:r>
          </w:p>
          <w:p w:rsidR="00064D8D" w:rsidRPr="00F657CF" w:rsidRDefault="00D43EFE" w:rsidP="00CA2A63">
            <w:pPr>
              <w:keepLines/>
              <w:autoSpaceDE w:val="0"/>
              <w:autoSpaceDN w:val="0"/>
              <w:adjustRightInd w:val="0"/>
              <w:spacing w:before="120" w:after="120"/>
              <w:rPr>
                <w:rFonts w:cs="Helvetica"/>
                <w:szCs w:val="21"/>
              </w:rPr>
            </w:pPr>
            <w:hyperlink r:id="rId11" w:history="1">
              <w:r w:rsidR="00064D8D" w:rsidRPr="00064D8D">
                <w:rPr>
                  <w:rStyle w:val="Hyperlink"/>
                  <w:rFonts w:cs="Helvetica"/>
                  <w:szCs w:val="21"/>
                </w:rPr>
                <w:t>http://www.casa.gov.au/scripts/nc.dll?WCMS:STANDARD::pc=PC_91038</w:t>
              </w:r>
            </w:hyperlink>
          </w:p>
        </w:tc>
      </w:tr>
      <w:tr w:rsidR="00145357" w:rsidTr="00F65EDA">
        <w:tc>
          <w:tcPr>
            <w:tcW w:w="1809" w:type="dxa"/>
          </w:tcPr>
          <w:p w:rsidR="00145357" w:rsidRPr="008F3472" w:rsidRDefault="008F3472" w:rsidP="00CA2A63">
            <w:pPr>
              <w:keepLines/>
              <w:spacing w:before="120" w:after="120"/>
              <w:rPr>
                <w:b/>
              </w:rPr>
            </w:pPr>
            <w:r w:rsidRPr="008F3472">
              <w:rPr>
                <w:b/>
              </w:rPr>
              <w:lastRenderedPageBreak/>
              <w:t>Use of statistics in the case studies</w:t>
            </w:r>
          </w:p>
        </w:tc>
        <w:tc>
          <w:tcPr>
            <w:tcW w:w="5529" w:type="dxa"/>
          </w:tcPr>
          <w:p w:rsidR="00145357" w:rsidRDefault="008F3472" w:rsidP="00CA2A63">
            <w:pPr>
              <w:keepLines/>
              <w:autoSpaceDE w:val="0"/>
              <w:autoSpaceDN w:val="0"/>
              <w:adjustRightInd w:val="0"/>
              <w:spacing w:before="120" w:after="120"/>
              <w:rPr>
                <w:rFonts w:cs="Helvetica"/>
                <w:szCs w:val="21"/>
              </w:rPr>
            </w:pPr>
            <w:r>
              <w:rPr>
                <w:rFonts w:cs="Helvetica"/>
                <w:szCs w:val="21"/>
              </w:rPr>
              <w:t>In Case Study 3, it is not clear why the geometric mean only is compared with the ESLs, HSLs and management limits when Schedule B1 Section 3.2.1 states that a range of statistics should be considered.</w:t>
            </w:r>
          </w:p>
        </w:tc>
        <w:tc>
          <w:tcPr>
            <w:tcW w:w="6836" w:type="dxa"/>
          </w:tcPr>
          <w:p w:rsidR="003249F3" w:rsidRDefault="003249F3" w:rsidP="00CA2A63">
            <w:pPr>
              <w:keepLines/>
              <w:autoSpaceDE w:val="0"/>
              <w:autoSpaceDN w:val="0"/>
              <w:adjustRightInd w:val="0"/>
              <w:spacing w:before="120" w:after="120"/>
              <w:rPr>
                <w:rFonts w:cs="Helvetica"/>
                <w:szCs w:val="21"/>
              </w:rPr>
            </w:pPr>
            <w:r>
              <w:rPr>
                <w:rFonts w:cs="Helvetica"/>
                <w:szCs w:val="21"/>
              </w:rPr>
              <w:t xml:space="preserve">The treatment of statistics in the case studies has been simplified compared with the recommended procedure included in Schedule B1 Section 3.2.1 and Schedule B2 Section 13 which state that the preferred approach is to consider a range of statistics. </w:t>
            </w:r>
          </w:p>
          <w:p w:rsidR="008F3472" w:rsidRDefault="003249F3" w:rsidP="00CA2A63">
            <w:pPr>
              <w:keepLines/>
              <w:autoSpaceDE w:val="0"/>
              <w:autoSpaceDN w:val="0"/>
              <w:adjustRightInd w:val="0"/>
              <w:spacing w:before="120" w:after="120"/>
              <w:rPr>
                <w:rFonts w:cs="Helvetica"/>
                <w:szCs w:val="21"/>
              </w:rPr>
            </w:pPr>
            <w:r>
              <w:rPr>
                <w:rFonts w:cs="Helvetica"/>
                <w:szCs w:val="21"/>
              </w:rPr>
              <w:t>Note</w:t>
            </w:r>
            <w:r w:rsidR="008F3472">
              <w:rPr>
                <w:rFonts w:cs="Helvetica"/>
                <w:szCs w:val="21"/>
              </w:rPr>
              <w:t xml:space="preserve"> </w:t>
            </w:r>
            <w:r>
              <w:rPr>
                <w:rFonts w:cs="Helvetica"/>
                <w:szCs w:val="21"/>
              </w:rPr>
              <w:t xml:space="preserve">also </w:t>
            </w:r>
            <w:r w:rsidR="008F3472">
              <w:rPr>
                <w:rFonts w:cs="Helvetica"/>
                <w:szCs w:val="21"/>
              </w:rPr>
              <w:t>the preamble to the case studies:</w:t>
            </w:r>
          </w:p>
          <w:p w:rsidR="003249F3" w:rsidRPr="00F657CF" w:rsidRDefault="008F3472" w:rsidP="00CA2A63">
            <w:pPr>
              <w:keepLines/>
              <w:autoSpaceDE w:val="0"/>
              <w:autoSpaceDN w:val="0"/>
              <w:adjustRightInd w:val="0"/>
              <w:spacing w:before="120" w:after="120"/>
              <w:rPr>
                <w:rFonts w:cs="Helvetica"/>
                <w:szCs w:val="21"/>
              </w:rPr>
            </w:pPr>
            <w:r>
              <w:rPr>
                <w:rFonts w:cs="Helvetica"/>
                <w:szCs w:val="21"/>
              </w:rPr>
              <w:t>‘</w:t>
            </w:r>
            <w:r w:rsidRPr="008F3472">
              <w:rPr>
                <w:rFonts w:cs="Helvetica"/>
                <w:i/>
                <w:szCs w:val="21"/>
              </w:rPr>
              <w:t>For the purposes of illustration, selected summary data only is presented and it can be assumed that t</w:t>
            </w:r>
            <w:r w:rsidR="00CA2A63">
              <w:rPr>
                <w:rFonts w:cs="Helvetica"/>
                <w:i/>
                <w:szCs w:val="21"/>
              </w:rPr>
              <w:t>he raw data has been evaluated i</w:t>
            </w:r>
            <w:r w:rsidRPr="008F3472">
              <w:rPr>
                <w:rFonts w:cs="Helvetica"/>
                <w:i/>
                <w:szCs w:val="21"/>
              </w:rPr>
              <w:t>n accordance with the guidance in Section 1</w:t>
            </w:r>
            <w:r w:rsidR="00F933BF">
              <w:rPr>
                <w:rFonts w:cs="Helvetica"/>
                <w:i/>
                <w:szCs w:val="21"/>
              </w:rPr>
              <w:t>3</w:t>
            </w:r>
            <w:r w:rsidRPr="008F3472">
              <w:rPr>
                <w:rFonts w:cs="Helvetica"/>
                <w:i/>
                <w:szCs w:val="21"/>
              </w:rPr>
              <w:t xml:space="preserve"> Schedule B2 and that the data has been assessed as being accurate and representative of the site.</w:t>
            </w:r>
            <w:r>
              <w:rPr>
                <w:rFonts w:cs="Helvetica"/>
                <w:szCs w:val="21"/>
              </w:rPr>
              <w:t xml:space="preserve">’ </w:t>
            </w:r>
          </w:p>
        </w:tc>
      </w:tr>
    </w:tbl>
    <w:p w:rsidR="00863548" w:rsidRDefault="00863548"/>
    <w:p w:rsidR="005A267D" w:rsidRDefault="00035E8E" w:rsidP="00035E8E">
      <w:r>
        <w:t xml:space="preserve">* NEPM Schedules available from: </w:t>
      </w:r>
      <w:hyperlink r:id="rId12" w:history="1">
        <w:r w:rsidR="005A267D" w:rsidRPr="005A267D">
          <w:rPr>
            <w:rStyle w:val="Hyperlink"/>
          </w:rPr>
          <w:t>http://www.comlaw.gov.au/Browse/Results/ByTitle/LegislativeInstruments/Current/Na/0/National%20Environment%20Protection/</w:t>
        </w:r>
      </w:hyperlink>
    </w:p>
    <w:sectPr w:rsidR="005A267D" w:rsidSect="00863548">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500" w:rsidRDefault="00484500" w:rsidP="00484500">
      <w:pPr>
        <w:spacing w:after="0" w:line="240" w:lineRule="auto"/>
      </w:pPr>
      <w:r>
        <w:separator/>
      </w:r>
    </w:p>
  </w:endnote>
  <w:endnote w:type="continuationSeparator" w:id="0">
    <w:p w:rsidR="00484500" w:rsidRDefault="00484500" w:rsidP="00484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60279"/>
      <w:docPartObj>
        <w:docPartGallery w:val="Page Numbers (Bottom of Page)"/>
        <w:docPartUnique/>
      </w:docPartObj>
    </w:sdtPr>
    <w:sdtEndPr>
      <w:rPr>
        <w:noProof/>
      </w:rPr>
    </w:sdtEndPr>
    <w:sdtContent>
      <w:p w:rsidR="00793814" w:rsidRDefault="00793814">
        <w:pPr>
          <w:pStyle w:val="Footer"/>
          <w:jc w:val="center"/>
        </w:pPr>
        <w:r>
          <w:fldChar w:fldCharType="begin"/>
        </w:r>
        <w:r>
          <w:instrText xml:space="preserve"> PAGE   \* MERGEFORMAT </w:instrText>
        </w:r>
        <w:r>
          <w:fldChar w:fldCharType="separate"/>
        </w:r>
        <w:r w:rsidR="00D43EFE">
          <w:rPr>
            <w:noProof/>
          </w:rPr>
          <w:t>3</w:t>
        </w:r>
        <w:r>
          <w:rPr>
            <w:noProof/>
          </w:rPr>
          <w:fldChar w:fldCharType="end"/>
        </w:r>
      </w:p>
    </w:sdtContent>
  </w:sdt>
  <w:p w:rsidR="00484500" w:rsidRPr="00793814" w:rsidRDefault="00793814" w:rsidP="00793814">
    <w:pPr>
      <w:pStyle w:val="Footer"/>
      <w:tabs>
        <w:tab w:val="clear" w:pos="4513"/>
        <w:tab w:val="clear" w:pos="9026"/>
        <w:tab w:val="left" w:pos="12372"/>
      </w:tabs>
      <w:rPr>
        <w:sz w:val="16"/>
      </w:rPr>
    </w:pPr>
    <w:r>
      <w:tab/>
    </w:r>
    <w:r w:rsidRPr="00793814">
      <w:rPr>
        <w:sz w:val="16"/>
      </w:rPr>
      <w:t>Version 1 _ 30/04/14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500" w:rsidRDefault="00484500" w:rsidP="00484500">
      <w:pPr>
        <w:spacing w:after="0" w:line="240" w:lineRule="auto"/>
      </w:pPr>
      <w:r>
        <w:separator/>
      </w:r>
    </w:p>
  </w:footnote>
  <w:footnote w:type="continuationSeparator" w:id="0">
    <w:p w:rsidR="00484500" w:rsidRDefault="00484500" w:rsidP="004845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A213D"/>
    <w:multiLevelType w:val="hybridMultilevel"/>
    <w:tmpl w:val="56D0CD9C"/>
    <w:lvl w:ilvl="0" w:tplc="B58E79F6">
      <w:start w:val="3"/>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B1B0574"/>
    <w:multiLevelType w:val="hybridMultilevel"/>
    <w:tmpl w:val="709A43DE"/>
    <w:lvl w:ilvl="0" w:tplc="894EF03A">
      <w:start w:val="3"/>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DE5534A"/>
    <w:multiLevelType w:val="hybridMultilevel"/>
    <w:tmpl w:val="852EB460"/>
    <w:lvl w:ilvl="0" w:tplc="B6206838">
      <w:start w:val="3"/>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8991CD9"/>
    <w:multiLevelType w:val="hybridMultilevel"/>
    <w:tmpl w:val="377E6A1E"/>
    <w:lvl w:ilvl="0" w:tplc="790E9088">
      <w:start w:val="3"/>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548"/>
    <w:rsid w:val="00035E8E"/>
    <w:rsid w:val="00052D7B"/>
    <w:rsid w:val="00064D8D"/>
    <w:rsid w:val="00076562"/>
    <w:rsid w:val="000927CF"/>
    <w:rsid w:val="000F65E5"/>
    <w:rsid w:val="001431B3"/>
    <w:rsid w:val="00145357"/>
    <w:rsid w:val="00157FCD"/>
    <w:rsid w:val="001B0C12"/>
    <w:rsid w:val="001C07D6"/>
    <w:rsid w:val="001F6A14"/>
    <w:rsid w:val="0022378F"/>
    <w:rsid w:val="002441D1"/>
    <w:rsid w:val="00272309"/>
    <w:rsid w:val="00285842"/>
    <w:rsid w:val="002D25E3"/>
    <w:rsid w:val="002F6A4E"/>
    <w:rsid w:val="00302243"/>
    <w:rsid w:val="003249F3"/>
    <w:rsid w:val="00333E11"/>
    <w:rsid w:val="00342875"/>
    <w:rsid w:val="00357CC0"/>
    <w:rsid w:val="00361B61"/>
    <w:rsid w:val="00387678"/>
    <w:rsid w:val="00390882"/>
    <w:rsid w:val="003B42C0"/>
    <w:rsid w:val="00431803"/>
    <w:rsid w:val="00444B5B"/>
    <w:rsid w:val="00484500"/>
    <w:rsid w:val="004A77DE"/>
    <w:rsid w:val="004B02A7"/>
    <w:rsid w:val="005A267D"/>
    <w:rsid w:val="005B69D4"/>
    <w:rsid w:val="005C64A6"/>
    <w:rsid w:val="00631BD7"/>
    <w:rsid w:val="00690B8A"/>
    <w:rsid w:val="006A3E18"/>
    <w:rsid w:val="00707E35"/>
    <w:rsid w:val="007100C2"/>
    <w:rsid w:val="00747A19"/>
    <w:rsid w:val="00776F35"/>
    <w:rsid w:val="00777031"/>
    <w:rsid w:val="00781A1F"/>
    <w:rsid w:val="0078710C"/>
    <w:rsid w:val="00793814"/>
    <w:rsid w:val="00794BDB"/>
    <w:rsid w:val="007D66B8"/>
    <w:rsid w:val="007E4B97"/>
    <w:rsid w:val="007F1C6A"/>
    <w:rsid w:val="00836F97"/>
    <w:rsid w:val="00837878"/>
    <w:rsid w:val="00850AC6"/>
    <w:rsid w:val="0086204C"/>
    <w:rsid w:val="00863548"/>
    <w:rsid w:val="00887009"/>
    <w:rsid w:val="008B53AE"/>
    <w:rsid w:val="008E64E2"/>
    <w:rsid w:val="008F3472"/>
    <w:rsid w:val="00942837"/>
    <w:rsid w:val="009B09F4"/>
    <w:rsid w:val="00A11052"/>
    <w:rsid w:val="00A7473A"/>
    <w:rsid w:val="00B673FF"/>
    <w:rsid w:val="00B9095E"/>
    <w:rsid w:val="00BA797C"/>
    <w:rsid w:val="00BC28FC"/>
    <w:rsid w:val="00C426D5"/>
    <w:rsid w:val="00C66AA4"/>
    <w:rsid w:val="00C95C7B"/>
    <w:rsid w:val="00C96EE0"/>
    <w:rsid w:val="00CA2A63"/>
    <w:rsid w:val="00CB0617"/>
    <w:rsid w:val="00D24D97"/>
    <w:rsid w:val="00D43EFE"/>
    <w:rsid w:val="00D52C11"/>
    <w:rsid w:val="00D66F8D"/>
    <w:rsid w:val="00D709E4"/>
    <w:rsid w:val="00D958C8"/>
    <w:rsid w:val="00DA095F"/>
    <w:rsid w:val="00DA595C"/>
    <w:rsid w:val="00DB7E5C"/>
    <w:rsid w:val="00E0449B"/>
    <w:rsid w:val="00E10F3A"/>
    <w:rsid w:val="00E155B9"/>
    <w:rsid w:val="00E40763"/>
    <w:rsid w:val="00E52124"/>
    <w:rsid w:val="00E779DE"/>
    <w:rsid w:val="00EC71B6"/>
    <w:rsid w:val="00F2459E"/>
    <w:rsid w:val="00F52C73"/>
    <w:rsid w:val="00F657CF"/>
    <w:rsid w:val="00F65EDA"/>
    <w:rsid w:val="00F933BF"/>
    <w:rsid w:val="00F96627"/>
    <w:rsid w:val="00FA7B24"/>
    <w:rsid w:val="00FB5B3E"/>
    <w:rsid w:val="00FC14C4"/>
    <w:rsid w:val="00FD22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35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44B5B"/>
    <w:rPr>
      <w:color w:val="0000FF" w:themeColor="hyperlink"/>
      <w:u w:val="single"/>
    </w:rPr>
  </w:style>
  <w:style w:type="paragraph" w:styleId="ListParagraph">
    <w:name w:val="List Paragraph"/>
    <w:basedOn w:val="Normal"/>
    <w:uiPriority w:val="34"/>
    <w:qFormat/>
    <w:rsid w:val="005A267D"/>
    <w:pPr>
      <w:ind w:left="720"/>
      <w:contextualSpacing/>
    </w:pPr>
  </w:style>
  <w:style w:type="paragraph" w:styleId="Header">
    <w:name w:val="header"/>
    <w:basedOn w:val="Normal"/>
    <w:link w:val="HeaderChar"/>
    <w:uiPriority w:val="99"/>
    <w:unhideWhenUsed/>
    <w:rsid w:val="004845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4500"/>
  </w:style>
  <w:style w:type="paragraph" w:styleId="Footer">
    <w:name w:val="footer"/>
    <w:basedOn w:val="Normal"/>
    <w:link w:val="FooterChar"/>
    <w:uiPriority w:val="99"/>
    <w:unhideWhenUsed/>
    <w:rsid w:val="004845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45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35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44B5B"/>
    <w:rPr>
      <w:color w:val="0000FF" w:themeColor="hyperlink"/>
      <w:u w:val="single"/>
    </w:rPr>
  </w:style>
  <w:style w:type="paragraph" w:styleId="ListParagraph">
    <w:name w:val="List Paragraph"/>
    <w:basedOn w:val="Normal"/>
    <w:uiPriority w:val="34"/>
    <w:qFormat/>
    <w:rsid w:val="005A267D"/>
    <w:pPr>
      <w:ind w:left="720"/>
      <w:contextualSpacing/>
    </w:pPr>
  </w:style>
  <w:style w:type="paragraph" w:styleId="Header">
    <w:name w:val="header"/>
    <w:basedOn w:val="Normal"/>
    <w:link w:val="HeaderChar"/>
    <w:uiPriority w:val="99"/>
    <w:unhideWhenUsed/>
    <w:rsid w:val="004845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4500"/>
  </w:style>
  <w:style w:type="paragraph" w:styleId="Footer">
    <w:name w:val="footer"/>
    <w:basedOn w:val="Normal"/>
    <w:link w:val="FooterChar"/>
    <w:uiPriority w:val="99"/>
    <w:unhideWhenUsed/>
    <w:rsid w:val="004845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4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mlaw.gov.au/Browse/Results/ByTitle/LegislativeInstruments/Current/Na/0/National%20Environment%20Protec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sa.gov.au/scripts/nc.dll?WCMS:STANDARD::pc=PC_91038"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cew.gov.au/node/941" TargetMode="External"/><Relationship Id="rId4" Type="http://schemas.microsoft.com/office/2007/relationships/stylesWithEffects" Target="stylesWithEffects.xml"/><Relationship Id="rId9" Type="http://schemas.openxmlformats.org/officeDocument/2006/relationships/hyperlink" Target="http://www.comlaw.gov.au/Details/F2013C0028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C662A-D47E-4E35-8810-CBAD1FC7C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5</Pages>
  <Words>1510</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Environment and Conservation</Company>
  <LinksUpToDate>false</LinksUpToDate>
  <CharactersWithSpaces>10103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Macmillan, Janet</dc:creator>
  <cp:lastModifiedBy>Macmillan, Janet</cp:lastModifiedBy>
  <cp:revision>15</cp:revision>
  <dcterms:created xsi:type="dcterms:W3CDTF">2014-04-30T03:52:00Z</dcterms:created>
  <dcterms:modified xsi:type="dcterms:W3CDTF">2014-05-01T02:39:00Z</dcterms:modified>
</cp:coreProperties>
</file>